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0AA9" w14:textId="77777777" w:rsidR="0039779E" w:rsidRDefault="00F712A0">
      <w:pPr>
        <w:ind w:left="83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8524B7" wp14:editId="22DE3468">
            <wp:extent cx="1388876" cy="357282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876" cy="35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BB28" w14:textId="77777777" w:rsidR="0039779E" w:rsidRDefault="0039779E">
      <w:pPr>
        <w:pStyle w:val="Tekstpodstawowy"/>
        <w:ind w:left="0"/>
        <w:jc w:val="left"/>
        <w:rPr>
          <w:rFonts w:ascii="Times New Roman"/>
          <w:sz w:val="18"/>
        </w:rPr>
      </w:pPr>
    </w:p>
    <w:p w14:paraId="44D3A521" w14:textId="77777777" w:rsidR="0039779E" w:rsidRDefault="0039779E">
      <w:pPr>
        <w:pStyle w:val="Tekstpodstawowy"/>
        <w:ind w:left="0"/>
        <w:jc w:val="left"/>
        <w:rPr>
          <w:rFonts w:ascii="Times New Roman"/>
          <w:sz w:val="18"/>
        </w:rPr>
      </w:pPr>
    </w:p>
    <w:p w14:paraId="0672B44A" w14:textId="77777777" w:rsidR="0039779E" w:rsidRDefault="0039779E">
      <w:pPr>
        <w:pStyle w:val="Tekstpodstawowy"/>
        <w:ind w:left="0"/>
        <w:jc w:val="left"/>
        <w:rPr>
          <w:rFonts w:ascii="Times New Roman"/>
          <w:sz w:val="18"/>
        </w:rPr>
      </w:pPr>
    </w:p>
    <w:p w14:paraId="797B316D" w14:textId="77777777" w:rsidR="0039779E" w:rsidRDefault="0039779E">
      <w:pPr>
        <w:pStyle w:val="Tekstpodstawowy"/>
        <w:spacing w:before="65"/>
        <w:ind w:left="0"/>
        <w:jc w:val="left"/>
        <w:rPr>
          <w:rFonts w:ascii="Times New Roman"/>
          <w:sz w:val="18"/>
        </w:rPr>
      </w:pPr>
    </w:p>
    <w:p w14:paraId="06242BCC" w14:textId="77777777" w:rsidR="0039779E" w:rsidRDefault="00F712A0">
      <w:pPr>
        <w:ind w:right="84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8D4EE6" wp14:editId="6518B494">
                <wp:simplePos x="0" y="0"/>
                <wp:positionH relativeFrom="page">
                  <wp:posOffset>465455</wp:posOffset>
                </wp:positionH>
                <wp:positionV relativeFrom="paragraph">
                  <wp:posOffset>175050</wp:posOffset>
                </wp:positionV>
                <wp:extent cx="6629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27610" id="Graphic 2" o:spid="_x0000_s1026" style="position:absolute;margin-left:36.65pt;margin-top:13.8pt;width:52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" path="m,l6629400,e" filled="f" strokecolor="gray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251658240" behindDoc="0" locked="0" layoutInCell="1" allowOverlap="1" wp14:anchorId="7FD48899" wp14:editId="178958EF">
            <wp:simplePos x="0" y="0"/>
            <wp:positionH relativeFrom="page">
              <wp:posOffset>441959</wp:posOffset>
            </wp:positionH>
            <wp:positionV relativeFrom="paragraph">
              <wp:posOffset>-817454</wp:posOffset>
            </wp:positionV>
            <wp:extent cx="2391409" cy="888364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409" cy="88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25"/>
          <w:sz w:val="18"/>
        </w:rPr>
        <w:t>Arkusz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informacyjny</w:t>
      </w:r>
      <w:proofErr w:type="spellEnd"/>
      <w:r>
        <w:rPr>
          <w:w w:val="125"/>
          <w:sz w:val="18"/>
        </w:rPr>
        <w:t xml:space="preserve"> – </w:t>
      </w:r>
      <w:proofErr w:type="spellStart"/>
      <w:r>
        <w:rPr>
          <w:spacing w:val="-2"/>
          <w:w w:val="125"/>
          <w:sz w:val="18"/>
        </w:rPr>
        <w:t>Kwestie</w:t>
      </w:r>
      <w:proofErr w:type="spellEnd"/>
      <w:r>
        <w:rPr>
          <w:spacing w:val="-2"/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tożsamości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płciowej</w:t>
      </w:r>
      <w:proofErr w:type="spellEnd"/>
    </w:p>
    <w:p w14:paraId="34B0D4B4" w14:textId="77777777" w:rsidR="0039779E" w:rsidRDefault="0039779E">
      <w:pPr>
        <w:pStyle w:val="Tekstpodstawowy"/>
        <w:spacing w:before="18"/>
        <w:ind w:left="0"/>
        <w:jc w:val="left"/>
        <w:rPr>
          <w:sz w:val="18"/>
        </w:rPr>
      </w:pPr>
    </w:p>
    <w:p w14:paraId="7EDCBB94" w14:textId="134C34CC" w:rsidR="0039779E" w:rsidRDefault="00F712A0" w:rsidP="0025343C">
      <w:pPr>
        <w:ind w:left="4389" w:right="459" w:firstLine="4638"/>
        <w:jc w:val="right"/>
        <w:rPr>
          <w:sz w:val="18"/>
        </w:rPr>
      </w:pPr>
      <w:r>
        <w:rPr>
          <w:color w:val="EB7E12"/>
          <w:w w:val="120"/>
          <w:sz w:val="18"/>
        </w:rPr>
        <w:t xml:space="preserve">Lipiec 2024 </w:t>
      </w:r>
      <w:proofErr w:type="spellStart"/>
      <w:r>
        <w:rPr>
          <w:color w:val="EB7E12"/>
          <w:w w:val="120"/>
          <w:sz w:val="18"/>
        </w:rPr>
        <w:t>Niniejsza</w:t>
      </w:r>
      <w:proofErr w:type="spellEnd"/>
      <w:r>
        <w:rPr>
          <w:color w:val="EB7E12"/>
          <w:w w:val="120"/>
          <w:sz w:val="18"/>
        </w:rPr>
        <w:t xml:space="preserve"> nota </w:t>
      </w:r>
      <w:proofErr w:type="spellStart"/>
      <w:r>
        <w:rPr>
          <w:color w:val="EB7E12"/>
          <w:w w:val="120"/>
          <w:sz w:val="18"/>
        </w:rPr>
        <w:t>informacyjna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nie</w:t>
      </w:r>
      <w:proofErr w:type="spellEnd"/>
      <w:r>
        <w:rPr>
          <w:color w:val="EB7E12"/>
          <w:w w:val="120"/>
          <w:sz w:val="18"/>
        </w:rPr>
        <w:t xml:space="preserve"> jest </w:t>
      </w:r>
      <w:proofErr w:type="spellStart"/>
      <w:r>
        <w:rPr>
          <w:color w:val="EB7E12"/>
          <w:w w:val="120"/>
          <w:sz w:val="18"/>
        </w:rPr>
        <w:t>wiążąca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dla</w:t>
      </w:r>
      <w:proofErr w:type="spellEnd"/>
      <w:r w:rsidR="0025343C">
        <w:rPr>
          <w:color w:val="EB7E12"/>
          <w:w w:val="120"/>
          <w:sz w:val="18"/>
        </w:rPr>
        <w:br/>
      </w:r>
      <w:proofErr w:type="spellStart"/>
      <w:r>
        <w:rPr>
          <w:color w:val="EB7E12"/>
          <w:w w:val="120"/>
          <w:sz w:val="18"/>
        </w:rPr>
        <w:t>Trybunału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i</w:t>
      </w:r>
      <w:proofErr w:type="spellEnd"/>
      <w:r>
        <w:rPr>
          <w:color w:val="EB7E12"/>
          <w:w w:val="120"/>
          <w:sz w:val="18"/>
        </w:rPr>
        <w:t xml:space="preserve"> </w:t>
      </w:r>
      <w:proofErr w:type="spellStart"/>
      <w:r>
        <w:rPr>
          <w:color w:val="EB7E12"/>
          <w:w w:val="120"/>
          <w:sz w:val="18"/>
        </w:rPr>
        <w:t>nie</w:t>
      </w:r>
      <w:proofErr w:type="spellEnd"/>
      <w:r>
        <w:rPr>
          <w:color w:val="EB7E12"/>
          <w:w w:val="120"/>
          <w:sz w:val="18"/>
        </w:rPr>
        <w:t xml:space="preserve"> ma </w:t>
      </w:r>
      <w:proofErr w:type="spellStart"/>
      <w:r>
        <w:rPr>
          <w:color w:val="EB7E12"/>
          <w:spacing w:val="-2"/>
          <w:w w:val="120"/>
          <w:sz w:val="18"/>
        </w:rPr>
        <w:t>charakteru</w:t>
      </w:r>
      <w:proofErr w:type="spellEnd"/>
      <w:r>
        <w:rPr>
          <w:color w:val="EB7E12"/>
          <w:spacing w:val="-2"/>
          <w:w w:val="120"/>
          <w:sz w:val="18"/>
        </w:rPr>
        <w:t xml:space="preserve"> </w:t>
      </w:r>
      <w:proofErr w:type="spellStart"/>
      <w:r>
        <w:rPr>
          <w:color w:val="EB7E12"/>
          <w:spacing w:val="-2"/>
          <w:w w:val="120"/>
          <w:sz w:val="18"/>
        </w:rPr>
        <w:t>wyczerpującego</w:t>
      </w:r>
      <w:proofErr w:type="spellEnd"/>
      <w:r>
        <w:rPr>
          <w:color w:val="EB7E12"/>
          <w:spacing w:val="-2"/>
          <w:w w:val="120"/>
          <w:sz w:val="18"/>
        </w:rPr>
        <w:t>.</w:t>
      </w:r>
    </w:p>
    <w:p w14:paraId="751513D3" w14:textId="77777777" w:rsidR="0039779E" w:rsidRDefault="0039779E">
      <w:pPr>
        <w:pStyle w:val="Tekstpodstawowy"/>
        <w:spacing w:before="37"/>
        <w:ind w:left="0"/>
        <w:jc w:val="left"/>
        <w:rPr>
          <w:sz w:val="18"/>
        </w:rPr>
      </w:pPr>
    </w:p>
    <w:p w14:paraId="44A6779E" w14:textId="77777777" w:rsidR="0039779E" w:rsidRDefault="00F712A0">
      <w:pPr>
        <w:pStyle w:val="Tytu"/>
      </w:pPr>
      <w:proofErr w:type="spellStart"/>
      <w:r>
        <w:rPr>
          <w:color w:val="0071BB"/>
          <w:spacing w:val="-2"/>
          <w:w w:val="120"/>
          <w:sz w:val="50"/>
        </w:rPr>
        <w:t>Kwestie</w:t>
      </w:r>
      <w:proofErr w:type="spellEnd"/>
      <w:r>
        <w:rPr>
          <w:color w:val="0071BB"/>
          <w:spacing w:val="-2"/>
          <w:w w:val="120"/>
          <w:sz w:val="50"/>
        </w:rPr>
        <w:t xml:space="preserve"> </w:t>
      </w:r>
      <w:proofErr w:type="spellStart"/>
      <w:r>
        <w:rPr>
          <w:color w:val="0071BB"/>
          <w:w w:val="120"/>
          <w:sz w:val="50"/>
        </w:rPr>
        <w:t>tożsamości</w:t>
      </w:r>
      <w:proofErr w:type="spellEnd"/>
      <w:r>
        <w:rPr>
          <w:color w:val="0071BB"/>
          <w:w w:val="120"/>
          <w:sz w:val="50"/>
        </w:rPr>
        <w:t xml:space="preserve"> </w:t>
      </w:r>
      <w:proofErr w:type="spellStart"/>
      <w:r>
        <w:rPr>
          <w:color w:val="0071BB"/>
          <w:w w:val="120"/>
          <w:sz w:val="50"/>
        </w:rPr>
        <w:t>płciowej</w:t>
      </w:r>
      <w:proofErr w:type="spellEnd"/>
    </w:p>
    <w:p w14:paraId="4147CCE1" w14:textId="77777777" w:rsidR="0039779E" w:rsidRDefault="00F712A0">
      <w:pPr>
        <w:spacing w:line="60" w:lineRule="exact"/>
        <w:ind w:left="84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0B258C57" wp14:editId="3A858BF8">
                <wp:extent cx="5768340" cy="3810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38100"/>
                          <a:chOff x="0" y="0"/>
                          <a:chExt cx="576834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8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38100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768340" y="38100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A73C1" id="Group 4" o:spid="_x0000_s1026" style="width:454.2pt;height:3pt;mso-position-horizontal-relative:char;mso-position-vertical-relative:line" coordsize="5768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">
                <v:shape id="Graphic 5" o:spid="_x0000_s1027" style="position:absolute;width:57683;height:381;visibility:visible;mso-wrap-style:square;v-text-anchor:top" coordsize="5768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" path="m5768340,l,,,38100r5768340,l5768340,xe" fillcolor="#eaeaea" stroked="f">
                  <v:path arrowok="t"/>
                </v:shape>
                <w10:anchorlock/>
              </v:group>
            </w:pict>
          </mc:Fallback>
        </mc:AlternateContent>
      </w:r>
    </w:p>
    <w:p w14:paraId="7A8B9D77" w14:textId="77777777" w:rsidR="0039779E" w:rsidRDefault="00F712A0">
      <w:pPr>
        <w:pStyle w:val="Tekstpodstawowy"/>
        <w:spacing w:before="125"/>
        <w:ind w:left="874"/>
        <w:jc w:val="left"/>
      </w:pPr>
      <w:proofErr w:type="spellStart"/>
      <w:r>
        <w:rPr>
          <w:color w:val="E26C09"/>
          <w:w w:val="120"/>
        </w:rPr>
        <w:t>Zobacz</w:t>
      </w:r>
      <w:proofErr w:type="spellEnd"/>
      <w:r>
        <w:rPr>
          <w:color w:val="E26C09"/>
          <w:w w:val="120"/>
        </w:rPr>
        <w:t xml:space="preserve"> </w:t>
      </w:r>
      <w:proofErr w:type="spellStart"/>
      <w:r>
        <w:rPr>
          <w:color w:val="E26C09"/>
          <w:w w:val="120"/>
        </w:rPr>
        <w:t>również</w:t>
      </w:r>
      <w:proofErr w:type="spellEnd"/>
      <w:r>
        <w:rPr>
          <w:color w:val="E26C09"/>
          <w:w w:val="120"/>
        </w:rPr>
        <w:t xml:space="preserve"> </w:t>
      </w:r>
      <w:proofErr w:type="spellStart"/>
      <w:r>
        <w:rPr>
          <w:color w:val="E26C09"/>
          <w:w w:val="120"/>
        </w:rPr>
        <w:t>arkusz</w:t>
      </w:r>
      <w:proofErr w:type="spellEnd"/>
      <w:r>
        <w:rPr>
          <w:color w:val="E26C09"/>
          <w:w w:val="120"/>
        </w:rPr>
        <w:t xml:space="preserve"> </w:t>
      </w:r>
      <w:proofErr w:type="spellStart"/>
      <w:r>
        <w:rPr>
          <w:color w:val="E26C09"/>
          <w:w w:val="120"/>
        </w:rPr>
        <w:t>informacyjny</w:t>
      </w:r>
      <w:proofErr w:type="spellEnd"/>
      <w:r>
        <w:rPr>
          <w:color w:val="E26C09"/>
          <w:w w:val="120"/>
        </w:rPr>
        <w:t xml:space="preserve"> </w:t>
      </w:r>
      <w:hyperlink r:id="rId9">
        <w:r w:rsidR="0039779E">
          <w:rPr>
            <w:color w:val="0071BB"/>
            <w:spacing w:val="-2"/>
            <w:w w:val="120"/>
            <w:u w:val="single" w:color="0071BB"/>
          </w:rPr>
          <w:t>„</w:t>
        </w:r>
        <w:proofErr w:type="spellStart"/>
        <w:r w:rsidR="0039779E">
          <w:rPr>
            <w:color w:val="0071BB"/>
            <w:spacing w:val="-2"/>
            <w:w w:val="120"/>
            <w:u w:val="single" w:color="0071BB"/>
          </w:rPr>
          <w:t>Kwestie</w:t>
        </w:r>
        <w:proofErr w:type="spellEnd"/>
        <w:r w:rsidR="0039779E">
          <w:rPr>
            <w:color w:val="0071BB"/>
            <w:spacing w:val="-2"/>
            <w:w w:val="120"/>
            <w:u w:val="single" w:color="0071BB"/>
          </w:rPr>
          <w:t xml:space="preserve"> </w:t>
        </w:r>
        <w:proofErr w:type="spellStart"/>
        <w:r w:rsidR="0039779E">
          <w:rPr>
            <w:color w:val="0071BB"/>
            <w:w w:val="120"/>
            <w:u w:val="single" w:color="0071BB"/>
          </w:rPr>
          <w:t>orientacji</w:t>
        </w:r>
        <w:proofErr w:type="spellEnd"/>
        <w:r w:rsidR="0039779E">
          <w:rPr>
            <w:color w:val="0071BB"/>
            <w:w w:val="120"/>
            <w:u w:val="single" w:color="0071BB"/>
          </w:rPr>
          <w:t xml:space="preserve"> </w:t>
        </w:r>
        <w:proofErr w:type="spellStart"/>
        <w:r w:rsidR="0039779E">
          <w:rPr>
            <w:color w:val="0071BB"/>
            <w:w w:val="120"/>
            <w:u w:val="single" w:color="0071BB"/>
          </w:rPr>
          <w:t>seksualnej</w:t>
        </w:r>
        <w:proofErr w:type="spellEnd"/>
      </w:hyperlink>
      <w:r w:rsidRPr="0025343C">
        <w:rPr>
          <w:color w:val="0070C0"/>
          <w:spacing w:val="-2"/>
          <w:w w:val="120"/>
        </w:rPr>
        <w:t>”</w:t>
      </w:r>
      <w:r>
        <w:rPr>
          <w:color w:val="E26C09"/>
          <w:spacing w:val="-2"/>
          <w:w w:val="120"/>
        </w:rPr>
        <w:t>.</w:t>
      </w:r>
    </w:p>
    <w:p w14:paraId="5924D43E" w14:textId="77777777" w:rsidR="0039779E" w:rsidRDefault="00F712A0">
      <w:pPr>
        <w:spacing w:before="243"/>
        <w:ind w:left="87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5782EF" wp14:editId="2846DC7F">
                <wp:simplePos x="0" y="0"/>
                <wp:positionH relativeFrom="page">
                  <wp:posOffset>896111</wp:posOffset>
                </wp:positionH>
                <wp:positionV relativeFrom="paragraph">
                  <wp:posOffset>410918</wp:posOffset>
                </wp:positionV>
                <wp:extent cx="5768340" cy="1841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A1DCF" id="Graphic 6" o:spid="_x0000_s1026" style="position:absolute;margin-left:70.55pt;margin-top:32.35pt;width:454.2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71BB"/>
          <w:w w:val="125"/>
          <w:sz w:val="29"/>
        </w:rPr>
        <w:t xml:space="preserve">Od </w:t>
      </w:r>
      <w:proofErr w:type="spellStart"/>
      <w:r>
        <w:rPr>
          <w:color w:val="0071BB"/>
          <w:w w:val="125"/>
          <w:sz w:val="29"/>
        </w:rPr>
        <w:t>sprawy</w:t>
      </w:r>
      <w:proofErr w:type="spellEnd"/>
      <w:r>
        <w:rPr>
          <w:color w:val="0071BB"/>
          <w:w w:val="125"/>
          <w:sz w:val="29"/>
        </w:rPr>
        <w:t xml:space="preserve"> </w:t>
      </w:r>
      <w:r>
        <w:rPr>
          <w:i/>
          <w:color w:val="0071BB"/>
          <w:w w:val="125"/>
          <w:sz w:val="29"/>
        </w:rPr>
        <w:t xml:space="preserve">Rees </w:t>
      </w:r>
      <w:r>
        <w:rPr>
          <w:color w:val="0071BB"/>
          <w:w w:val="125"/>
          <w:sz w:val="29"/>
        </w:rPr>
        <w:t xml:space="preserve">do </w:t>
      </w:r>
      <w:proofErr w:type="spellStart"/>
      <w:r>
        <w:rPr>
          <w:color w:val="0071BB"/>
          <w:spacing w:val="-4"/>
          <w:w w:val="125"/>
          <w:sz w:val="29"/>
        </w:rPr>
        <w:t>sprawy</w:t>
      </w:r>
      <w:proofErr w:type="spellEnd"/>
      <w:r>
        <w:rPr>
          <w:color w:val="0071BB"/>
          <w:spacing w:val="-4"/>
          <w:w w:val="125"/>
          <w:sz w:val="29"/>
        </w:rPr>
        <w:t xml:space="preserve"> </w:t>
      </w:r>
      <w:r>
        <w:rPr>
          <w:i/>
          <w:color w:val="0071BB"/>
          <w:w w:val="125"/>
          <w:sz w:val="29"/>
        </w:rPr>
        <w:t>Christine Goodwin</w:t>
      </w:r>
    </w:p>
    <w:p w14:paraId="74EF2BA8" w14:textId="77777777" w:rsidR="0039779E" w:rsidRDefault="0039779E">
      <w:pPr>
        <w:pStyle w:val="Nagwek2"/>
        <w:spacing w:before="133"/>
        <w:jc w:val="left"/>
        <w:rPr>
          <w:u w:val="none"/>
        </w:rPr>
      </w:pPr>
      <w:hyperlink r:id="rId10">
        <w:r>
          <w:rPr>
            <w:color w:val="0071BB"/>
            <w:w w:val="135"/>
            <w:u w:color="0071BB"/>
          </w:rPr>
          <w:t xml:space="preserve">Rees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Zjednoczonemu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Królestwu</w:t>
        </w:r>
        <w:proofErr w:type="spellEnd"/>
      </w:hyperlink>
    </w:p>
    <w:p w14:paraId="166AC3C5" w14:textId="77777777" w:rsidR="0039779E" w:rsidRDefault="00F712A0">
      <w:pPr>
        <w:spacing w:before="56"/>
        <w:ind w:left="874"/>
        <w:rPr>
          <w:sz w:val="18"/>
        </w:rPr>
      </w:pPr>
      <w:r>
        <w:rPr>
          <w:color w:val="808080"/>
          <w:w w:val="120"/>
          <w:sz w:val="18"/>
        </w:rPr>
        <w:t xml:space="preserve">17 </w:t>
      </w:r>
      <w:proofErr w:type="spellStart"/>
      <w:r>
        <w:rPr>
          <w:color w:val="808080"/>
          <w:w w:val="120"/>
          <w:sz w:val="18"/>
        </w:rPr>
        <w:t>października</w:t>
      </w:r>
      <w:proofErr w:type="spellEnd"/>
      <w:r>
        <w:rPr>
          <w:color w:val="808080"/>
          <w:spacing w:val="-4"/>
          <w:w w:val="120"/>
          <w:sz w:val="18"/>
        </w:rPr>
        <w:t xml:space="preserve"> 1986 r.</w:t>
      </w:r>
    </w:p>
    <w:p w14:paraId="18E51A3C" w14:textId="77777777" w:rsidR="0039779E" w:rsidRDefault="00F712A0">
      <w:pPr>
        <w:pStyle w:val="Tekstpodstawowy"/>
        <w:spacing w:before="1"/>
        <w:ind w:left="874" w:right="460" w:hanging="1"/>
        <w:jc w:val="left"/>
      </w:pPr>
      <w:r>
        <w:rPr>
          <w:w w:val="120"/>
        </w:rPr>
        <w:t xml:space="preserve">W </w:t>
      </w:r>
      <w:proofErr w:type="spellStart"/>
      <w:r>
        <w:rPr>
          <w:w w:val="120"/>
        </w:rPr>
        <w:t>tej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sprawie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transseksualista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zmienił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płeć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żeńskiej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męską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Wielkiej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Brytanii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przyznaje</w:t>
      </w:r>
      <w:proofErr w:type="spellEnd"/>
      <w:r>
        <w:rPr>
          <w:w w:val="120"/>
        </w:rPr>
        <w:t xml:space="preserve"> mu </w:t>
      </w:r>
      <w:proofErr w:type="spellStart"/>
      <w:r>
        <w:rPr>
          <w:w w:val="120"/>
        </w:rPr>
        <w:t>statusu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odpowiadającego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rzeczywistemu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stanowi</w:t>
      </w:r>
      <w:proofErr w:type="spellEnd"/>
      <w:r>
        <w:rPr>
          <w:w w:val="120"/>
        </w:rPr>
        <w:t>.</w:t>
      </w:r>
    </w:p>
    <w:p w14:paraId="282C3615" w14:textId="5B6F0463" w:rsidR="0039779E" w:rsidRDefault="00F712A0">
      <w:pPr>
        <w:pStyle w:val="Tekstpodstawowy"/>
        <w:ind w:right="728"/>
      </w:pPr>
      <w:proofErr w:type="spellStart"/>
      <w:r>
        <w:rPr>
          <w:color w:val="0071BB"/>
          <w:w w:val="120"/>
        </w:rPr>
        <w:t>Europejski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Człowieka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 w:rsidRPr="00D829B1"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hyperlink r:id="rId11">
        <w:proofErr w:type="spellStart"/>
        <w:r w:rsidR="0039779E">
          <w:rPr>
            <w:color w:val="0071BB"/>
            <w:w w:val="120"/>
            <w:u w:val="single" w:color="0071BB"/>
          </w:rPr>
          <w:t>Europejskiej</w:t>
        </w:r>
        <w:proofErr w:type="spellEnd"/>
        <w:r w:rsidR="0039779E">
          <w:rPr>
            <w:color w:val="0071BB"/>
            <w:w w:val="120"/>
            <w:u w:val="single" w:color="0071BB"/>
          </w:rPr>
          <w:t xml:space="preserve"> </w:t>
        </w:r>
        <w:proofErr w:type="spellStart"/>
        <w:r w:rsidR="0039779E">
          <w:rPr>
            <w:color w:val="0071BB"/>
            <w:w w:val="120"/>
            <w:u w:val="single" w:color="0071BB"/>
          </w:rPr>
          <w:t>Konwencji</w:t>
        </w:r>
        <w:proofErr w:type="spellEnd"/>
        <w:r w:rsidR="0039779E">
          <w:rPr>
            <w:color w:val="0071BB"/>
            <w:w w:val="120"/>
            <w:u w:val="single" w:color="0071BB"/>
          </w:rPr>
          <w:t xml:space="preserve"> </w:t>
        </w:r>
      </w:hyperlink>
      <w:hyperlink r:id="rId12">
        <w:proofErr w:type="spellStart"/>
        <w:r w:rsidR="0025343C">
          <w:rPr>
            <w:color w:val="0071BB"/>
            <w:w w:val="120"/>
            <w:u w:val="single" w:color="0071BB"/>
          </w:rPr>
          <w:t>P</w:t>
        </w:r>
        <w:r>
          <w:rPr>
            <w:color w:val="0071BB"/>
            <w:w w:val="120"/>
            <w:u w:val="single" w:color="0071BB"/>
          </w:rPr>
          <w:t>raw</w:t>
        </w:r>
        <w:proofErr w:type="spellEnd"/>
        <w:r>
          <w:rPr>
            <w:color w:val="0071BB"/>
            <w:w w:val="120"/>
            <w:u w:val="single" w:color="0071BB"/>
          </w:rPr>
          <w:t xml:space="preserve"> </w:t>
        </w:r>
        <w:r w:rsidR="0025343C">
          <w:rPr>
            <w:color w:val="0071BB"/>
            <w:w w:val="120"/>
            <w:u w:val="single" w:color="0071BB"/>
          </w:rPr>
          <w:t>C</w:t>
        </w:r>
        <w:r>
          <w:rPr>
            <w:color w:val="0071BB"/>
            <w:w w:val="120"/>
            <w:u w:val="single" w:color="0071BB"/>
          </w:rPr>
          <w:t>złowieka</w:t>
        </w:r>
      </w:hyperlink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domagał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wiązałyby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zasadniczą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modyfikacją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systemu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prowadzenia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rejestru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urodzeń</w:t>
      </w:r>
      <w:proofErr w:type="spellEnd"/>
      <w:r>
        <w:rPr>
          <w:color w:val="0071BB"/>
          <w:w w:val="120"/>
        </w:rPr>
        <w:t xml:space="preserve">, co </w:t>
      </w:r>
      <w:proofErr w:type="spellStart"/>
      <w:r>
        <w:rPr>
          <w:color w:val="0071BB"/>
          <w:w w:val="120"/>
        </w:rPr>
        <w:t>miałoby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konsekwencje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administracyjne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nakładałoby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pozostałą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część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przywiązał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wagę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faktu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Wielka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Brytania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poniosła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koszty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leczenia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25343C"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świadomy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powagi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problemów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dotykających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cierpienia</w:t>
      </w:r>
      <w:proofErr w:type="spellEnd"/>
      <w:r>
        <w:rPr>
          <w:color w:val="0071BB"/>
          <w:w w:val="120"/>
        </w:rPr>
        <w:t xml:space="preserve">”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zalecił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dokładne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monitorowanie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potrzeby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odpowiednich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środków</w:t>
      </w:r>
      <w:proofErr w:type="spellEnd"/>
      <w:r>
        <w:rPr>
          <w:color w:val="0071BB"/>
          <w:w w:val="120"/>
        </w:rPr>
        <w:t xml:space="preserve">, ze </w:t>
      </w:r>
      <w:proofErr w:type="spellStart"/>
      <w:r>
        <w:rPr>
          <w:color w:val="0071BB"/>
          <w:w w:val="120"/>
        </w:rPr>
        <w:t>szczególnym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uwzględnieniem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rozwoju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naukowego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społecznego</w:t>
      </w:r>
      <w:proofErr w:type="spellEnd"/>
      <w:r>
        <w:rPr>
          <w:color w:val="0071BB"/>
          <w:w w:val="120"/>
        </w:rPr>
        <w:t xml:space="preserve">” </w:t>
      </w:r>
      <w:r>
        <w:rPr>
          <w:color w:val="0071BB"/>
          <w:spacing w:val="80"/>
          <w:w w:val="120"/>
        </w:rPr>
        <w:t>(</w:t>
      </w:r>
      <w:r>
        <w:rPr>
          <w:color w:val="0071BB"/>
          <w:w w:val="120"/>
        </w:rPr>
        <w:t xml:space="preserve">§ 47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 xml:space="preserve">).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Pr="00D829B1"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12 </w:t>
      </w:r>
      <w:r w:rsidRPr="00620852">
        <w:rPr>
          <w:bCs/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założenia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rodziny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zwracając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tradycyjna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koncepcja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opiera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przeciwnej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biologicznej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regulować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>.</w:t>
      </w:r>
    </w:p>
    <w:p w14:paraId="432385A4" w14:textId="77777777" w:rsidR="0039779E" w:rsidRDefault="0039779E">
      <w:pPr>
        <w:pStyle w:val="Nagwek2"/>
        <w:spacing w:before="103"/>
        <w:rPr>
          <w:u w:val="none"/>
        </w:rPr>
      </w:pPr>
      <w:hyperlink r:id="rId13">
        <w:r>
          <w:rPr>
            <w:color w:val="0071BB"/>
            <w:w w:val="135"/>
            <w:u w:color="0071BB"/>
          </w:rPr>
          <w:t xml:space="preserve">Cossey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Wielkiej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Brytanii</w:t>
        </w:r>
        <w:proofErr w:type="spellEnd"/>
      </w:hyperlink>
    </w:p>
    <w:p w14:paraId="44CABF64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27 </w:t>
      </w:r>
      <w:proofErr w:type="spellStart"/>
      <w:r>
        <w:rPr>
          <w:color w:val="808080"/>
          <w:w w:val="125"/>
          <w:sz w:val="18"/>
        </w:rPr>
        <w:t>września</w:t>
      </w:r>
      <w:proofErr w:type="spellEnd"/>
      <w:r>
        <w:rPr>
          <w:color w:val="808080"/>
          <w:spacing w:val="-4"/>
          <w:w w:val="125"/>
          <w:sz w:val="18"/>
        </w:rPr>
        <w:t xml:space="preserve"> 1990 r.</w:t>
      </w:r>
    </w:p>
    <w:p w14:paraId="311D3EDD" w14:textId="77777777" w:rsidR="0039779E" w:rsidRDefault="00F712A0">
      <w:pPr>
        <w:pStyle w:val="Tekstpodstawowy"/>
        <w:spacing w:before="2"/>
        <w:ind w:left="874" w:right="730"/>
      </w:pPr>
      <w:proofErr w:type="spellStart"/>
      <w:r>
        <w:rPr>
          <w:w w:val="120"/>
        </w:rPr>
        <w:t>Trybunał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doszedł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podobnych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wniosków</w:t>
      </w:r>
      <w:proofErr w:type="spellEnd"/>
      <w:r>
        <w:rPr>
          <w:w w:val="120"/>
        </w:rPr>
        <w:t xml:space="preserve"> jak w </w:t>
      </w:r>
      <w:proofErr w:type="spellStart"/>
      <w:r>
        <w:rPr>
          <w:w w:val="120"/>
        </w:rPr>
        <w:t>sprawie</w:t>
      </w:r>
      <w:proofErr w:type="spellEnd"/>
      <w:r>
        <w:rPr>
          <w:w w:val="120"/>
        </w:rPr>
        <w:t xml:space="preserve"> </w:t>
      </w:r>
      <w:r>
        <w:rPr>
          <w:i/>
          <w:w w:val="120"/>
        </w:rPr>
        <w:t xml:space="preserve">Rees </w:t>
      </w:r>
      <w:proofErr w:type="spellStart"/>
      <w:r>
        <w:rPr>
          <w:i/>
          <w:w w:val="120"/>
        </w:rPr>
        <w:t>przeciwko</w:t>
      </w:r>
      <w:proofErr w:type="spellEnd"/>
      <w:r>
        <w:rPr>
          <w:i/>
          <w:w w:val="120"/>
        </w:rPr>
        <w:t xml:space="preserve"> </w:t>
      </w:r>
      <w:proofErr w:type="spellStart"/>
      <w:r>
        <w:rPr>
          <w:i/>
          <w:w w:val="120"/>
        </w:rPr>
        <w:t>Wielkiej</w:t>
      </w:r>
      <w:proofErr w:type="spellEnd"/>
      <w:r>
        <w:rPr>
          <w:i/>
          <w:w w:val="120"/>
        </w:rPr>
        <w:t xml:space="preserve"> </w:t>
      </w:r>
      <w:proofErr w:type="spellStart"/>
      <w:r>
        <w:rPr>
          <w:i/>
          <w:w w:val="120"/>
        </w:rPr>
        <w:t>Brytanii</w:t>
      </w:r>
      <w:proofErr w:type="spellEnd"/>
      <w:r>
        <w:rPr>
          <w:i/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w w:val="120"/>
        </w:rPr>
        <w:t>patrz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wyżej</w:t>
      </w:r>
      <w:proofErr w:type="spellEnd"/>
      <w:r>
        <w:rPr>
          <w:w w:val="120"/>
        </w:rPr>
        <w:t xml:space="preserve">)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znalazł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nowych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faktów</w:t>
      </w:r>
      <w:proofErr w:type="spellEnd"/>
      <w:r>
        <w:rPr>
          <w:w w:val="120"/>
        </w:rPr>
        <w:t xml:space="preserve"> ani </w:t>
      </w:r>
      <w:proofErr w:type="spellStart"/>
      <w:r>
        <w:rPr>
          <w:w w:val="120"/>
        </w:rPr>
        <w:t>szczególnych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okoliczności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skłoniłyby</w:t>
      </w:r>
      <w:proofErr w:type="spellEnd"/>
      <w:r>
        <w:rPr>
          <w:w w:val="120"/>
        </w:rPr>
        <w:t xml:space="preserve"> go do </w:t>
      </w:r>
      <w:proofErr w:type="spellStart"/>
      <w:r>
        <w:rPr>
          <w:w w:val="120"/>
        </w:rPr>
        <w:t>odejścia</w:t>
      </w:r>
      <w:proofErr w:type="spellEnd"/>
      <w:r>
        <w:rPr>
          <w:w w:val="120"/>
        </w:rPr>
        <w:t xml:space="preserve"> od </w:t>
      </w:r>
      <w:proofErr w:type="spellStart"/>
      <w:r>
        <w:rPr>
          <w:w w:val="120"/>
        </w:rPr>
        <w:t>wcześniejszego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wyroku</w:t>
      </w:r>
      <w:proofErr w:type="spellEnd"/>
      <w:r>
        <w:rPr>
          <w:w w:val="120"/>
        </w:rPr>
        <w:t>.</w:t>
      </w:r>
    </w:p>
    <w:p w14:paraId="4A016E77" w14:textId="77777777" w:rsidR="0039779E" w:rsidRDefault="00F712A0">
      <w:pPr>
        <w:pStyle w:val="Tekstpodstawowy"/>
        <w:ind w:right="73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 w:rsidRPr="00D829B1"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powtórzył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operacja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spowodowała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nabycia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biologicznych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drugiej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” (§ 40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 xml:space="preserve">).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adnotacja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rejestrze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odpowiednim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rozwiązaniem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Pr="00D829B1"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12 </w:t>
      </w:r>
      <w:r w:rsidRPr="00620852">
        <w:rPr>
          <w:bCs/>
          <w:color w:val="0071BB"/>
          <w:spacing w:val="40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założenia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rodziny</w:t>
      </w:r>
      <w:proofErr w:type="spellEnd"/>
      <w:r>
        <w:rPr>
          <w:color w:val="0071BB"/>
          <w:w w:val="120"/>
        </w:rPr>
        <w:t xml:space="preserve">), </w:t>
      </w:r>
      <w:proofErr w:type="spellStart"/>
      <w:r>
        <w:rPr>
          <w:color w:val="0071BB"/>
          <w:w w:val="120"/>
        </w:rPr>
        <w:t>zauważając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przywiązanie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tradycyjnej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koncepcji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wystarczający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powód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dalszego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stosowania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kryteriów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biologicznych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określaniu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celów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”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powinny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regulować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>.</w:t>
      </w:r>
    </w:p>
    <w:p w14:paraId="33F79E54" w14:textId="77777777" w:rsidR="0039779E" w:rsidRDefault="00F712A0">
      <w:pPr>
        <w:pStyle w:val="Tekstpodstawowy"/>
        <w:spacing w:before="10"/>
        <w:ind w:left="0"/>
        <w:jc w:val="left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85CD87" wp14:editId="452A8245">
                <wp:simplePos x="0" y="0"/>
                <wp:positionH relativeFrom="page">
                  <wp:posOffset>896111</wp:posOffset>
                </wp:positionH>
                <wp:positionV relativeFrom="paragraph">
                  <wp:posOffset>60347</wp:posOffset>
                </wp:positionV>
                <wp:extent cx="5768340" cy="100012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0001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0404FC05" w14:textId="77777777" w:rsidR="0039779E" w:rsidRDefault="0039779E">
                            <w:pPr>
                              <w:spacing w:before="11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"http://hudoc.echr.coe.int/eng?i=001-57770" \h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 xml:space="preserve">B. </w:t>
                            </w:r>
                            <w:proofErr w:type="spellStart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>Francji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>skarga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 xml:space="preserve"> nr</w:t>
                            </w:r>
                            <w:r>
                              <w:rPr>
                                <w:b/>
                                <w:color w:val="0071BB"/>
                                <w:spacing w:val="-2"/>
                                <w:w w:val="135"/>
                                <w:sz w:val="20"/>
                                <w:u w:val="single" w:color="0071BB"/>
                              </w:rPr>
                              <w:t xml:space="preserve"> 13343/87)</w:t>
                            </w:r>
                            <w:r>
                              <w:fldChar w:fldCharType="end"/>
                            </w:r>
                          </w:p>
                          <w:p w14:paraId="4E44EDC2" w14:textId="77777777" w:rsidR="0039779E" w:rsidRDefault="00F712A0">
                            <w:pPr>
                              <w:spacing w:before="56"/>
                              <w:ind w:left="28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25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8"/>
                              </w:rPr>
                              <w:t>marca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4"/>
                                <w:w w:val="120"/>
                                <w:sz w:val="18"/>
                              </w:rPr>
                              <w:t xml:space="preserve"> 1992 r.</w:t>
                            </w:r>
                          </w:p>
                          <w:p w14:paraId="4562102E" w14:textId="77777777" w:rsidR="0039779E" w:rsidRDefault="00F712A0">
                            <w:pPr>
                              <w:spacing w:before="42"/>
                              <w:ind w:left="28" w:right="28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 w:rsidRPr="00620852">
                              <w:rPr>
                                <w:bCs/>
                                <w:color w:val="585858"/>
                                <w:w w:val="13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tej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sprawie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po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raz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pierwszy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stwierdził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art. 8 </w:t>
                            </w:r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poszanowania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prywatnego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rodzinnego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Konwencji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sprawie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dotyczącej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uznania</w:t>
                            </w:r>
                            <w:proofErr w:type="spellEnd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85858"/>
                                <w:w w:val="130"/>
                                <w:sz w:val="20"/>
                              </w:rPr>
                              <w:t>transseksualistów</w:t>
                            </w:r>
                            <w:proofErr w:type="spellEnd"/>
                            <w:r>
                              <w:rPr>
                                <w:color w:val="585858"/>
                                <w:w w:val="130"/>
                                <w:sz w:val="20"/>
                              </w:rPr>
                              <w:t>.</w:t>
                            </w:r>
                          </w:p>
                          <w:p w14:paraId="5E139358" w14:textId="38329F29" w:rsidR="0039779E" w:rsidRDefault="00AA5AE6">
                            <w:pPr>
                              <w:pStyle w:val="Tekstpodstawowy"/>
                              <w:spacing w:before="35" w:line="234" w:lineRule="exact"/>
                              <w:ind w:lef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Pew</w:t>
                            </w:r>
                            <w:r w:rsidR="001675A4">
                              <w:rPr>
                                <w:color w:val="000000"/>
                                <w:w w:val="1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transseksualist</w:t>
                            </w:r>
                            <w:r w:rsidR="001675A4">
                              <w:rPr>
                                <w:color w:val="000000"/>
                                <w:w w:val="120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któr</w:t>
                            </w:r>
                            <w:r w:rsidR="001675A4">
                              <w:rPr>
                                <w:color w:val="000000"/>
                                <w:w w:val="1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przesz</w:t>
                            </w:r>
                            <w:r w:rsidR="001675A4">
                              <w:rPr>
                                <w:color w:val="000000"/>
                                <w:w w:val="120"/>
                              </w:rPr>
                              <w:t>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operację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zmiany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męskiej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żeńsk</w:t>
                            </w:r>
                            <w:r w:rsidR="00BD3398">
                              <w:rPr>
                                <w:color w:val="000000"/>
                                <w:w w:val="120"/>
                              </w:rPr>
                              <w:t>ą</w:t>
                            </w:r>
                            <w:proofErr w:type="spellEnd"/>
                            <w:r w:rsidR="00BD3398"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 w:rsidR="00BD3398">
                              <w:rPr>
                                <w:color w:val="000000"/>
                                <w:w w:val="120"/>
                              </w:rPr>
                              <w:t>skarżył</w:t>
                            </w:r>
                            <w:r w:rsidR="001675A4">
                              <w:rPr>
                                <w:color w:val="000000"/>
                                <w:w w:val="1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>skarżył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złożył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skargę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7"/>
                                <w:w w:val="1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6"/>
                                <w:w w:val="1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odmowę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5"/>
                                <w:w w:val="1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28"/>
                                <w:w w:val="1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 xml:space="preserve"> ze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strony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6"/>
                                <w:w w:val="1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francuskich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6"/>
                                <w:w w:val="1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</w:rPr>
                              <w:t>władz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4185CD8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0.55pt;margin-top:4.75pt;width:454.2pt;height:78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" fillcolor="#f3f3f3" stroked="f">
                <v:textbox inset="0,0,0,0">
                  <w:txbxContent>
                    <w:p w14:paraId="0404FC05" w14:textId="77777777" w:rsidR="0039779E" w:rsidRDefault="0039779E">
                      <w:pPr>
                        <w:spacing w:before="11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instrText>HYPERLINK "http://hudoc.echr.coe.int/eng?i=001-57770" \h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color w:val="0071BB"/>
                          <w:w w:val="135"/>
                          <w:sz w:val="20"/>
                          <w:u w:val="single" w:color="0071BB"/>
                        </w:rPr>
                        <w:t>B. przeciwko Francji (skarga nr</w:t>
                      </w:r>
                      <w:r>
                        <w:rPr>
                          <w:b/>
                          <w:color w:val="0071BB"/>
                          <w:spacing w:val="-2"/>
                          <w:w w:val="135"/>
                          <w:sz w:val="20"/>
                          <w:u w:val="single" w:color="0071BB"/>
                        </w:rPr>
                        <w:t xml:space="preserve"> 13343/87)</w:t>
                      </w:r>
                      <w:r>
                        <w:fldChar w:fldCharType="end"/>
                      </w:r>
                    </w:p>
                    <w:p w14:paraId="4E44EDC2" w14:textId="77777777" w:rsidR="0039779E" w:rsidRDefault="00F712A0">
                      <w:pPr>
                        <w:spacing w:before="56"/>
                        <w:ind w:left="28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w w:val="120"/>
                          <w:sz w:val="18"/>
                        </w:rPr>
                        <w:t>25 marca</w:t>
                      </w:r>
                      <w:r>
                        <w:rPr>
                          <w:color w:val="808080"/>
                          <w:spacing w:val="-4"/>
                          <w:w w:val="120"/>
                          <w:sz w:val="18"/>
                        </w:rPr>
                        <w:t xml:space="preserve"> 1992 r.</w:t>
                      </w:r>
                    </w:p>
                    <w:p w14:paraId="4562102E" w14:textId="77777777" w:rsidR="0039779E" w:rsidRDefault="00F712A0">
                      <w:pPr>
                        <w:spacing w:before="42"/>
                        <w:ind w:left="28" w:right="28"/>
                        <w:jc w:val="both"/>
                        <w:rPr>
                          <w:color w:val="000000"/>
                          <w:sz w:val="20"/>
                        </w:rPr>
                      </w:pPr>
                      <w:r w:rsidRPr="00620852">
                        <w:rPr>
                          <w:bCs/>
                          <w:color w:val="585858"/>
                          <w:w w:val="130"/>
                          <w:sz w:val="20"/>
                        </w:rPr>
                        <w:t>W</w:t>
                      </w:r>
                      <w:r>
                        <w:rPr>
                          <w:b/>
                          <w:color w:val="585858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color w:val="585858"/>
                          <w:w w:val="130"/>
                          <w:sz w:val="20"/>
                        </w:rPr>
                        <w:t xml:space="preserve">tej sprawie </w:t>
                      </w:r>
                      <w:r>
                        <w:rPr>
                          <w:b/>
                          <w:color w:val="585858"/>
                          <w:w w:val="130"/>
                          <w:sz w:val="20"/>
                        </w:rPr>
                        <w:t xml:space="preserve">Trybunał po raz pierwszy stwierdził naruszenie art. 8 </w:t>
                      </w:r>
                      <w:r>
                        <w:rPr>
                          <w:color w:val="585858"/>
                          <w:w w:val="130"/>
                          <w:sz w:val="20"/>
                        </w:rPr>
                        <w:t xml:space="preserve">(prawo do poszanowania życia prywatnego i rodzinnego) Konwencji </w:t>
                      </w:r>
                      <w:r>
                        <w:rPr>
                          <w:b/>
                          <w:color w:val="585858"/>
                          <w:w w:val="130"/>
                          <w:sz w:val="20"/>
                        </w:rPr>
                        <w:t>w sprawie dotyczącej uznania transseksualistów</w:t>
                      </w:r>
                      <w:r>
                        <w:rPr>
                          <w:color w:val="585858"/>
                          <w:w w:val="130"/>
                          <w:sz w:val="20"/>
                        </w:rPr>
                        <w:t>.</w:t>
                      </w:r>
                    </w:p>
                    <w:p w14:paraId="5E139358" w14:textId="38329F29" w:rsidR="0039779E" w:rsidRDefault="00AA5AE6">
                      <w:pPr>
                        <w:pStyle w:val="Tekstpodstawowy"/>
                        <w:spacing w:before="35" w:line="23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</w:rPr>
                        <w:t>Pew</w:t>
                      </w:r>
                      <w:r w:rsidR="001675A4">
                        <w:rPr>
                          <w:color w:val="000000"/>
                          <w:w w:val="120"/>
                        </w:rPr>
                        <w:t>na</w:t>
                      </w:r>
                      <w:r>
                        <w:rPr>
                          <w:color w:val="000000"/>
                          <w:w w:val="120"/>
                        </w:rPr>
                        <w:t xml:space="preserve"> transseksualist</w:t>
                      </w:r>
                      <w:r w:rsidR="001675A4">
                        <w:rPr>
                          <w:color w:val="000000"/>
                          <w:w w:val="120"/>
                        </w:rPr>
                        <w:t>ka</w:t>
                      </w:r>
                      <w:r>
                        <w:rPr>
                          <w:color w:val="000000"/>
                          <w:w w:val="120"/>
                        </w:rPr>
                        <w:t>, któr</w:t>
                      </w:r>
                      <w:r w:rsidR="001675A4">
                        <w:rPr>
                          <w:color w:val="000000"/>
                          <w:w w:val="120"/>
                        </w:rPr>
                        <w:t>a</w:t>
                      </w:r>
                      <w:r>
                        <w:rPr>
                          <w:color w:val="000000"/>
                          <w:w w:val="120"/>
                        </w:rPr>
                        <w:t xml:space="preserve"> przesz</w:t>
                      </w:r>
                      <w:r w:rsidR="001675A4">
                        <w:rPr>
                          <w:color w:val="000000"/>
                          <w:w w:val="120"/>
                        </w:rPr>
                        <w:t>ła</w:t>
                      </w:r>
                      <w:r>
                        <w:rPr>
                          <w:color w:val="000000"/>
                          <w:w w:val="120"/>
                        </w:rPr>
                        <w:t xml:space="preserve"> operację zmiany płci z męskiej na żeńsk</w:t>
                      </w:r>
                      <w:r w:rsidR="00BD3398">
                        <w:rPr>
                          <w:color w:val="000000"/>
                          <w:w w:val="120"/>
                        </w:rPr>
                        <w:t>ą skarżył</w:t>
                      </w:r>
                      <w:r w:rsidR="001675A4">
                        <w:rPr>
                          <w:color w:val="000000"/>
                          <w:w w:val="120"/>
                        </w:rPr>
                        <w:t>a</w:t>
                      </w:r>
                      <w:r>
                        <w:rPr>
                          <w:color w:val="000000"/>
                          <w:spacing w:val="27"/>
                          <w:w w:val="120"/>
                        </w:rPr>
                        <w:t xml:space="preserve"> skarżył się </w:t>
                      </w:r>
                      <w:proofErr w:type="gramStart"/>
                      <w:r>
                        <w:rPr>
                          <w:color w:val="000000"/>
                          <w:spacing w:val="27"/>
                          <w:w w:val="120"/>
                        </w:rPr>
                        <w:t xml:space="preserve">na </w:t>
                      </w:r>
                      <w:r>
                        <w:rPr>
                          <w:color w:val="000000"/>
                          <w:w w:val="120"/>
                        </w:rPr>
                        <w:t xml:space="preserve"> ,</w:t>
                      </w:r>
                      <w:proofErr w:type="gramEnd"/>
                      <w:r>
                        <w:rPr>
                          <w:color w:val="000000"/>
                          <w:w w:val="120"/>
                        </w:rPr>
                        <w:t xml:space="preserve"> złożył skargę</w:t>
                      </w:r>
                      <w:r>
                        <w:rPr>
                          <w:color w:val="000000"/>
                          <w:spacing w:val="27"/>
                          <w:w w:val="120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</w:rPr>
                        <w:t xml:space="preserve"> na</w:t>
                      </w:r>
                      <w:r>
                        <w:rPr>
                          <w:color w:val="000000"/>
                          <w:spacing w:val="26"/>
                          <w:w w:val="120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</w:rPr>
                        <w:t xml:space="preserve"> odmowę</w:t>
                      </w:r>
                      <w:r>
                        <w:rPr>
                          <w:color w:val="000000"/>
                          <w:spacing w:val="25"/>
                          <w:w w:val="120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28"/>
                          <w:w w:val="120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</w:rPr>
                        <w:t xml:space="preserve"> ze strony</w:t>
                      </w:r>
                      <w:r>
                        <w:rPr>
                          <w:color w:val="000000"/>
                          <w:spacing w:val="26"/>
                          <w:w w:val="120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</w:rPr>
                        <w:t xml:space="preserve"> francuskich</w:t>
                      </w:r>
                      <w:r>
                        <w:rPr>
                          <w:color w:val="000000"/>
                          <w:spacing w:val="26"/>
                          <w:w w:val="120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  <w:w w:val="120"/>
                        </w:rPr>
                        <w:t xml:space="preserve"> władz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81C0DA" w14:textId="77777777" w:rsidR="0039779E" w:rsidRDefault="0039779E">
      <w:pPr>
        <w:pStyle w:val="Tekstpodstawowy"/>
        <w:jc w:val="left"/>
        <w:rPr>
          <w:sz w:val="5"/>
        </w:rPr>
        <w:sectPr w:rsidR="0039779E">
          <w:type w:val="continuous"/>
          <w:pgSz w:w="11910" w:h="16840"/>
          <w:pgMar w:top="720" w:right="708" w:bottom="280" w:left="566" w:header="708" w:footer="708" w:gutter="0"/>
          <w:cols w:space="708"/>
        </w:sectPr>
      </w:pPr>
    </w:p>
    <w:p w14:paraId="35D037D9" w14:textId="77777777" w:rsidR="0039779E" w:rsidRDefault="0039779E">
      <w:pPr>
        <w:pStyle w:val="Tekstpodstawowy"/>
        <w:spacing w:before="9"/>
        <w:ind w:left="0"/>
        <w:jc w:val="left"/>
        <w:rPr>
          <w:sz w:val="18"/>
        </w:rPr>
      </w:pPr>
    </w:p>
    <w:p w14:paraId="0FFB52B5" w14:textId="77777777" w:rsidR="0039779E" w:rsidRDefault="00F712A0">
      <w:pPr>
        <w:ind w:left="8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D45CD3" wp14:editId="1D3EFC91">
                <wp:extent cx="5768340" cy="2180492"/>
                <wp:effectExtent l="0" t="0" r="3810" b="0"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2180492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513B0B95" w14:textId="55790A7A" w:rsidR="0039779E" w:rsidRDefault="00AA5AE6">
                            <w:pPr>
                              <w:pStyle w:val="Tekstpodstawowy"/>
                              <w:spacing w:before="11"/>
                              <w:ind w:lef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odmowę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władz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francuskich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dokonania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zmiany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rejestrz</w:t>
                            </w:r>
                            <w:r w:rsidR="008539E0">
                              <w:rPr>
                                <w:color w:val="000000"/>
                                <w:w w:val="1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stanu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cywilnego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zgodnie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je</w:t>
                            </w:r>
                            <w:r w:rsidR="001675A4">
                              <w:rPr>
                                <w:color w:val="000000"/>
                                <w:w w:val="120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</w:rPr>
                              <w:t>życzeniem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</w:rPr>
                              <w:t>.</w:t>
                            </w:r>
                          </w:p>
                          <w:p w14:paraId="61383954" w14:textId="2D3B3204" w:rsidR="0039779E" w:rsidRDefault="00F712A0">
                            <w:pPr>
                              <w:pStyle w:val="Tekstpodstawowy"/>
                              <w:ind w:left="28" w:right="24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uznał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doszło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1BB"/>
                                <w:w w:val="120"/>
                              </w:rPr>
                              <w:t xml:space="preserve">do </w:t>
                            </w:r>
                            <w:proofErr w:type="spellStart"/>
                            <w:r>
                              <w:rPr>
                                <w:b/>
                                <w:color w:val="0071BB"/>
                                <w:w w:val="120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20"/>
                              </w:rPr>
                              <w:t xml:space="preserve"> art. 8 </w:t>
                            </w:r>
                            <w:r>
                              <w:rPr>
                                <w:color w:val="0071BB"/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poszanowania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prywatnego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rodzinnego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Konwencji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biorąc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uwagę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czynniki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odróżniające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sprawę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B. </w:t>
                            </w:r>
                            <w:r>
                              <w:rPr>
                                <w:color w:val="0071BB"/>
                                <w:w w:val="120"/>
                              </w:rPr>
                              <w:t xml:space="preserve">od </w:t>
                            </w:r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spraw Rees </w:t>
                            </w:r>
                            <w:proofErr w:type="spellStart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>Zjednoczonemu</w:t>
                            </w:r>
                            <w:proofErr w:type="spellEnd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>Królestwu</w:t>
                            </w:r>
                            <w:proofErr w:type="spellEnd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Cossey </w:t>
                            </w:r>
                            <w:proofErr w:type="spellStart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>Zjednoczonemu</w:t>
                            </w:r>
                            <w:proofErr w:type="spellEnd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>Królestwu</w:t>
                            </w:r>
                            <w:proofErr w:type="spellEnd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0071BB"/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patrz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powyżej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strona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1),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różnice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między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systemami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stanu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cywilnego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Zjednoczonym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Królestwie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we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Francji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Podczas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gdy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 Wielkiej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Brytanii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istniały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poważne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przeszkody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uniemożliwiające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zmianę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aktów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urodzenia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we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Francji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akty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miały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być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aktualizowane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całe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życie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danej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spacing w:val="40"/>
                                <w:w w:val="120"/>
                              </w:rPr>
                              <w:t>Try</w:t>
                            </w:r>
                            <w:r>
                              <w:rPr>
                                <w:color w:val="0071BB"/>
                                <w:w w:val="120"/>
                              </w:rPr>
                              <w:t>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zauważył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we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Francji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wiele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oficjalnych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dokumentów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ujawniało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rozbieżność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między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płcią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prawną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płcią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widoczną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transseksualisty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” (§ 59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wyroku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), co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pojawiało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również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dokumentach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dotyczących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ubezpieczenia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społecznego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odcinkach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wypłaty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uznał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zatem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odmowa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zmiany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rejestru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stanu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cywilnego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odniesieniu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skarżące</w:t>
                            </w:r>
                            <w:r w:rsidR="001675A4">
                              <w:rPr>
                                <w:color w:val="0071BB"/>
                                <w:w w:val="120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postawiła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 w:rsidR="001675A4">
                              <w:rPr>
                                <w:color w:val="0071BB"/>
                                <w:w w:val="120"/>
                              </w:rPr>
                              <w:t>ją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„w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sytuacji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która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była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zgodna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poszanowaniem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 w:rsidR="001675A4">
                              <w:rPr>
                                <w:color w:val="0071BB"/>
                                <w:w w:val="120"/>
                              </w:rPr>
                              <w:t>jej</w:t>
                            </w:r>
                            <w:proofErr w:type="spellEnd"/>
                            <w:r w:rsidR="001675A4"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prywatnego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>”.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AD45CD3" id="Textbox 12" o:spid="_x0000_s1027" type="#_x0000_t202" style="width:454.2pt;height:17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" fillcolor="#f3f3f3" stroked="f">
                <v:textbox inset="0,0,0,0">
                  <w:txbxContent>
                    <w:p w14:paraId="513B0B95" w14:textId="55790A7A" w:rsidR="0039779E" w:rsidRDefault="00AA5AE6">
                      <w:pPr>
                        <w:pStyle w:val="Tekstpodstawowy"/>
                        <w:spacing w:before="1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</w:rPr>
                        <w:t>się na odmowę władz francuskich dokonania zmiany w rejestrz</w:t>
                      </w:r>
                      <w:r w:rsidR="008539E0">
                        <w:rPr>
                          <w:color w:val="000000"/>
                          <w:w w:val="120"/>
                        </w:rPr>
                        <w:t>e</w:t>
                      </w:r>
                      <w:r>
                        <w:rPr>
                          <w:color w:val="000000"/>
                          <w:w w:val="120"/>
                        </w:rPr>
                        <w:t xml:space="preserve"> stanu cywilnego zgodnie z je</w:t>
                      </w:r>
                      <w:r w:rsidR="001675A4">
                        <w:rPr>
                          <w:color w:val="000000"/>
                          <w:w w:val="120"/>
                        </w:rPr>
                        <w:t>j</w:t>
                      </w:r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0"/>
                        </w:rPr>
                        <w:t>życzeniem.</w:t>
                      </w:r>
                    </w:p>
                    <w:p w14:paraId="61383954" w14:textId="2D3B3204" w:rsidR="0039779E" w:rsidRDefault="00F712A0">
                      <w:pPr>
                        <w:pStyle w:val="Tekstpodstawowy"/>
                        <w:ind w:left="28" w:right="24"/>
                        <w:rPr>
                          <w:color w:val="000000"/>
                        </w:rPr>
                      </w:pPr>
                      <w:r>
                        <w:rPr>
                          <w:color w:val="0071BB"/>
                          <w:w w:val="120"/>
                        </w:rPr>
                        <w:t xml:space="preserve">Trybunał uznał, że doszło </w:t>
                      </w:r>
                      <w:r>
                        <w:rPr>
                          <w:b/>
                          <w:color w:val="0071BB"/>
                          <w:w w:val="120"/>
                        </w:rPr>
                        <w:t xml:space="preserve">do naruszenia art. 8 </w:t>
                      </w:r>
                      <w:r>
                        <w:rPr>
                          <w:color w:val="0071BB"/>
                          <w:w w:val="120"/>
                        </w:rPr>
                        <w:t xml:space="preserve">(prawo do poszanowania życia prywatnego i rodzinnego) Konwencji, biorąc pod uwagę czynniki odróżniające sprawę </w:t>
                      </w:r>
                      <w:r>
                        <w:rPr>
                          <w:i/>
                          <w:color w:val="0071BB"/>
                          <w:w w:val="120"/>
                        </w:rPr>
                        <w:t xml:space="preserve">B. </w:t>
                      </w:r>
                      <w:r>
                        <w:rPr>
                          <w:color w:val="0071BB"/>
                          <w:w w:val="120"/>
                        </w:rPr>
                        <w:t xml:space="preserve">od </w:t>
                      </w:r>
                      <w:r>
                        <w:rPr>
                          <w:i/>
                          <w:color w:val="0071BB"/>
                          <w:w w:val="120"/>
                        </w:rPr>
                        <w:t xml:space="preserve">spraw Rees przeciwko Zjednoczonemu Królestwu </w:t>
                      </w:r>
                      <w:r>
                        <w:rPr>
                          <w:color w:val="0071BB"/>
                          <w:w w:val="120"/>
                        </w:rPr>
                        <w:t xml:space="preserve">i </w:t>
                      </w:r>
                      <w:r>
                        <w:rPr>
                          <w:i/>
                          <w:color w:val="0071BB"/>
                          <w:w w:val="120"/>
                        </w:rPr>
                        <w:t xml:space="preserve">Cossey przeciwko Zjednoczonemu Królestwu </w:t>
                      </w:r>
                      <w:r>
                        <w:rPr>
                          <w:color w:val="0071BB"/>
                          <w:w w:val="120"/>
                        </w:rPr>
                        <w:t xml:space="preserve">(patrz powyżej, strona 1), w szczególności różnice między systemami stanu cywilnego w Zjednoczonym Królestwie i we Francji. Podczas gdy w Wielkiej Brytanii istniały poważne przeszkody uniemożliwiające zmianę aktów urodzenia, we Francji akty te miały być aktualizowane przez całe życie danej osoby. </w:t>
                      </w:r>
                      <w:r>
                        <w:rPr>
                          <w:color w:val="0071BB"/>
                          <w:spacing w:val="40"/>
                          <w:w w:val="120"/>
                        </w:rPr>
                        <w:t>Try</w:t>
                      </w:r>
                      <w:r>
                        <w:rPr>
                          <w:color w:val="0071BB"/>
                          <w:w w:val="120"/>
                        </w:rPr>
                        <w:t>bunał zauważył, że we Francji wiele oficjalnych dokumentów ujawniało „rozbieżność między płcią prawną a płcią widoczną transseksualisty” (§ 59 wyroku), co pojawiało się również w dokumentach dotyczących ubezpieczenia społecznego i odcinkach wypłaty. Trybunał uznał zatem, że odmowa zmiany rejestru stanu cywilnego w odniesieniu do skarżące</w:t>
                      </w:r>
                      <w:r w:rsidR="001675A4">
                        <w:rPr>
                          <w:color w:val="0071BB"/>
                          <w:w w:val="120"/>
                        </w:rPr>
                        <w:t>j</w:t>
                      </w:r>
                      <w:r>
                        <w:rPr>
                          <w:color w:val="0071BB"/>
                          <w:w w:val="120"/>
                        </w:rPr>
                        <w:t xml:space="preserve"> postawiła </w:t>
                      </w:r>
                      <w:r w:rsidR="001675A4">
                        <w:rPr>
                          <w:color w:val="0071BB"/>
                          <w:w w:val="120"/>
                        </w:rPr>
                        <w:t>ją</w:t>
                      </w:r>
                      <w:r>
                        <w:rPr>
                          <w:color w:val="0071BB"/>
                          <w:w w:val="120"/>
                        </w:rPr>
                        <w:t xml:space="preserve"> „w sytuacji, która nie była zgodna z poszanowaniem </w:t>
                      </w:r>
                      <w:r w:rsidR="001675A4">
                        <w:rPr>
                          <w:color w:val="0071BB"/>
                          <w:w w:val="120"/>
                        </w:rPr>
                        <w:t xml:space="preserve">jej </w:t>
                      </w:r>
                      <w:r>
                        <w:rPr>
                          <w:color w:val="0071BB"/>
                          <w:w w:val="120"/>
                        </w:rPr>
                        <w:t>życia prywatnego”.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A0992F" w14:textId="77777777" w:rsidR="0039779E" w:rsidRDefault="0039779E">
      <w:pPr>
        <w:pStyle w:val="Nagwek2"/>
        <w:rPr>
          <w:u w:val="none"/>
        </w:rPr>
      </w:pPr>
      <w:hyperlink r:id="rId14">
        <w:r>
          <w:rPr>
            <w:color w:val="0071BB"/>
            <w:w w:val="135"/>
            <w:u w:color="0071BB"/>
          </w:rPr>
          <w:t xml:space="preserve">X, Y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Z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Zjednoczonemu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Królestwu</w:t>
        </w:r>
        <w:proofErr w:type="spellEnd"/>
        <w:r>
          <w:rPr>
            <w:color w:val="0071BB"/>
            <w:w w:val="135"/>
            <w:u w:color="0071BB"/>
          </w:rPr>
          <w:t xml:space="preserve"> (nr</w:t>
        </w:r>
        <w:r>
          <w:rPr>
            <w:color w:val="0071BB"/>
            <w:spacing w:val="-2"/>
            <w:w w:val="135"/>
            <w:u w:color="0071BB"/>
          </w:rPr>
          <w:t xml:space="preserve"> 21830/93)</w:t>
        </w:r>
      </w:hyperlink>
    </w:p>
    <w:p w14:paraId="27217917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22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spacing w:val="-4"/>
          <w:w w:val="125"/>
          <w:sz w:val="18"/>
        </w:rPr>
        <w:t xml:space="preserve"> 1997 r.</w:t>
      </w:r>
    </w:p>
    <w:p w14:paraId="4A2F391A" w14:textId="0313D785" w:rsidR="0039779E" w:rsidRDefault="001675A4">
      <w:pPr>
        <w:pStyle w:val="Tekstpodstawowy"/>
        <w:spacing w:before="2"/>
        <w:ind w:left="874" w:right="730"/>
      </w:pPr>
      <w:proofErr w:type="spellStart"/>
      <w:r>
        <w:rPr>
          <w:w w:val="120"/>
        </w:rPr>
        <w:t>Pierwszy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, X, </w:t>
      </w:r>
      <w:proofErr w:type="spellStart"/>
      <w:r>
        <w:rPr>
          <w:w w:val="120"/>
        </w:rPr>
        <w:t>transseksualista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przeszedł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kobiecej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męską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pozostawał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stałym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związku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drugą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skarżącą</w:t>
      </w:r>
      <w:proofErr w:type="spellEnd"/>
      <w:r>
        <w:rPr>
          <w:w w:val="120"/>
        </w:rPr>
        <w:t xml:space="preserve">, Y, </w:t>
      </w:r>
      <w:proofErr w:type="spellStart"/>
      <w:r>
        <w:rPr>
          <w:w w:val="120"/>
        </w:rPr>
        <w:t>kobietą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Trzecia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, Z, </w:t>
      </w:r>
      <w:proofErr w:type="spellStart"/>
      <w:r>
        <w:rPr>
          <w:w w:val="120"/>
        </w:rPr>
        <w:t>urodziła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drugiej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skarżącej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sztucznego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zapłodnienia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nasieniem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dawcy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twierdzili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związku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między</w:t>
      </w:r>
      <w:proofErr w:type="spellEnd"/>
      <w:r>
        <w:rPr>
          <w:w w:val="120"/>
        </w:rPr>
        <w:t xml:space="preserve"> X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stanowił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naruszenie</w:t>
      </w:r>
      <w:proofErr w:type="spellEnd"/>
      <w:r>
        <w:rPr>
          <w:w w:val="120"/>
        </w:rPr>
        <w:t xml:space="preserve"> ich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rodzinnego</w:t>
      </w:r>
      <w:proofErr w:type="spellEnd"/>
      <w:r>
        <w:rPr>
          <w:w w:val="120"/>
        </w:rPr>
        <w:t>.</w:t>
      </w:r>
    </w:p>
    <w:p w14:paraId="10AE7ACE" w14:textId="2B3FA86A" w:rsidR="0039779E" w:rsidRDefault="00F712A0">
      <w:pPr>
        <w:spacing w:line="237" w:lineRule="auto"/>
        <w:ind w:left="873" w:right="730"/>
        <w:jc w:val="both"/>
        <w:rPr>
          <w:sz w:val="20"/>
        </w:rPr>
      </w:pPr>
      <w:proofErr w:type="spellStart"/>
      <w:r>
        <w:rPr>
          <w:color w:val="0071BB"/>
          <w:w w:val="125"/>
          <w:sz w:val="20"/>
        </w:rPr>
        <w:t>Chociaż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Trybunał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uznał</w:t>
      </w:r>
      <w:proofErr w:type="spellEnd"/>
      <w:r>
        <w:rPr>
          <w:color w:val="0071BB"/>
          <w:w w:val="125"/>
          <w:sz w:val="20"/>
        </w:rPr>
        <w:t xml:space="preserve">, </w:t>
      </w:r>
      <w:proofErr w:type="spellStart"/>
      <w:r>
        <w:rPr>
          <w:color w:val="0071BB"/>
          <w:w w:val="125"/>
          <w:sz w:val="20"/>
        </w:rPr>
        <w:t>że</w:t>
      </w:r>
      <w:proofErr w:type="spellEnd"/>
      <w:r>
        <w:rPr>
          <w:color w:val="0071BB"/>
          <w:w w:val="125"/>
          <w:sz w:val="20"/>
        </w:rPr>
        <w:t xml:space="preserve"> w </w:t>
      </w:r>
      <w:proofErr w:type="spellStart"/>
      <w:r>
        <w:rPr>
          <w:color w:val="0071BB"/>
          <w:w w:val="125"/>
          <w:sz w:val="20"/>
        </w:rPr>
        <w:t>niniejszej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sprawie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nie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 w:rsidRPr="00D829B1">
        <w:rPr>
          <w:color w:val="0071BB"/>
          <w:w w:val="125"/>
          <w:sz w:val="20"/>
        </w:rPr>
        <w:t>doszło</w:t>
      </w:r>
      <w:proofErr w:type="spellEnd"/>
      <w:r>
        <w:rPr>
          <w:color w:val="0071BB"/>
          <w:w w:val="125"/>
          <w:sz w:val="20"/>
        </w:rPr>
        <w:t xml:space="preserve"> </w:t>
      </w:r>
      <w:r>
        <w:rPr>
          <w:b/>
          <w:color w:val="0071BB"/>
          <w:w w:val="125"/>
          <w:sz w:val="20"/>
        </w:rPr>
        <w:t xml:space="preserve">do </w:t>
      </w:r>
      <w:proofErr w:type="spellStart"/>
      <w:r>
        <w:rPr>
          <w:b/>
          <w:color w:val="0071BB"/>
          <w:w w:val="125"/>
          <w:sz w:val="20"/>
        </w:rPr>
        <w:t>naruszenia</w:t>
      </w:r>
      <w:proofErr w:type="spellEnd"/>
      <w:r>
        <w:rPr>
          <w:b/>
          <w:color w:val="0071BB"/>
          <w:w w:val="125"/>
          <w:sz w:val="20"/>
        </w:rPr>
        <w:t xml:space="preserve"> art. 8 </w:t>
      </w:r>
      <w:r>
        <w:rPr>
          <w:color w:val="0071BB"/>
          <w:w w:val="125"/>
          <w:sz w:val="20"/>
        </w:rPr>
        <w:t>(</w:t>
      </w:r>
      <w:proofErr w:type="spellStart"/>
      <w:r>
        <w:rPr>
          <w:color w:val="0071BB"/>
          <w:w w:val="125"/>
          <w:sz w:val="20"/>
        </w:rPr>
        <w:t>prawo</w:t>
      </w:r>
      <w:proofErr w:type="spellEnd"/>
      <w:r>
        <w:rPr>
          <w:color w:val="0071BB"/>
          <w:w w:val="125"/>
          <w:sz w:val="20"/>
        </w:rPr>
        <w:t xml:space="preserve"> do </w:t>
      </w:r>
      <w:proofErr w:type="spellStart"/>
      <w:r>
        <w:rPr>
          <w:color w:val="0071BB"/>
          <w:w w:val="125"/>
          <w:sz w:val="20"/>
        </w:rPr>
        <w:t>poszanowania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życia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prywatnego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i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rodzinnego</w:t>
      </w:r>
      <w:proofErr w:type="spellEnd"/>
      <w:r>
        <w:rPr>
          <w:color w:val="0071BB"/>
          <w:w w:val="125"/>
          <w:sz w:val="20"/>
        </w:rPr>
        <w:t xml:space="preserve">) </w:t>
      </w:r>
      <w:proofErr w:type="spellStart"/>
      <w:r>
        <w:rPr>
          <w:color w:val="0071BB"/>
          <w:w w:val="125"/>
          <w:sz w:val="20"/>
        </w:rPr>
        <w:t>Konwencji</w:t>
      </w:r>
      <w:proofErr w:type="spellEnd"/>
      <w:r>
        <w:rPr>
          <w:color w:val="0071BB"/>
          <w:w w:val="125"/>
          <w:sz w:val="20"/>
        </w:rPr>
        <w:t xml:space="preserve">, to </w:t>
      </w:r>
      <w:proofErr w:type="spellStart"/>
      <w:r>
        <w:rPr>
          <w:color w:val="0071BB"/>
          <w:w w:val="125"/>
          <w:sz w:val="20"/>
        </w:rPr>
        <w:t>jednak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uznał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istnienie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życia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rodzinnego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między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osobą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transseksualną</w:t>
      </w:r>
      <w:proofErr w:type="spellEnd"/>
      <w:r>
        <w:rPr>
          <w:b/>
          <w:color w:val="0071BB"/>
          <w:w w:val="125"/>
          <w:sz w:val="20"/>
        </w:rPr>
        <w:t xml:space="preserve"> a </w:t>
      </w:r>
      <w:proofErr w:type="spellStart"/>
      <w:r>
        <w:rPr>
          <w:b/>
          <w:color w:val="0071BB"/>
          <w:w w:val="125"/>
          <w:sz w:val="20"/>
        </w:rPr>
        <w:t>dzieckiem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jej</w:t>
      </w:r>
      <w:proofErr w:type="spellEnd"/>
      <w:r>
        <w:rPr>
          <w:b/>
          <w:color w:val="0071BB"/>
          <w:w w:val="125"/>
          <w:sz w:val="20"/>
        </w:rPr>
        <w:t xml:space="preserve"> </w:t>
      </w:r>
      <w:proofErr w:type="spellStart"/>
      <w:r>
        <w:rPr>
          <w:b/>
          <w:color w:val="0071BB"/>
          <w:w w:val="125"/>
          <w:sz w:val="20"/>
        </w:rPr>
        <w:t>partnera</w:t>
      </w:r>
      <w:proofErr w:type="spellEnd"/>
      <w:r>
        <w:rPr>
          <w:color w:val="0071BB"/>
          <w:w w:val="125"/>
          <w:sz w:val="20"/>
        </w:rPr>
        <w:t xml:space="preserve">: „X </w:t>
      </w:r>
      <w:proofErr w:type="spellStart"/>
      <w:r>
        <w:rPr>
          <w:color w:val="0071BB"/>
          <w:w w:val="125"/>
          <w:sz w:val="20"/>
        </w:rPr>
        <w:t>pełnił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rolę</w:t>
      </w:r>
      <w:proofErr w:type="spellEnd"/>
      <w:r>
        <w:rPr>
          <w:color w:val="0071BB"/>
          <w:w w:val="125"/>
          <w:sz w:val="20"/>
        </w:rPr>
        <w:t xml:space="preserve"> „</w:t>
      </w:r>
      <w:proofErr w:type="spellStart"/>
      <w:r>
        <w:rPr>
          <w:color w:val="0071BB"/>
          <w:w w:val="125"/>
          <w:sz w:val="20"/>
        </w:rPr>
        <w:t>ojca</w:t>
      </w:r>
      <w:proofErr w:type="spellEnd"/>
      <w:r>
        <w:rPr>
          <w:color w:val="0071BB"/>
          <w:w w:val="125"/>
          <w:sz w:val="20"/>
        </w:rPr>
        <w:t xml:space="preserve">” Z pod </w:t>
      </w:r>
      <w:proofErr w:type="spellStart"/>
      <w:r>
        <w:rPr>
          <w:color w:val="0071BB"/>
          <w:w w:val="125"/>
          <w:sz w:val="20"/>
        </w:rPr>
        <w:t>każdym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względem</w:t>
      </w:r>
      <w:proofErr w:type="spellEnd"/>
      <w:r>
        <w:rPr>
          <w:color w:val="0071BB"/>
          <w:w w:val="125"/>
          <w:sz w:val="20"/>
        </w:rPr>
        <w:t xml:space="preserve">” od </w:t>
      </w:r>
      <w:proofErr w:type="spellStart"/>
      <w:r>
        <w:rPr>
          <w:color w:val="0071BB"/>
          <w:w w:val="125"/>
          <w:sz w:val="20"/>
        </w:rPr>
        <w:t>momentu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narodzin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dziecka</w:t>
      </w:r>
      <w:proofErr w:type="spellEnd"/>
      <w:r>
        <w:rPr>
          <w:color w:val="0071BB"/>
          <w:w w:val="125"/>
          <w:sz w:val="20"/>
        </w:rPr>
        <w:t xml:space="preserve">. W </w:t>
      </w:r>
      <w:proofErr w:type="spellStart"/>
      <w:r>
        <w:rPr>
          <w:color w:val="0071BB"/>
          <w:w w:val="125"/>
          <w:sz w:val="20"/>
        </w:rPr>
        <w:t>tych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okolicznościach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Trybunał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uznał</w:t>
      </w:r>
      <w:proofErr w:type="spellEnd"/>
      <w:r>
        <w:rPr>
          <w:color w:val="0071BB"/>
          <w:w w:val="125"/>
          <w:sz w:val="20"/>
        </w:rPr>
        <w:t xml:space="preserve">, </w:t>
      </w:r>
      <w:proofErr w:type="spellStart"/>
      <w:r>
        <w:rPr>
          <w:color w:val="0071BB"/>
          <w:w w:val="125"/>
          <w:sz w:val="20"/>
        </w:rPr>
        <w:t>że</w:t>
      </w:r>
      <w:proofErr w:type="spellEnd"/>
      <w:r>
        <w:rPr>
          <w:color w:val="0071BB"/>
          <w:w w:val="125"/>
          <w:sz w:val="20"/>
        </w:rPr>
        <w:t xml:space="preserve"> </w:t>
      </w:r>
      <w:r>
        <w:rPr>
          <w:color w:val="0071BB"/>
          <w:spacing w:val="40"/>
          <w:w w:val="125"/>
          <w:sz w:val="20"/>
        </w:rPr>
        <w:t>[</w:t>
      </w:r>
      <w:r w:rsidR="008539E0">
        <w:rPr>
          <w:i/>
          <w:color w:val="0071BB"/>
          <w:w w:val="125"/>
          <w:sz w:val="20"/>
        </w:rPr>
        <w:t>de facto</w:t>
      </w:r>
      <w:r>
        <w:rPr>
          <w:i/>
          <w:color w:val="0071BB"/>
          <w:w w:val="125"/>
          <w:sz w:val="20"/>
        </w:rPr>
        <w:t xml:space="preserve">] </w:t>
      </w:r>
      <w:proofErr w:type="spellStart"/>
      <w:r>
        <w:rPr>
          <w:color w:val="0071BB"/>
          <w:w w:val="125"/>
          <w:sz w:val="20"/>
        </w:rPr>
        <w:t>więzi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rodzinne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łączyły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trzech</w:t>
      </w:r>
      <w:proofErr w:type="spellEnd"/>
      <w:r>
        <w:rPr>
          <w:color w:val="0071BB"/>
          <w:w w:val="125"/>
          <w:sz w:val="20"/>
        </w:rPr>
        <w:t xml:space="preserve"> </w:t>
      </w:r>
      <w:proofErr w:type="spellStart"/>
      <w:r>
        <w:rPr>
          <w:color w:val="0071BB"/>
          <w:w w:val="125"/>
          <w:sz w:val="20"/>
        </w:rPr>
        <w:t>skarżących</w:t>
      </w:r>
      <w:proofErr w:type="spellEnd"/>
      <w:r>
        <w:rPr>
          <w:color w:val="0071BB"/>
          <w:w w:val="125"/>
          <w:sz w:val="20"/>
        </w:rPr>
        <w:t xml:space="preserve">” (§ 37 </w:t>
      </w:r>
      <w:proofErr w:type="spellStart"/>
      <w:r>
        <w:rPr>
          <w:color w:val="0071BB"/>
          <w:w w:val="125"/>
          <w:sz w:val="20"/>
        </w:rPr>
        <w:t>wyroku</w:t>
      </w:r>
      <w:proofErr w:type="spellEnd"/>
      <w:r>
        <w:rPr>
          <w:color w:val="0071BB"/>
          <w:w w:val="125"/>
          <w:sz w:val="20"/>
        </w:rPr>
        <w:t>).</w:t>
      </w:r>
    </w:p>
    <w:p w14:paraId="10A9FAF1" w14:textId="77777777" w:rsidR="0039779E" w:rsidRDefault="0039779E">
      <w:pPr>
        <w:pStyle w:val="Nagwek2"/>
        <w:spacing w:before="125"/>
        <w:rPr>
          <w:u w:val="none"/>
        </w:rPr>
      </w:pPr>
      <w:hyperlink r:id="rId15">
        <w:r>
          <w:rPr>
            <w:color w:val="0071BB"/>
            <w:w w:val="135"/>
            <w:u w:color="0071BB"/>
          </w:rPr>
          <w:t xml:space="preserve">Sheffield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Horsham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Zjednoczonemu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Królestwu</w:t>
        </w:r>
        <w:proofErr w:type="spellEnd"/>
      </w:hyperlink>
    </w:p>
    <w:p w14:paraId="640CBBAD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30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spacing w:val="-4"/>
          <w:w w:val="125"/>
          <w:sz w:val="18"/>
        </w:rPr>
        <w:t xml:space="preserve"> 1998 r.</w:t>
      </w:r>
    </w:p>
    <w:p w14:paraId="5788CAAA" w14:textId="77777777" w:rsidR="0039779E" w:rsidRDefault="00F712A0">
      <w:pPr>
        <w:pStyle w:val="Tekstpodstawowy"/>
        <w:spacing w:before="2"/>
        <w:ind w:right="730"/>
      </w:pPr>
      <w:r>
        <w:rPr>
          <w:w w:val="125"/>
        </w:rPr>
        <w:t xml:space="preserve">W </w:t>
      </w:r>
      <w:proofErr w:type="spellStart"/>
      <w:r>
        <w:rPr>
          <w:w w:val="125"/>
        </w:rPr>
        <w:t>niniejszej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sprawie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Trybunał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uznał</w:t>
      </w:r>
      <w:proofErr w:type="spellEnd"/>
      <w:r>
        <w:rPr>
          <w:w w:val="125"/>
        </w:rPr>
        <w:t xml:space="preserve"> za </w:t>
      </w:r>
      <w:proofErr w:type="spellStart"/>
      <w:r>
        <w:rPr>
          <w:w w:val="125"/>
        </w:rPr>
        <w:t>stosowne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odejść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od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swoich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orzeczeń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sprawach</w:t>
      </w:r>
      <w:proofErr w:type="spellEnd"/>
      <w:r>
        <w:rPr>
          <w:i/>
          <w:w w:val="125"/>
        </w:rPr>
        <w:t xml:space="preserve"> Rees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 xml:space="preserve"> </w:t>
      </w:r>
      <w:r>
        <w:rPr>
          <w:i/>
          <w:w w:val="125"/>
        </w:rPr>
        <w:t xml:space="preserve">Cossey </w:t>
      </w:r>
      <w:r>
        <w:rPr>
          <w:w w:val="125"/>
        </w:rPr>
        <w:t>(</w:t>
      </w:r>
      <w:proofErr w:type="spellStart"/>
      <w:r>
        <w:rPr>
          <w:w w:val="125"/>
        </w:rPr>
        <w:t>zob</w:t>
      </w:r>
      <w:proofErr w:type="spellEnd"/>
      <w:r>
        <w:rPr>
          <w:w w:val="125"/>
        </w:rPr>
        <w:t xml:space="preserve">. </w:t>
      </w:r>
      <w:proofErr w:type="spellStart"/>
      <w:r>
        <w:rPr>
          <w:w w:val="125"/>
        </w:rPr>
        <w:t>powyżej</w:t>
      </w:r>
      <w:proofErr w:type="spellEnd"/>
      <w:r>
        <w:rPr>
          <w:w w:val="125"/>
        </w:rPr>
        <w:t xml:space="preserve">, str. 1). </w:t>
      </w:r>
      <w:proofErr w:type="spellStart"/>
      <w:r>
        <w:rPr>
          <w:w w:val="125"/>
        </w:rPr>
        <w:t>Zwrócił</w:t>
      </w:r>
      <w:proofErr w:type="spellEnd"/>
      <w:r>
        <w:rPr>
          <w:w w:val="125"/>
        </w:rPr>
        <w:t xml:space="preserve"> on w </w:t>
      </w:r>
      <w:proofErr w:type="spellStart"/>
      <w:r>
        <w:rPr>
          <w:w w:val="125"/>
        </w:rPr>
        <w:t>szczególności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uwagę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że</w:t>
      </w:r>
      <w:proofErr w:type="spellEnd"/>
      <w:r>
        <w:rPr>
          <w:w w:val="125"/>
        </w:rPr>
        <w:t xml:space="preserve"> „</w:t>
      </w:r>
      <w:proofErr w:type="spellStart"/>
      <w:r>
        <w:rPr>
          <w:w w:val="125"/>
        </w:rPr>
        <w:t>transseksualizm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nadal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rodzi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złożone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kwestie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naukowe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prawne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moralne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społeczne</w:t>
      </w:r>
      <w:proofErr w:type="spellEnd"/>
      <w:r>
        <w:rPr>
          <w:w w:val="125"/>
        </w:rPr>
        <w:t xml:space="preserve">, w </w:t>
      </w:r>
      <w:proofErr w:type="spellStart"/>
      <w:r>
        <w:rPr>
          <w:w w:val="125"/>
        </w:rPr>
        <w:t>odniesieniu</w:t>
      </w:r>
      <w:proofErr w:type="spellEnd"/>
      <w:r>
        <w:rPr>
          <w:w w:val="125"/>
        </w:rPr>
        <w:t xml:space="preserve"> do </w:t>
      </w:r>
      <w:proofErr w:type="spellStart"/>
      <w:r>
        <w:rPr>
          <w:w w:val="125"/>
        </w:rPr>
        <w:t>których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istnieje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powszechnie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przyjęte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podejście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wśród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Umawiających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się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Państw</w:t>
      </w:r>
      <w:proofErr w:type="spellEnd"/>
      <w:r>
        <w:rPr>
          <w:w w:val="125"/>
        </w:rPr>
        <w:t xml:space="preserve">” (§ 58 </w:t>
      </w:r>
      <w:proofErr w:type="spellStart"/>
      <w:r>
        <w:rPr>
          <w:w w:val="125"/>
        </w:rPr>
        <w:t>wyroku</w:t>
      </w:r>
      <w:proofErr w:type="spellEnd"/>
      <w:r>
        <w:rPr>
          <w:w w:val="125"/>
        </w:rPr>
        <w:t>).</w:t>
      </w:r>
    </w:p>
    <w:p w14:paraId="35D3CE66" w14:textId="77777777" w:rsidR="0039779E" w:rsidRDefault="00F712A0">
      <w:pPr>
        <w:pStyle w:val="Tekstpodstawowy"/>
        <w:spacing w:line="237" w:lineRule="auto"/>
        <w:ind w:right="729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 w:rsidRPr="00D829B1"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), </w:t>
      </w:r>
      <w:r>
        <w:rPr>
          <w:b/>
          <w:color w:val="0071BB"/>
          <w:w w:val="120"/>
        </w:rPr>
        <w:t xml:space="preserve">art. 12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założenia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rodziny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b/>
          <w:color w:val="0071BB"/>
          <w:w w:val="120"/>
        </w:rPr>
        <w:t>oraz</w:t>
      </w:r>
      <w:proofErr w:type="spellEnd"/>
      <w:r>
        <w:rPr>
          <w:b/>
          <w:color w:val="0071BB"/>
          <w:w w:val="120"/>
        </w:rPr>
        <w:t xml:space="preserve"> art. 14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Jednakże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kwestia</w:t>
      </w:r>
      <w:proofErr w:type="spellEnd"/>
      <w:r>
        <w:rPr>
          <w:color w:val="0071BB"/>
          <w:w w:val="120"/>
        </w:rPr>
        <w:t xml:space="preserve"> ta </w:t>
      </w:r>
      <w:proofErr w:type="spellStart"/>
      <w:r>
        <w:rPr>
          <w:color w:val="0071BB"/>
          <w:w w:val="120"/>
        </w:rPr>
        <w:t>wymaga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stałego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monitorowania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Umawiające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” w </w:t>
      </w:r>
      <w:proofErr w:type="spellStart"/>
      <w:r>
        <w:rPr>
          <w:color w:val="0071BB"/>
          <w:w w:val="120"/>
        </w:rPr>
        <w:t>kontekście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rosnącej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akceptacji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zjawiska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świadomości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problemów</w:t>
      </w:r>
      <w:proofErr w:type="spellEnd"/>
      <w:r>
        <w:rPr>
          <w:color w:val="0071BB"/>
          <w:w w:val="120"/>
        </w:rPr>
        <w:t xml:space="preserve">, z </w:t>
      </w:r>
      <w:proofErr w:type="spellStart"/>
      <w:r>
        <w:rPr>
          <w:color w:val="0071BB"/>
          <w:w w:val="120"/>
        </w:rPr>
        <w:t>jakimi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borykają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po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” </w:t>
      </w:r>
      <w:r>
        <w:rPr>
          <w:color w:val="0071BB"/>
          <w:spacing w:val="40"/>
          <w:w w:val="120"/>
        </w:rPr>
        <w:t>(</w:t>
      </w:r>
      <w:r>
        <w:rPr>
          <w:color w:val="0071BB"/>
          <w:w w:val="120"/>
        </w:rPr>
        <w:t xml:space="preserve">§ 60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>).</w:t>
      </w:r>
    </w:p>
    <w:p w14:paraId="19A1F573" w14:textId="77777777" w:rsidR="0039779E" w:rsidRDefault="0039779E">
      <w:pPr>
        <w:pStyle w:val="Tekstpodstawowy"/>
        <w:spacing w:before="5"/>
        <w:ind w:left="0"/>
        <w:jc w:val="left"/>
      </w:pPr>
    </w:p>
    <w:p w14:paraId="755200CF" w14:textId="77777777" w:rsidR="0039779E" w:rsidRDefault="00F712A0">
      <w:pPr>
        <w:ind w:left="874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EC0195" wp14:editId="1105AC04">
                <wp:simplePos x="0" y="0"/>
                <wp:positionH relativeFrom="page">
                  <wp:posOffset>896111</wp:posOffset>
                </wp:positionH>
                <wp:positionV relativeFrom="paragraph">
                  <wp:posOffset>255059</wp:posOffset>
                </wp:positionV>
                <wp:extent cx="5768340" cy="1841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F8A0A" id="Graphic 13" o:spid="_x0000_s1026" style="position:absolute;margin-left:70.55pt;margin-top:20.1pt;width:454.2pt;height: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spacing w:val="-4"/>
          <w:w w:val="125"/>
          <w:sz w:val="29"/>
        </w:rPr>
        <w:t>Sprawa</w:t>
      </w:r>
      <w:proofErr w:type="spellEnd"/>
      <w:r>
        <w:rPr>
          <w:color w:val="0071BB"/>
          <w:spacing w:val="-4"/>
          <w:w w:val="125"/>
          <w:sz w:val="29"/>
        </w:rPr>
        <w:t xml:space="preserve"> </w:t>
      </w:r>
      <w:r>
        <w:rPr>
          <w:i/>
          <w:color w:val="0071BB"/>
          <w:w w:val="125"/>
          <w:sz w:val="29"/>
        </w:rPr>
        <w:t>Christine Goodwin</w:t>
      </w:r>
    </w:p>
    <w:p w14:paraId="65F602B4" w14:textId="77777777" w:rsidR="0039779E" w:rsidRDefault="0039779E">
      <w:pPr>
        <w:pStyle w:val="Nagwek2"/>
        <w:spacing w:before="133"/>
        <w:rPr>
          <w:u w:val="none"/>
        </w:rPr>
      </w:pPr>
      <w:hyperlink r:id="rId16">
        <w:r>
          <w:rPr>
            <w:color w:val="0071BB"/>
            <w:w w:val="135"/>
            <w:u w:color="0071BB"/>
          </w:rPr>
          <w:t xml:space="preserve">Christine Goodwin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Zjednoczonemu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Królestwu</w:t>
        </w:r>
        <w:proofErr w:type="spellEnd"/>
      </w:hyperlink>
    </w:p>
    <w:p w14:paraId="29D296D2" w14:textId="4F9B4262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11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w w:val="125"/>
          <w:sz w:val="18"/>
        </w:rPr>
        <w:t xml:space="preserve"> 2002 r. (</w:t>
      </w:r>
      <w:proofErr w:type="spellStart"/>
      <w:r>
        <w:rPr>
          <w:color w:val="808080"/>
          <w:w w:val="125"/>
          <w:sz w:val="18"/>
        </w:rPr>
        <w:t>Wielka</w:t>
      </w:r>
      <w:proofErr w:type="spellEnd"/>
      <w:r>
        <w:rPr>
          <w:color w:val="808080"/>
          <w:w w:val="125"/>
          <w:sz w:val="18"/>
        </w:rPr>
        <w:t xml:space="preserve"> </w:t>
      </w:r>
      <w:r>
        <w:rPr>
          <w:color w:val="808080"/>
          <w:spacing w:val="-2"/>
          <w:w w:val="125"/>
          <w:sz w:val="18"/>
        </w:rPr>
        <w:t>Izba</w:t>
      </w:r>
      <w:r w:rsidR="00B123A3">
        <w:rPr>
          <w:color w:val="808080"/>
          <w:spacing w:val="-2"/>
          <w:w w:val="125"/>
          <w:sz w:val="18"/>
        </w:rPr>
        <w:t>)</w:t>
      </w:r>
    </w:p>
    <w:p w14:paraId="0EF0D18E" w14:textId="442CAC99" w:rsidR="0039779E" w:rsidRDefault="00B123A3">
      <w:pPr>
        <w:pStyle w:val="Tekstpodstawowy"/>
        <w:spacing w:before="2"/>
        <w:ind w:right="730"/>
      </w:pP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, a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sposób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traktowania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zakresie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zatrudnienia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zabezpieczenia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społecznego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emerytury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oraz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niemożność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zawarcia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małżeństwa</w:t>
      </w:r>
      <w:proofErr w:type="spellEnd"/>
      <w:r>
        <w:rPr>
          <w:w w:val="120"/>
        </w:rPr>
        <w:t>.</w:t>
      </w:r>
    </w:p>
    <w:p w14:paraId="47A3F134" w14:textId="4EBF457F" w:rsidR="0039779E" w:rsidRDefault="00F712A0" w:rsidP="00620852">
      <w:pPr>
        <w:pStyle w:val="Tekstpodstawowy"/>
        <w:ind w:right="726"/>
        <w:jc w:val="distribute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wyraźną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utrzymującą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międzynarodową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tendencję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zwiększania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akceptacji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transseksualnych</w:t>
      </w:r>
      <w:proofErr w:type="spellEnd"/>
      <w:r>
        <w:rPr>
          <w:color w:val="0071BB"/>
          <w:w w:val="120"/>
        </w:rPr>
        <w:t xml:space="preserve"> po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. „Ponieważ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ma </w:t>
      </w:r>
      <w:proofErr w:type="spellStart"/>
      <w:r>
        <w:rPr>
          <w:color w:val="0071BB"/>
          <w:w w:val="120"/>
        </w:rPr>
        <w:t>żadnych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czynników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leżących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interesie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mogłyby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przeważyć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konkretnej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B123A3">
        <w:rPr>
          <w:color w:val="0071BB"/>
          <w:w w:val="120"/>
        </w:rPr>
        <w:t>skarżącej</w:t>
      </w:r>
      <w:proofErr w:type="spellEnd"/>
      <w:r w:rsidR="00B123A3">
        <w:rPr>
          <w:color w:val="0071BB"/>
          <w:w w:val="120"/>
        </w:rPr>
        <w:t xml:space="preserve"> </w:t>
      </w:r>
      <w:r>
        <w:rPr>
          <w:color w:val="0071BB"/>
          <w:w w:val="120"/>
        </w:rPr>
        <w:t xml:space="preserve">w </w:t>
      </w:r>
      <w:proofErr w:type="spellStart"/>
      <w:r>
        <w:rPr>
          <w:color w:val="0071BB"/>
          <w:w w:val="120"/>
        </w:rPr>
        <w:t>uzyskaniu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doszedł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pojęcie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sprawiedliwej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zawarte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obecnie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zdecydowanie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przechyla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korzyść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B123A3"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” </w:t>
      </w:r>
      <w:r>
        <w:rPr>
          <w:color w:val="0071BB"/>
          <w:spacing w:val="30"/>
          <w:w w:val="120"/>
        </w:rPr>
        <w:t>(</w:t>
      </w:r>
      <w:r>
        <w:rPr>
          <w:color w:val="0071BB"/>
          <w:w w:val="120"/>
        </w:rPr>
        <w:t xml:space="preserve">§ 93 </w:t>
      </w:r>
      <w:proofErr w:type="spellStart"/>
      <w:r>
        <w:rPr>
          <w:color w:val="0071BB"/>
          <w:w w:val="120"/>
        </w:rPr>
        <w:t>wyroku</w:t>
      </w:r>
      <w:proofErr w:type="spellEnd"/>
      <w:r>
        <w:rPr>
          <w:color w:val="0071BB"/>
          <w:w w:val="120"/>
        </w:rPr>
        <w:t xml:space="preserve">). </w:t>
      </w:r>
    </w:p>
    <w:p w14:paraId="77692FB4" w14:textId="77777777" w:rsidR="0039779E" w:rsidRDefault="0039779E">
      <w:pPr>
        <w:pStyle w:val="Tekstpodstawowy"/>
        <w:sectPr w:rsidR="0039779E">
          <w:headerReference w:type="default" r:id="rId17"/>
          <w:footerReference w:type="default" r:id="rId18"/>
          <w:pgSz w:w="11910" w:h="16840"/>
          <w:pgMar w:top="1460" w:right="708" w:bottom="680" w:left="566" w:header="730" w:footer="497" w:gutter="0"/>
          <w:pgNumType w:start="2"/>
          <w:cols w:space="708"/>
        </w:sectPr>
      </w:pPr>
    </w:p>
    <w:p w14:paraId="1958081A" w14:textId="018BAB61" w:rsidR="0039779E" w:rsidRDefault="00B123A3">
      <w:pPr>
        <w:pStyle w:val="Tekstpodstawowy"/>
        <w:spacing w:before="240"/>
        <w:ind w:right="729"/>
      </w:pPr>
      <w:proofErr w:type="spellStart"/>
      <w:r>
        <w:rPr>
          <w:color w:val="0071BB"/>
          <w:w w:val="120"/>
        </w:rPr>
        <w:lastRenderedPageBreak/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orzekł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12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założenia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rodziny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przekonany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nadal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zakładać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[</w:t>
      </w:r>
      <w:proofErr w:type="spellStart"/>
      <w:r>
        <w:rPr>
          <w:color w:val="0071BB"/>
          <w:w w:val="120"/>
        </w:rPr>
        <w:t>postanowienia</w:t>
      </w:r>
      <w:proofErr w:type="spellEnd"/>
      <w:r>
        <w:rPr>
          <w:color w:val="0071BB"/>
          <w:w w:val="120"/>
        </w:rPr>
        <w:t xml:space="preserve"> art. 12] </w:t>
      </w:r>
      <w:proofErr w:type="spellStart"/>
      <w:r>
        <w:rPr>
          <w:color w:val="0071BB"/>
          <w:w w:val="120"/>
        </w:rPr>
        <w:t>muszą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odnosić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określenia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wyłącznie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kryteriów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biologicznych</w:t>
      </w:r>
      <w:proofErr w:type="spellEnd"/>
      <w:r>
        <w:rPr>
          <w:color w:val="0071BB"/>
          <w:w w:val="120"/>
        </w:rPr>
        <w:t xml:space="preserve"> (§ 100).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dodał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powinno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określić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warunki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formalności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transseksualnych</w:t>
      </w:r>
      <w:proofErr w:type="spellEnd"/>
      <w:r>
        <w:rPr>
          <w:color w:val="0071BB"/>
          <w:w w:val="120"/>
        </w:rPr>
        <w:t>, ale „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znalazł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żadnych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okolicznościach</w:t>
      </w:r>
      <w:proofErr w:type="spellEnd"/>
      <w:r>
        <w:rPr>
          <w:color w:val="0071BB"/>
          <w:w w:val="120"/>
        </w:rPr>
        <w:t>” (§ 103).</w:t>
      </w:r>
    </w:p>
    <w:p w14:paraId="613B7CB9" w14:textId="77777777" w:rsidR="0039779E" w:rsidRDefault="00F712A0">
      <w:pPr>
        <w:pStyle w:val="Tekstpodstawowy"/>
        <w:spacing w:before="74"/>
        <w:ind w:left="874" w:right="728" w:hanging="1"/>
      </w:pPr>
      <w:r>
        <w:rPr>
          <w:w w:val="130"/>
        </w:rPr>
        <w:t xml:space="preserve">Zob. </w:t>
      </w:r>
      <w:proofErr w:type="spellStart"/>
      <w:r>
        <w:rPr>
          <w:w w:val="130"/>
        </w:rPr>
        <w:t>również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wyrok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Wielkiej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Izby</w:t>
      </w:r>
      <w:proofErr w:type="spellEnd"/>
      <w:r>
        <w:rPr>
          <w:w w:val="130"/>
        </w:rPr>
        <w:t xml:space="preserve"> z </w:t>
      </w:r>
      <w:proofErr w:type="spellStart"/>
      <w:r>
        <w:rPr>
          <w:w w:val="130"/>
        </w:rPr>
        <w:t>tego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samego</w:t>
      </w:r>
      <w:proofErr w:type="spellEnd"/>
      <w:r>
        <w:rPr>
          <w:w w:val="130"/>
        </w:rPr>
        <w:t xml:space="preserve"> dnia w </w:t>
      </w:r>
      <w:proofErr w:type="spellStart"/>
      <w:r>
        <w:rPr>
          <w:w w:val="130"/>
        </w:rPr>
        <w:t>sprawie</w:t>
      </w:r>
      <w:proofErr w:type="spellEnd"/>
      <w:r w:rsidR="0039779E">
        <w:fldChar w:fldCharType="begin"/>
      </w:r>
      <w:r w:rsidR="0039779E">
        <w:instrText>HYPERLINK "http://hudoc.echr.coe.int/sites/eng/pages/search.aspx?i=003-585782-589432" \h</w:instrText>
      </w:r>
      <w:r w:rsidR="0039779E">
        <w:fldChar w:fldCharType="separate"/>
      </w:r>
      <w:r w:rsidR="0039779E">
        <w:rPr>
          <w:b/>
          <w:color w:val="0071BB"/>
          <w:w w:val="140"/>
          <w:u w:val="single" w:color="0071BB"/>
        </w:rPr>
        <w:t xml:space="preserve"> I </w:t>
      </w:r>
      <w:proofErr w:type="spellStart"/>
      <w:r w:rsidR="0039779E">
        <w:rPr>
          <w:b/>
          <w:color w:val="0071BB"/>
          <w:w w:val="130"/>
          <w:u w:val="single" w:color="0071BB"/>
        </w:rPr>
        <w:t>przeciwko</w:t>
      </w:r>
      <w:proofErr w:type="spellEnd"/>
      <w:r w:rsidR="0039779E">
        <w:rPr>
          <w:b/>
          <w:color w:val="0071BB"/>
          <w:w w:val="130"/>
          <w:u w:val="single" w:color="0071BB"/>
        </w:rPr>
        <w:t xml:space="preserve"> </w:t>
      </w:r>
      <w:proofErr w:type="spellStart"/>
      <w:r w:rsidR="0039779E">
        <w:rPr>
          <w:b/>
          <w:color w:val="0071BB"/>
          <w:w w:val="130"/>
          <w:u w:val="single" w:color="0071BB"/>
        </w:rPr>
        <w:t>Zjednoczonemu</w:t>
      </w:r>
      <w:proofErr w:type="spellEnd"/>
      <w:r w:rsidR="0039779E">
        <w:rPr>
          <w:b/>
          <w:color w:val="0071BB"/>
          <w:w w:val="130"/>
          <w:u w:val="single" w:color="0071BB"/>
        </w:rPr>
        <w:t xml:space="preserve"> </w:t>
      </w:r>
      <w:proofErr w:type="spellStart"/>
      <w:r w:rsidR="0039779E">
        <w:rPr>
          <w:b/>
          <w:color w:val="0071BB"/>
          <w:w w:val="130"/>
          <w:u w:val="single" w:color="0071BB"/>
        </w:rPr>
        <w:t>Królestwu</w:t>
      </w:r>
      <w:proofErr w:type="spellEnd"/>
      <w:r w:rsidR="0039779E">
        <w:rPr>
          <w:b/>
          <w:color w:val="0071BB"/>
          <w:w w:val="130"/>
          <w:u w:val="single" w:color="0071BB"/>
        </w:rPr>
        <w:t xml:space="preserve"> (nr 25680/94)</w:t>
      </w:r>
      <w:r w:rsidR="0039779E">
        <w:fldChar w:fldCharType="end"/>
      </w:r>
      <w:r>
        <w:rPr>
          <w:w w:val="130"/>
        </w:rPr>
        <w:t xml:space="preserve">, w </w:t>
      </w:r>
      <w:proofErr w:type="spellStart"/>
      <w:r>
        <w:rPr>
          <w:w w:val="130"/>
        </w:rPr>
        <w:t>którym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Trybunał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również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stwierdził</w:t>
      </w:r>
      <w:proofErr w:type="spellEnd"/>
      <w:r>
        <w:rPr>
          <w:w w:val="130"/>
        </w:rPr>
        <w:t xml:space="preserve"> </w:t>
      </w:r>
      <w:proofErr w:type="spellStart"/>
      <w:r>
        <w:rPr>
          <w:w w:val="130"/>
        </w:rPr>
        <w:t>naruszenie</w:t>
      </w:r>
      <w:proofErr w:type="spellEnd"/>
      <w:r>
        <w:rPr>
          <w:w w:val="130"/>
        </w:rPr>
        <w:t xml:space="preserve"> art</w:t>
      </w:r>
      <w:r>
        <w:rPr>
          <w:spacing w:val="-14"/>
          <w:w w:val="130"/>
        </w:rPr>
        <w:t>.</w:t>
      </w:r>
      <w:r>
        <w:rPr>
          <w:w w:val="130"/>
        </w:rPr>
        <w:t xml:space="preserve"> 8 </w:t>
      </w:r>
      <w:proofErr w:type="spellStart"/>
      <w:r>
        <w:rPr>
          <w:w w:val="130"/>
        </w:rPr>
        <w:t>i</w:t>
      </w:r>
      <w:proofErr w:type="spellEnd"/>
      <w:r>
        <w:rPr>
          <w:w w:val="130"/>
        </w:rPr>
        <w:t xml:space="preserve"> art. 12 </w:t>
      </w:r>
      <w:proofErr w:type="spellStart"/>
      <w:r>
        <w:rPr>
          <w:w w:val="130"/>
        </w:rPr>
        <w:t>Konwencji</w:t>
      </w:r>
      <w:proofErr w:type="spellEnd"/>
      <w:r>
        <w:rPr>
          <w:w w:val="130"/>
        </w:rPr>
        <w:t>.</w:t>
      </w:r>
    </w:p>
    <w:p w14:paraId="422CB6A6" w14:textId="77777777" w:rsidR="0039779E" w:rsidRDefault="00F712A0">
      <w:pPr>
        <w:pStyle w:val="Tekstpodstawowy"/>
        <w:spacing w:before="9"/>
        <w:ind w:left="0"/>
        <w:jc w:val="lef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A4C4BC" wp14:editId="37D617EF">
                <wp:simplePos x="0" y="0"/>
                <wp:positionH relativeFrom="page">
                  <wp:posOffset>894080</wp:posOffset>
                </wp:positionH>
                <wp:positionV relativeFrom="paragraph">
                  <wp:posOffset>66040</wp:posOffset>
                </wp:positionV>
                <wp:extent cx="5768340" cy="4210050"/>
                <wp:effectExtent l="0" t="0" r="381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42100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1C8D338E" w14:textId="77777777" w:rsidR="0039779E" w:rsidRDefault="00F712A0">
                            <w:pPr>
                              <w:pStyle w:val="Tekstpodstawowy"/>
                              <w:spacing w:before="11"/>
                              <w:ind w:left="28" w:righ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F5F5F"/>
                                <w:w w:val="120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następstwie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wyroku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Wielkiej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Izby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sprawie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F5F5F"/>
                                <w:w w:val="120"/>
                              </w:rPr>
                              <w:t xml:space="preserve">Christine Goodwin </w:t>
                            </w:r>
                            <w:r>
                              <w:rPr>
                                <w:color w:val="5F5F5F"/>
                                <w:w w:val="120"/>
                              </w:rPr>
                              <w:t xml:space="preserve">Wielka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Brytania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wprowadziła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system, w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ramach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którego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transseksualne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mogą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ubiegać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wydanie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zaświadczenia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uznaniu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. Obie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poniższe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dotyczyły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transseksualnych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zawarły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związek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małżeński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przed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operacją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zmiany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chciały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skorzystać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procedury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uznania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F5F5F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5F5F5F"/>
                                <w:w w:val="120"/>
                              </w:rPr>
                              <w:t>.</w:t>
                            </w:r>
                          </w:p>
                          <w:p w14:paraId="6FFF8DE6" w14:textId="77777777" w:rsidR="0039779E" w:rsidRDefault="0039779E">
                            <w:pPr>
                              <w:spacing w:before="162"/>
                              <w:ind w:left="28" w:right="30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 xml:space="preserve">Parry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>Wielkiej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proofErr w:type="spellStart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>Brytanii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 xml:space="preserve"> (nr 42971/05) </w:t>
                            </w:r>
                            <w:proofErr w:type="spellStart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 xml:space="preserve">R.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 xml:space="preserve"> F.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>Wielkiej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21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single" w:color="0071BB"/>
                                </w:rPr>
                                <w:t>Brytanii</w:t>
                              </w:r>
                              <w:proofErr w:type="spellEnd"/>
                            </w:hyperlink>
                            <w:r>
                              <w:rPr>
                                <w:b/>
                                <w:color w:val="0071BB"/>
                                <w:w w:val="135"/>
                                <w:sz w:val="20"/>
                                <w:u w:val="single" w:color="0071BB"/>
                              </w:rPr>
                              <w:t xml:space="preserve"> (nr 35748/05)</w:t>
                            </w:r>
                          </w:p>
                          <w:p w14:paraId="39F39D0D" w14:textId="77777777" w:rsidR="0039779E" w:rsidRDefault="00F712A0">
                            <w:pPr>
                              <w:spacing w:before="56"/>
                              <w:ind w:left="28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 xml:space="preserve">28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>listopada</w:t>
                            </w:r>
                            <w:proofErr w:type="spellEnd"/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 xml:space="preserve"> 2006</w:t>
                            </w:r>
                            <w:r>
                              <w:rPr>
                                <w:color w:val="808080"/>
                                <w:spacing w:val="-5"/>
                                <w:w w:val="125"/>
                                <w:sz w:val="18"/>
                              </w:rPr>
                              <w:t xml:space="preserve"> r</w:t>
                            </w:r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>. (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>decyzje</w:t>
                            </w:r>
                            <w:proofErr w:type="spellEnd"/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>sprawie</w:t>
                            </w:r>
                            <w:proofErr w:type="spellEnd"/>
                            <w:r>
                              <w:rPr>
                                <w:color w:val="80808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8"/>
                              </w:rPr>
                              <w:t>dopuszczalności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8"/>
                              </w:rPr>
                              <w:t>)</w:t>
                            </w:r>
                          </w:p>
                          <w:p w14:paraId="51DCD629" w14:textId="212D5AC6" w:rsidR="0039779E" w:rsidRDefault="00B123A3">
                            <w:pPr>
                              <w:pStyle w:val="Tekstpodstawowy"/>
                              <w:spacing w:before="49"/>
                              <w:ind w:left="28"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byli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związkach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małżeńskich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mieli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dzieci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.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każdym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przypadku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jedna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tych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przeszła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operację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zmiany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pozostała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ze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swoim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małżonkiem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jako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małżeńska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. Po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wprowadzeniu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ustawy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uznaniu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z 2004 r.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którzy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przeszli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operację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zmiany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złożyli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wniosek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wydanie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zaświadczenia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uznaniu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którego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mogli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uzyskać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dopóki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rozwiązali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małżeństwa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 w:rsidR="000932C4">
                              <w:rPr>
                                <w:color w:val="000000"/>
                                <w:w w:val="120"/>
                              </w:rPr>
                              <w:t>Skarżący</w:t>
                            </w:r>
                            <w:proofErr w:type="spellEnd"/>
                            <w:r w:rsidR="000932C4"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 w:rsidR="000932C4">
                              <w:rPr>
                                <w:color w:val="000000"/>
                                <w:w w:val="120"/>
                              </w:rPr>
                              <w:t>podnosili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byli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stanie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uzyskać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prawnego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uznania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nabytej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bez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rozwiązania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</w:rPr>
                              <w:t>małżeństwa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</w:rPr>
                              <w:t>.</w:t>
                            </w:r>
                          </w:p>
                          <w:p w14:paraId="2010C5F4" w14:textId="4BA035C9" w:rsidR="0039779E" w:rsidRDefault="000932C4">
                            <w:pPr>
                              <w:pStyle w:val="Tekstpodstawowy"/>
                              <w:ind w:left="28" w:right="2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 w:rsidRPr="00620852">
                              <w:rPr>
                                <w:bCs/>
                                <w:color w:val="0071BB"/>
                                <w:w w:val="120"/>
                              </w:rPr>
                              <w:t>uznał</w:t>
                            </w:r>
                            <w:proofErr w:type="spellEnd"/>
                            <w:r w:rsidRPr="00620852">
                              <w:rPr>
                                <w:bCs/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 w:rsidRPr="00620852">
                              <w:rPr>
                                <w:bCs/>
                                <w:color w:val="0071BB"/>
                                <w:w w:val="120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3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0071BB"/>
                                <w:w w:val="120"/>
                              </w:rPr>
                              <w:t xml:space="preserve">za </w:t>
                            </w:r>
                            <w:proofErr w:type="spellStart"/>
                            <w:r w:rsidRPr="00620852">
                              <w:rPr>
                                <w:b/>
                                <w:bCs/>
                                <w:color w:val="0071BB"/>
                                <w:w w:val="120"/>
                              </w:rPr>
                              <w:t>niedopuszczalne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jako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będące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ewidentnie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34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bezzasadne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Zwrócił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on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uwagę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zostali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poproszeni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unieważnienie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swojego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małżeństwa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ponieważ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małżeństwa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samej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są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dozwolone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angielskie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Wielka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Brytania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zaniedbała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uznania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prawnej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zmiany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mogli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kontynuować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swój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związek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ramach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partnerstwa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cywilnego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zapewniało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prawie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wszystkie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same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prawa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obowiązki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prawne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zauważył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ponadto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kiedy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wprowadzono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nowy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system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następstwie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wyroku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>sprawie</w:t>
                            </w:r>
                            <w:proofErr w:type="spellEnd"/>
                            <w:r>
                              <w:rPr>
                                <w:i/>
                                <w:color w:val="0071BB"/>
                                <w:w w:val="120"/>
                              </w:rPr>
                              <w:t xml:space="preserve"> Christine Goodwin </w:t>
                            </w:r>
                            <w:r>
                              <w:rPr>
                                <w:color w:val="0071BB"/>
                                <w:w w:val="1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zob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powyżej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ustawodawca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był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świadomy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faktu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istnieje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niewielka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liczba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transseksualnych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pozostających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trwających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związkach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małżeńskich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ale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celowo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przewidział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możliwości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kontynuowania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związków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przypadku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gdy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jeden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partnerów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skorzystałby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procedury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uznania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płci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uznał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można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wymagać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uwzględnienia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tej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niewielkiej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liczby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</w:rPr>
                              <w:t>małżeństw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4C4B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8" type="#_x0000_t202" style="position:absolute;margin-left:70.4pt;margin-top:5.2pt;width:454.2pt;height:331.5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" fillcolor="#f3f3f3" stroked="f">
                <v:textbox inset="0,0,0,0">
                  <w:txbxContent>
                    <w:p w14:paraId="1C8D338E" w14:textId="77777777" w:rsidR="0039779E" w:rsidRDefault="00F712A0">
                      <w:pPr>
                        <w:pStyle w:val="Tekstpodstawowy"/>
                        <w:spacing w:before="11"/>
                        <w:ind w:left="28" w:right="27"/>
                        <w:rPr>
                          <w:color w:val="000000"/>
                        </w:rPr>
                      </w:pPr>
                      <w:r>
                        <w:rPr>
                          <w:color w:val="5F5F5F"/>
                          <w:w w:val="120"/>
                        </w:rPr>
                        <w:t xml:space="preserve">W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następstwie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wyroku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Wielkiej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Izby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sprawie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r>
                        <w:rPr>
                          <w:i/>
                          <w:color w:val="5F5F5F"/>
                          <w:w w:val="120"/>
                        </w:rPr>
                        <w:t xml:space="preserve">Christine Goodwin </w:t>
                      </w:r>
                      <w:r>
                        <w:rPr>
                          <w:color w:val="5F5F5F"/>
                          <w:w w:val="120"/>
                        </w:rPr>
                        <w:t xml:space="preserve">Wielka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Brytania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wprowadziła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system, w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ramach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którego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osoby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transseksualne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mogą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ubiegać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się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wydanie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zaświadczenia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uznaniu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. Obie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poniższe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sprawy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dotyczyły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osób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transseksualnych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które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zawarły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związek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małżeński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przed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operacją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zmiany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i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chciały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skorzystać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procedury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uznania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F5F5F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5F5F5F"/>
                          <w:w w:val="120"/>
                        </w:rPr>
                        <w:t>.</w:t>
                      </w:r>
                    </w:p>
                    <w:p w14:paraId="6FFF8DE6" w14:textId="77777777" w:rsidR="0039779E" w:rsidRDefault="0039779E">
                      <w:pPr>
                        <w:spacing w:before="162"/>
                        <w:ind w:left="28" w:right="30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22"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 xml:space="preserve">Parry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>Wielkiej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 xml:space="preserve"> </w:t>
                        </w:r>
                      </w:hyperlink>
                      <w:proofErr w:type="spellStart"/>
                      <w:r>
                        <w:rPr>
                          <w:b/>
                          <w:color w:val="0071BB"/>
                          <w:w w:val="135"/>
                          <w:sz w:val="20"/>
                          <w:u w:val="single" w:color="0071BB"/>
                        </w:rPr>
                        <w:t>Brytanii</w:t>
                      </w:r>
                      <w:proofErr w:type="spellEnd"/>
                      <w:r>
                        <w:rPr>
                          <w:b/>
                          <w:color w:val="0071BB"/>
                          <w:w w:val="135"/>
                          <w:sz w:val="20"/>
                          <w:u w:val="single" w:color="0071BB"/>
                        </w:rPr>
                        <w:t xml:space="preserve"> (nr 42971/05) </w:t>
                      </w:r>
                      <w:proofErr w:type="spellStart"/>
                      <w:r>
                        <w:rPr>
                          <w:b/>
                          <w:color w:val="0071BB"/>
                          <w:w w:val="135"/>
                          <w:sz w:val="20"/>
                        </w:rPr>
                        <w:t>oraz</w:t>
                      </w:r>
                      <w:proofErr w:type="spellEnd"/>
                      <w:r>
                        <w:rPr>
                          <w:b/>
                          <w:color w:val="0071BB"/>
                          <w:w w:val="135"/>
                          <w:sz w:val="20"/>
                        </w:rPr>
                        <w:t xml:space="preserve"> </w:t>
                      </w:r>
                      <w:hyperlink r:id="rId23"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 xml:space="preserve">R.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 xml:space="preserve"> F.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>Wielkiej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 xml:space="preserve"> </w:t>
                        </w:r>
                      </w:hyperlink>
                      <w:hyperlink r:id="rId24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20"/>
                            <w:u w:val="single" w:color="0071BB"/>
                          </w:rPr>
                          <w:t>Brytanii</w:t>
                        </w:r>
                        <w:proofErr w:type="spellEnd"/>
                      </w:hyperlink>
                      <w:r>
                        <w:rPr>
                          <w:b/>
                          <w:color w:val="0071BB"/>
                          <w:w w:val="135"/>
                          <w:sz w:val="20"/>
                          <w:u w:val="single" w:color="0071BB"/>
                        </w:rPr>
                        <w:t xml:space="preserve"> (nr 35748/05)</w:t>
                      </w:r>
                    </w:p>
                    <w:p w14:paraId="39F39D0D" w14:textId="77777777" w:rsidR="0039779E" w:rsidRDefault="00F712A0">
                      <w:pPr>
                        <w:spacing w:before="56"/>
                        <w:ind w:left="28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w w:val="125"/>
                          <w:sz w:val="18"/>
                        </w:rPr>
                        <w:t xml:space="preserve">28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8"/>
                        </w:rPr>
                        <w:t>listopada</w:t>
                      </w:r>
                      <w:proofErr w:type="spellEnd"/>
                      <w:r>
                        <w:rPr>
                          <w:color w:val="808080"/>
                          <w:w w:val="125"/>
                          <w:sz w:val="18"/>
                        </w:rPr>
                        <w:t xml:space="preserve"> 2006</w:t>
                      </w:r>
                      <w:r>
                        <w:rPr>
                          <w:color w:val="808080"/>
                          <w:spacing w:val="-5"/>
                          <w:w w:val="125"/>
                          <w:sz w:val="18"/>
                        </w:rPr>
                        <w:t xml:space="preserve"> r</w:t>
                      </w:r>
                      <w:r>
                        <w:rPr>
                          <w:color w:val="808080"/>
                          <w:w w:val="125"/>
                          <w:sz w:val="18"/>
                        </w:rPr>
                        <w:t>. (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8"/>
                        </w:rPr>
                        <w:t>decyzje</w:t>
                      </w:r>
                      <w:proofErr w:type="spellEnd"/>
                      <w:r>
                        <w:rPr>
                          <w:color w:val="808080"/>
                          <w:w w:val="125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8"/>
                        </w:rPr>
                        <w:t>sprawie</w:t>
                      </w:r>
                      <w:proofErr w:type="spellEnd"/>
                      <w:r>
                        <w:rPr>
                          <w:color w:val="80808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spacing w:val="-2"/>
                          <w:w w:val="125"/>
                          <w:sz w:val="18"/>
                        </w:rPr>
                        <w:t>dopuszczalności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8"/>
                        </w:rPr>
                        <w:t>)</w:t>
                      </w:r>
                    </w:p>
                    <w:p w14:paraId="51DCD629" w14:textId="212D5AC6" w:rsidR="0039779E" w:rsidRDefault="00B123A3">
                      <w:pPr>
                        <w:pStyle w:val="Tekstpodstawowy"/>
                        <w:spacing w:before="49"/>
                        <w:ind w:left="28"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</w:rPr>
                        <w:t>Skarżący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byli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związkach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małżeńskich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mieli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dzieci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. W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każdym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przypadku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jedna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tych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osób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przeszła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operację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zmiany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pozostała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ze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swoim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małżonkiem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jako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para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małżeńska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. Po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wprowadzeniu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ustawy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uznaniu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z 2004 r.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skarżący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którzy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przeszli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operację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zmiany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złożyli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wniosek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wydanie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zaświadczenia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uznaniu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którego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mogli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uzyskać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dopóki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rozwiązali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małżeństwa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. </w:t>
                      </w:r>
                      <w:proofErr w:type="spellStart"/>
                      <w:r w:rsidR="000932C4">
                        <w:rPr>
                          <w:color w:val="000000"/>
                          <w:w w:val="120"/>
                        </w:rPr>
                        <w:t>Skarżący</w:t>
                      </w:r>
                      <w:proofErr w:type="spellEnd"/>
                      <w:r w:rsidR="000932C4"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 w:rsidR="000932C4">
                        <w:rPr>
                          <w:color w:val="000000"/>
                          <w:w w:val="120"/>
                        </w:rPr>
                        <w:t>podnosili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szczególności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byli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stanie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uzyskać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prawnego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uznania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nabytej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bez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rozwiązania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</w:rPr>
                        <w:t>małżeństwa</w:t>
                      </w:r>
                      <w:proofErr w:type="spellEnd"/>
                      <w:r>
                        <w:rPr>
                          <w:color w:val="000000"/>
                          <w:w w:val="120"/>
                        </w:rPr>
                        <w:t>.</w:t>
                      </w:r>
                    </w:p>
                    <w:p w14:paraId="2010C5F4" w14:textId="4BA035C9" w:rsidR="0039779E" w:rsidRDefault="000932C4">
                      <w:pPr>
                        <w:pStyle w:val="Tekstpodstawowy"/>
                        <w:ind w:left="28" w:right="2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</w:rPr>
                        <w:t>Trybunał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 w:rsidRPr="00620852">
                        <w:rPr>
                          <w:bCs/>
                          <w:color w:val="0071BB"/>
                          <w:w w:val="120"/>
                        </w:rPr>
                        <w:t>uznał</w:t>
                      </w:r>
                      <w:proofErr w:type="spellEnd"/>
                      <w:r w:rsidRPr="00620852">
                        <w:rPr>
                          <w:bCs/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 w:rsidRPr="00620852">
                        <w:rPr>
                          <w:bCs/>
                          <w:color w:val="0071BB"/>
                          <w:w w:val="120"/>
                        </w:rPr>
                        <w:t>skargi</w:t>
                      </w:r>
                      <w:proofErr w:type="spellEnd"/>
                      <w:r>
                        <w:rPr>
                          <w:color w:val="0071BB"/>
                          <w:spacing w:val="33"/>
                          <w:w w:val="120"/>
                        </w:rPr>
                        <w:t xml:space="preserve"> </w:t>
                      </w:r>
                      <w:r>
                        <w:rPr>
                          <w:color w:val="0071BB"/>
                          <w:w w:val="120"/>
                        </w:rPr>
                        <w:t xml:space="preserve">za </w:t>
                      </w:r>
                      <w:proofErr w:type="spellStart"/>
                      <w:r w:rsidRPr="00620852">
                        <w:rPr>
                          <w:b/>
                          <w:bCs/>
                          <w:color w:val="0071BB"/>
                          <w:w w:val="120"/>
                        </w:rPr>
                        <w:t>niedopuszczalne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jako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będące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ewidentnie</w:t>
                      </w:r>
                      <w:proofErr w:type="spellEnd"/>
                      <w:r>
                        <w:rPr>
                          <w:color w:val="0071BB"/>
                          <w:spacing w:val="34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bezzasadne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Zwrócił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on w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szczególności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uwagę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że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skarżący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zostali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poproszeni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unieważnienie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swojego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małżeństwa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ponieważ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małżeństwa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osób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tej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samej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są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dozwolone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przez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angielskie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Wielka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Brytania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zaniedbała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uznania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prawnej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zmiany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a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skarżący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mogli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kontynuować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swój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związek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ramach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partnerstwa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cywilnego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które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zapewniało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prawie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wszystkie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same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prawa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obowiązki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prawne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Trybunał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zauważył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ponadto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że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kiedy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wprowadzono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nowy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system w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następstwie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wyroku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r>
                        <w:rPr>
                          <w:i/>
                          <w:color w:val="0071BB"/>
                          <w:w w:val="120"/>
                        </w:rPr>
                        <w:t xml:space="preserve">w </w:t>
                      </w:r>
                      <w:proofErr w:type="spellStart"/>
                      <w:r>
                        <w:rPr>
                          <w:i/>
                          <w:color w:val="0071BB"/>
                          <w:w w:val="120"/>
                        </w:rPr>
                        <w:t>sprawie</w:t>
                      </w:r>
                      <w:proofErr w:type="spellEnd"/>
                      <w:r>
                        <w:rPr>
                          <w:i/>
                          <w:color w:val="0071BB"/>
                          <w:w w:val="120"/>
                        </w:rPr>
                        <w:t xml:space="preserve"> Christine Goodwin </w:t>
                      </w:r>
                      <w:r>
                        <w:rPr>
                          <w:color w:val="0071BB"/>
                          <w:w w:val="120"/>
                        </w:rPr>
                        <w:t>(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zob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powyżej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),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ustawodawca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był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świadomy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faktu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że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istnieje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niewielka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liczba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osób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transseksualnych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pozostających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trwających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związkach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małżeńskich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ale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celowo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przewidział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możliwości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kontynuowania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tych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związków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przypadku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gdy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jeden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partnerów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skorzystałby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procedury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uznania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płci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Trybunał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uznał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że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nie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można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wymagać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od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niego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uwzględnienia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tej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niewielkiej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liczby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</w:rPr>
                        <w:t>małżeństw</w:t>
                      </w:r>
                      <w:proofErr w:type="spellEnd"/>
                      <w:r>
                        <w:rPr>
                          <w:color w:val="0071BB"/>
                          <w:w w:val="1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7D84B" w14:textId="1AD9F424" w:rsidR="0039779E" w:rsidRDefault="00F712A0">
      <w:pPr>
        <w:pStyle w:val="Nagwek1"/>
        <w:spacing w:before="256" w:after="62"/>
        <w:jc w:val="both"/>
      </w:pPr>
      <w:r>
        <w:rPr>
          <w:color w:val="0071BB"/>
          <w:w w:val="120"/>
          <w:sz w:val="29"/>
        </w:rPr>
        <w:t xml:space="preserve">Kolejne </w:t>
      </w:r>
      <w:proofErr w:type="spellStart"/>
      <w:r>
        <w:rPr>
          <w:color w:val="0071BB"/>
          <w:w w:val="120"/>
          <w:sz w:val="29"/>
        </w:rPr>
        <w:t>wyroki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i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 w:rsidR="00F56B31">
        <w:rPr>
          <w:color w:val="0071BB"/>
          <w:w w:val="120"/>
          <w:sz w:val="29"/>
        </w:rPr>
        <w:t>decyzje</w:t>
      </w:r>
      <w:proofErr w:type="spellEnd"/>
      <w:r w:rsidR="00F56B31"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spacing w:val="-2"/>
          <w:w w:val="120"/>
          <w:sz w:val="29"/>
        </w:rPr>
        <w:t>Trybunału</w:t>
      </w:r>
      <w:proofErr w:type="spellEnd"/>
    </w:p>
    <w:p w14:paraId="52E194DB" w14:textId="77777777" w:rsidR="0039779E" w:rsidRDefault="00F712A0">
      <w:pPr>
        <w:spacing w:line="28" w:lineRule="exact"/>
        <w:ind w:left="8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8DBDD" wp14:editId="46D78CE5">
                <wp:extent cx="5768340" cy="1841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18415"/>
                          <a:chOff x="0" y="0"/>
                          <a:chExt cx="5768340" cy="184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68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15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768340" y="18287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DCF3D" id="Group 15" o:spid="_x0000_s1026" style="width:454.2pt;height:1.45pt;mso-position-horizontal-relative:char;mso-position-vertical-relative:line" coordsize="5768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">
                <v:shape id="Graphic 16" o:spid="_x0000_s1027" style="position:absolute;width:57683;height:184;visibility:visible;mso-wrap-style:square;v-text-anchor:top" coordsize="5768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" path="m5768340,l,,,18287r5768340,l5768340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331866B5" w14:textId="77777777" w:rsidR="0039779E" w:rsidRDefault="0039779E">
      <w:pPr>
        <w:pStyle w:val="Nagwek2"/>
        <w:spacing w:before="134"/>
        <w:rPr>
          <w:u w:val="none"/>
        </w:rPr>
      </w:pPr>
      <w:hyperlink r:id="rId25">
        <w:r>
          <w:rPr>
            <w:color w:val="0071BB"/>
            <w:w w:val="135"/>
            <w:u w:color="0071BB"/>
          </w:rPr>
          <w:t xml:space="preserve">Van </w:t>
        </w:r>
        <w:proofErr w:type="spellStart"/>
        <w:r>
          <w:rPr>
            <w:color w:val="0071BB"/>
            <w:w w:val="135"/>
            <w:u w:color="0071BB"/>
          </w:rPr>
          <w:t>Kück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Niemcom</w:t>
        </w:r>
        <w:proofErr w:type="spellEnd"/>
      </w:hyperlink>
    </w:p>
    <w:p w14:paraId="4A28FCBA" w14:textId="77777777" w:rsidR="0039779E" w:rsidRDefault="00F712A0">
      <w:pPr>
        <w:spacing w:before="5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12 </w:t>
      </w:r>
      <w:proofErr w:type="spellStart"/>
      <w:r>
        <w:rPr>
          <w:color w:val="808080"/>
          <w:w w:val="125"/>
          <w:sz w:val="18"/>
        </w:rPr>
        <w:t>czerwca</w:t>
      </w:r>
      <w:proofErr w:type="spellEnd"/>
      <w:r>
        <w:rPr>
          <w:color w:val="808080"/>
          <w:spacing w:val="-4"/>
          <w:w w:val="125"/>
          <w:sz w:val="18"/>
        </w:rPr>
        <w:t xml:space="preserve"> 2003 r.</w:t>
      </w:r>
    </w:p>
    <w:p w14:paraId="217456A5" w14:textId="3677C087" w:rsidR="0039779E" w:rsidRDefault="000932C4">
      <w:pPr>
        <w:pStyle w:val="Tekstpodstawowy"/>
        <w:spacing w:before="1"/>
        <w:ind w:right="732"/>
      </w:pP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rzekomą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niesprawiedliwość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postępowania</w:t>
      </w:r>
      <w:proofErr w:type="spellEnd"/>
      <w:r>
        <w:rPr>
          <w:w w:val="120"/>
        </w:rPr>
        <w:t xml:space="preserve"> przed </w:t>
      </w:r>
      <w:proofErr w:type="spellStart"/>
      <w:r>
        <w:rPr>
          <w:w w:val="120"/>
        </w:rPr>
        <w:t>niemieckim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sądem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sprawie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roszczeń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zwrot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kosztów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zabiegów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wobec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firmy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ubezpieczeniowej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Uważała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ponadto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zaskarżone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orzeczenia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sądowe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naruszyły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prywatnego</w:t>
      </w:r>
      <w:proofErr w:type="spellEnd"/>
      <w:r>
        <w:rPr>
          <w:w w:val="120"/>
        </w:rPr>
        <w:t>.</w:t>
      </w:r>
    </w:p>
    <w:p w14:paraId="072CC113" w14:textId="333A77BF" w:rsidR="0039779E" w:rsidRDefault="00F712A0" w:rsidP="00620852">
      <w:pPr>
        <w:pStyle w:val="Tekstpodstawowy"/>
        <w:ind w:right="729"/>
        <w:jc w:val="distribute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>do</w:t>
      </w:r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6 § 1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rzetelnego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postępowanie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rozpatrywane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całość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spełniało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wymogów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rzetelnego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to,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niemieckie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powinny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biegłego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lekarza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dodatkowe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wyjaśnienia</w:t>
      </w:r>
      <w:proofErr w:type="spellEnd"/>
      <w:r>
        <w:rPr>
          <w:color w:val="0071BB"/>
          <w:w w:val="120"/>
        </w:rPr>
        <w:t xml:space="preserve">. </w:t>
      </w:r>
      <w:proofErr w:type="spellStart"/>
      <w:r w:rsidR="00ED2A17">
        <w:rPr>
          <w:color w:val="0071BB"/>
          <w:w w:val="120"/>
        </w:rPr>
        <w:t>Odnosząc</w:t>
      </w:r>
      <w:proofErr w:type="spellEnd"/>
      <w:r w:rsidR="00ED2A17">
        <w:rPr>
          <w:color w:val="0071BB"/>
          <w:w w:val="120"/>
        </w:rPr>
        <w:t xml:space="preserve"> </w:t>
      </w:r>
      <w:proofErr w:type="spellStart"/>
      <w:r w:rsidR="00ED2A17">
        <w:rPr>
          <w:color w:val="0071BB"/>
          <w:w w:val="120"/>
        </w:rPr>
        <w:t>się</w:t>
      </w:r>
      <w:proofErr w:type="spellEnd"/>
      <w:r w:rsidR="00ED2A17">
        <w:rPr>
          <w:color w:val="0071BB"/>
          <w:w w:val="120"/>
        </w:rPr>
        <w:t xml:space="preserve"> do </w:t>
      </w:r>
      <w:proofErr w:type="spellStart"/>
      <w:r w:rsidR="00ED2A17">
        <w:rPr>
          <w:color w:val="0071BB"/>
          <w:w w:val="120"/>
        </w:rPr>
        <w:t>nawiązania</w:t>
      </w:r>
      <w:proofErr w:type="spellEnd"/>
      <w:r w:rsidR="00ED2A17">
        <w:rPr>
          <w:color w:val="0071BB"/>
          <w:w w:val="120"/>
        </w:rPr>
        <w:t xml:space="preserve"> </w:t>
      </w:r>
      <w:proofErr w:type="spellStart"/>
      <w:r w:rsidR="00ED2A17"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Apelacyjn</w:t>
      </w:r>
      <w:r w:rsidR="00ED2A17">
        <w:rPr>
          <w:color w:val="0071BB"/>
          <w:w w:val="120"/>
        </w:rPr>
        <w:t>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przyczyn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zdrowia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poddaniu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charakter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arbitralny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kapryśny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</w:t>
      </w:r>
      <w:r>
        <w:rPr>
          <w:b/>
          <w:color w:val="0071BB"/>
          <w:spacing w:val="40"/>
          <w:w w:val="120"/>
        </w:rPr>
        <w:t xml:space="preserve">. 8 </w:t>
      </w:r>
      <w:r w:rsidRPr="00620852">
        <w:rPr>
          <w:bCs/>
          <w:color w:val="0071BB"/>
          <w:spacing w:val="40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r w:rsidR="000932C4">
        <w:rPr>
          <w:color w:val="0071BB"/>
          <w:w w:val="120"/>
        </w:rPr>
        <w:t xml:space="preserve">w </w:t>
      </w:r>
      <w:proofErr w:type="spellStart"/>
      <w:r w:rsidR="000932C4">
        <w:rPr>
          <w:color w:val="0071BB"/>
          <w:w w:val="120"/>
        </w:rPr>
        <w:t>niniejszej</w:t>
      </w:r>
      <w:proofErr w:type="spellEnd"/>
      <w:r w:rsidR="000932C4">
        <w:rPr>
          <w:color w:val="0071BB"/>
          <w:w w:val="120"/>
        </w:rPr>
        <w:t xml:space="preserve"> </w:t>
      </w:r>
      <w:proofErr w:type="spellStart"/>
      <w:r w:rsidR="000932C4">
        <w:rPr>
          <w:color w:val="0071BB"/>
          <w:w w:val="120"/>
        </w:rPr>
        <w:t>sprawie</w:t>
      </w:r>
      <w:proofErr w:type="spellEnd"/>
      <w:r w:rsidR="000932C4">
        <w:rPr>
          <w:color w:val="0071BB"/>
          <w:w w:val="120"/>
        </w:rPr>
        <w:t xml:space="preserve">. W </w:t>
      </w:r>
      <w:proofErr w:type="spellStart"/>
      <w:r w:rsidR="000932C4">
        <w:rPr>
          <w:color w:val="0071BB"/>
          <w:w w:val="120"/>
        </w:rPr>
        <w:t>tym</w:t>
      </w:r>
      <w:proofErr w:type="spellEnd"/>
      <w:r w:rsidR="000932C4">
        <w:rPr>
          <w:color w:val="0071BB"/>
          <w:w w:val="120"/>
        </w:rPr>
        <w:t xml:space="preserve"> </w:t>
      </w:r>
    </w:p>
    <w:p w14:paraId="5AF7B42B" w14:textId="3CC4D525" w:rsidR="0039779E" w:rsidRDefault="0039779E">
      <w:pPr>
        <w:pStyle w:val="Tekstpodstawowy"/>
        <w:sectPr w:rsidR="0039779E">
          <w:pgSz w:w="11910" w:h="16840"/>
          <w:pgMar w:top="1460" w:right="708" w:bottom="680" w:left="566" w:header="730" w:footer="497" w:gutter="0"/>
          <w:cols w:space="708"/>
        </w:sectPr>
      </w:pPr>
    </w:p>
    <w:p w14:paraId="6BC7AD49" w14:textId="38AB7DA3" w:rsidR="0039779E" w:rsidRDefault="00F712A0">
      <w:pPr>
        <w:pStyle w:val="Tekstpodstawowy"/>
        <w:spacing w:before="240"/>
        <w:ind w:left="874" w:right="728"/>
      </w:pPr>
      <w:proofErr w:type="spellStart"/>
      <w:r>
        <w:rPr>
          <w:color w:val="0071BB"/>
          <w:w w:val="120"/>
        </w:rPr>
        <w:lastRenderedPageBreak/>
        <w:t>względzie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płciowa</w:t>
      </w:r>
      <w:proofErr w:type="spellEnd"/>
      <w:r>
        <w:rPr>
          <w:color w:val="0071BB"/>
          <w:w w:val="120"/>
        </w:rPr>
        <w:t xml:space="preserve"> jest </w:t>
      </w:r>
      <w:proofErr w:type="spellStart"/>
      <w:r>
        <w:rPr>
          <w:color w:val="0071BB"/>
          <w:w w:val="120"/>
        </w:rPr>
        <w:t>jednym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najbardziej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intymnych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aspektów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dlatego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skarżącej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udowodnienia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konieczności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poddania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zabiegowi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wydaje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nieproporcjonalne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skarżącej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osiągnięto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interesam</w:t>
      </w:r>
      <w:r w:rsidR="001477A5">
        <w:rPr>
          <w:color w:val="0071BB"/>
          <w:w w:val="120"/>
        </w:rPr>
        <w:t>i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firmy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ubezpieczeniowej</w:t>
      </w:r>
      <w:proofErr w:type="spellEnd"/>
      <w:r w:rsidR="001477A5">
        <w:rPr>
          <w:color w:val="0071BB"/>
          <w:w w:val="120"/>
        </w:rPr>
        <w:t xml:space="preserve"> z </w:t>
      </w:r>
      <w:proofErr w:type="spellStart"/>
      <w:r w:rsidR="001477A5">
        <w:rPr>
          <w:color w:val="0071BB"/>
          <w:w w:val="120"/>
        </w:rPr>
        <w:t>jednej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strony</w:t>
      </w:r>
      <w:proofErr w:type="spellEnd"/>
      <w:r w:rsidR="001477A5">
        <w:rPr>
          <w:color w:val="0071BB"/>
          <w:w w:val="120"/>
        </w:rPr>
        <w:t xml:space="preserve"> </w:t>
      </w:r>
      <w:proofErr w:type="gramStart"/>
      <w:r w:rsidR="001477A5">
        <w:rPr>
          <w:color w:val="0071BB"/>
          <w:w w:val="120"/>
        </w:rPr>
        <w:t>a</w:t>
      </w:r>
      <w:proofErr w:type="gramEnd"/>
      <w:r w:rsidR="001477A5"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interesami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osoby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fizycznej</w:t>
      </w:r>
      <w:proofErr w:type="spellEnd"/>
      <w:r w:rsidR="001477A5">
        <w:rPr>
          <w:color w:val="0071BB"/>
          <w:w w:val="120"/>
        </w:rPr>
        <w:t xml:space="preserve"> z </w:t>
      </w:r>
      <w:proofErr w:type="spellStart"/>
      <w:r w:rsidR="001477A5">
        <w:rPr>
          <w:color w:val="0071BB"/>
          <w:w w:val="120"/>
        </w:rPr>
        <w:t>drugiej</w:t>
      </w:r>
      <w:proofErr w:type="spellEnd"/>
      <w:r w:rsidR="001477A5">
        <w:rPr>
          <w:color w:val="0071BB"/>
          <w:w w:val="120"/>
        </w:rPr>
        <w:t xml:space="preserve"> </w:t>
      </w:r>
      <w:proofErr w:type="spellStart"/>
      <w:r w:rsidR="001477A5">
        <w:rPr>
          <w:color w:val="0071BB"/>
          <w:w w:val="120"/>
        </w:rPr>
        <w:t>strony</w:t>
      </w:r>
      <w:proofErr w:type="spellEnd"/>
      <w:r w:rsidR="001477A5">
        <w:rPr>
          <w:color w:val="0071BB"/>
          <w:w w:val="120"/>
        </w:rPr>
        <w:t>.</w:t>
      </w:r>
      <w:r w:rsidR="001477A5" w:rsidDel="001477A5">
        <w:rPr>
          <w:color w:val="0071BB"/>
          <w:w w:val="120"/>
        </w:rPr>
        <w:t xml:space="preserve"> </w:t>
      </w:r>
    </w:p>
    <w:p w14:paraId="664FB74A" w14:textId="77777777" w:rsidR="0039779E" w:rsidRDefault="0039779E">
      <w:pPr>
        <w:pStyle w:val="Nagwek2"/>
        <w:spacing w:before="115"/>
        <w:rPr>
          <w:u w:val="none"/>
        </w:rPr>
      </w:pPr>
      <w:hyperlink r:id="rId26">
        <w:r w:rsidRPr="00246BF5">
          <w:rPr>
            <w:color w:val="0071BB"/>
            <w:w w:val="135"/>
            <w:u w:color="0071BB"/>
          </w:rPr>
          <w:t xml:space="preserve">Grant </w:t>
        </w:r>
        <w:proofErr w:type="spellStart"/>
        <w:r w:rsidRPr="00246BF5">
          <w:rPr>
            <w:color w:val="0071BB"/>
            <w:w w:val="135"/>
            <w:u w:color="0071BB"/>
          </w:rPr>
          <w:t>przeciwko</w:t>
        </w:r>
        <w:proofErr w:type="spellEnd"/>
        <w:r w:rsidRPr="00246BF5">
          <w:rPr>
            <w:color w:val="0071BB"/>
            <w:w w:val="135"/>
            <w:u w:color="0071BB"/>
          </w:rPr>
          <w:t xml:space="preserve"> </w:t>
        </w:r>
        <w:proofErr w:type="spellStart"/>
        <w:r w:rsidRPr="00246BF5">
          <w:rPr>
            <w:color w:val="0071BB"/>
            <w:w w:val="135"/>
            <w:u w:color="0071BB"/>
          </w:rPr>
          <w:t>Wielkiej</w:t>
        </w:r>
        <w:proofErr w:type="spellEnd"/>
        <w:r w:rsidRPr="00246BF5">
          <w:rPr>
            <w:color w:val="0071BB"/>
            <w:w w:val="135"/>
            <w:u w:color="0071BB"/>
          </w:rPr>
          <w:t xml:space="preserve"> </w:t>
        </w:r>
        <w:proofErr w:type="spellStart"/>
        <w:r w:rsidRPr="00246BF5">
          <w:rPr>
            <w:color w:val="0071BB"/>
            <w:spacing w:val="-2"/>
            <w:w w:val="135"/>
            <w:u w:color="0071BB"/>
          </w:rPr>
          <w:t>Brytanii</w:t>
        </w:r>
        <w:proofErr w:type="spellEnd"/>
      </w:hyperlink>
    </w:p>
    <w:p w14:paraId="1B376FC5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>23 maja</w:t>
      </w:r>
      <w:r>
        <w:rPr>
          <w:color w:val="808080"/>
          <w:spacing w:val="-4"/>
          <w:w w:val="125"/>
          <w:sz w:val="18"/>
        </w:rPr>
        <w:t xml:space="preserve"> 2006 r.</w:t>
      </w:r>
    </w:p>
    <w:p w14:paraId="38C7A2E5" w14:textId="25FF9ADA" w:rsidR="0039779E" w:rsidRDefault="001477A5">
      <w:pPr>
        <w:pStyle w:val="Tekstpodstawowy"/>
        <w:spacing w:before="4"/>
        <w:ind w:right="729"/>
      </w:pP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, 68-letnia </w:t>
      </w:r>
      <w:proofErr w:type="spellStart"/>
      <w:r w:rsidRPr="008C33A1">
        <w:rPr>
          <w:w w:val="120"/>
        </w:rPr>
        <w:t>transseksualistka</w:t>
      </w:r>
      <w:proofErr w:type="spellEnd"/>
      <w:r>
        <w:rPr>
          <w:w w:val="120"/>
        </w:rPr>
        <w:t xml:space="preserve"> po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męskiej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żeńską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oraz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wypłacania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emerytury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wieku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obowiązującym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kobiet</w:t>
      </w:r>
      <w:proofErr w:type="spellEnd"/>
      <w:r>
        <w:rPr>
          <w:w w:val="120"/>
        </w:rPr>
        <w:t xml:space="preserve"> (60 </w:t>
      </w:r>
      <w:proofErr w:type="spellStart"/>
      <w:r>
        <w:rPr>
          <w:w w:val="120"/>
        </w:rPr>
        <w:t>lat</w:t>
      </w:r>
      <w:proofErr w:type="spellEnd"/>
      <w:r>
        <w:rPr>
          <w:w w:val="120"/>
        </w:rPr>
        <w:t>).</w:t>
      </w:r>
    </w:p>
    <w:p w14:paraId="5DC10C39" w14:textId="02128799" w:rsidR="0039779E" w:rsidRDefault="00F712A0">
      <w:pPr>
        <w:pStyle w:val="Tekstpodstawowy"/>
        <w:ind w:right="727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doszło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>do</w:t>
      </w:r>
      <w:r>
        <w:rPr>
          <w:color w:val="0071BB"/>
          <w:w w:val="125"/>
        </w:rPr>
        <w:t xml:space="preserve"> </w:t>
      </w:r>
      <w:proofErr w:type="spellStart"/>
      <w:r>
        <w:rPr>
          <w:b/>
          <w:color w:val="0071BB"/>
          <w:w w:val="125"/>
        </w:rPr>
        <w:t>naruszenia</w:t>
      </w:r>
      <w:proofErr w:type="spellEnd"/>
      <w:r>
        <w:rPr>
          <w:b/>
          <w:color w:val="0071BB"/>
          <w:w w:val="125"/>
        </w:rPr>
        <w:t xml:space="preserve"> art. 8 </w:t>
      </w:r>
      <w:r>
        <w:rPr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prawo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poszanowania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życia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prywatnego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rodzinnego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Zwrócił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szczególną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uwagę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fakt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sytuacja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identyczna</w:t>
      </w:r>
      <w:proofErr w:type="spellEnd"/>
      <w:r>
        <w:rPr>
          <w:color w:val="0071BB"/>
          <w:w w:val="125"/>
        </w:rPr>
        <w:t xml:space="preserve"> jak </w:t>
      </w:r>
      <w:proofErr w:type="spellStart"/>
      <w:r>
        <w:rPr>
          <w:color w:val="0071BB"/>
          <w:w w:val="125"/>
        </w:rPr>
        <w:t>sytuacja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skarżącej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 </w:t>
      </w:r>
      <w:r>
        <w:rPr>
          <w:i/>
          <w:color w:val="0071BB"/>
          <w:w w:val="125"/>
        </w:rPr>
        <w:t xml:space="preserve">Christine Goodwin </w:t>
      </w:r>
      <w:r>
        <w:rPr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patrz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powyżej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strony</w:t>
      </w:r>
      <w:proofErr w:type="spellEnd"/>
      <w:r>
        <w:rPr>
          <w:color w:val="0071BB"/>
          <w:w w:val="125"/>
        </w:rPr>
        <w:t xml:space="preserve"> 2-3). </w:t>
      </w:r>
      <w:proofErr w:type="spellStart"/>
      <w:r>
        <w:rPr>
          <w:color w:val="0071BB"/>
          <w:w w:val="125"/>
        </w:rPr>
        <w:t>Chociaż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prawdą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było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rząd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musiał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podjąć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kroki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celu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wykonania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wyroku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 </w:t>
      </w:r>
      <w:r>
        <w:rPr>
          <w:i/>
          <w:color w:val="0071BB"/>
          <w:w w:val="125"/>
        </w:rPr>
        <w:t>Christine Goodwin</w:t>
      </w:r>
      <w:r>
        <w:rPr>
          <w:color w:val="0071BB"/>
          <w:w w:val="125"/>
        </w:rPr>
        <w:t xml:space="preserve">, co </w:t>
      </w:r>
      <w:proofErr w:type="spellStart"/>
      <w:r>
        <w:rPr>
          <w:color w:val="0071BB"/>
          <w:w w:val="125"/>
        </w:rPr>
        <w:t>wiązało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się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uchwaleniem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nowych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przepisów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można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uznać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iż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proces</w:t>
      </w:r>
      <w:proofErr w:type="spellEnd"/>
      <w:r>
        <w:rPr>
          <w:color w:val="0071BB"/>
          <w:w w:val="125"/>
        </w:rPr>
        <w:t xml:space="preserve"> ten w </w:t>
      </w:r>
      <w:proofErr w:type="spellStart"/>
      <w:r>
        <w:rPr>
          <w:color w:val="0071BB"/>
          <w:w w:val="125"/>
        </w:rPr>
        <w:t>jakikolwiek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sposób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zawiesił</w:t>
      </w:r>
      <w:proofErr w:type="spellEnd"/>
      <w:r>
        <w:rPr>
          <w:color w:val="0071BB"/>
          <w:w w:val="125"/>
        </w:rPr>
        <w:t xml:space="preserve"> status </w:t>
      </w:r>
      <w:proofErr w:type="spellStart"/>
      <w:r>
        <w:rPr>
          <w:color w:val="0071BB"/>
          <w:w w:val="125"/>
        </w:rPr>
        <w:t>skarżącej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jako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ofiary</w:t>
      </w:r>
      <w:proofErr w:type="spellEnd"/>
      <w:r>
        <w:rPr>
          <w:color w:val="0071BB"/>
          <w:w w:val="125"/>
        </w:rPr>
        <w:t xml:space="preserve">. Po </w:t>
      </w:r>
      <w:proofErr w:type="spellStart"/>
      <w:r>
        <w:rPr>
          <w:color w:val="0071BB"/>
          <w:w w:val="125"/>
        </w:rPr>
        <w:t>wydaniu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wyroku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i/>
          <w:color w:val="0071BB"/>
          <w:w w:val="125"/>
        </w:rPr>
        <w:t xml:space="preserve"> Christine Goodwin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było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już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żadnego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uzasadnienia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dla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nieuznawania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zmiany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płci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osób</w:t>
      </w:r>
      <w:proofErr w:type="spellEnd"/>
      <w:r>
        <w:rPr>
          <w:color w:val="0071BB"/>
          <w:w w:val="125"/>
        </w:rPr>
        <w:t xml:space="preserve"> po </w:t>
      </w:r>
      <w:proofErr w:type="spellStart"/>
      <w:r>
        <w:rPr>
          <w:color w:val="0071BB"/>
          <w:w w:val="125"/>
        </w:rPr>
        <w:t>operacji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zmiany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płci</w:t>
      </w:r>
      <w:proofErr w:type="spellEnd"/>
      <w:r>
        <w:rPr>
          <w:color w:val="0071BB"/>
          <w:w w:val="125"/>
        </w:rPr>
        <w:t xml:space="preserve">. </w:t>
      </w:r>
      <w:proofErr w:type="spellStart"/>
      <w:r w:rsidR="001477A5">
        <w:rPr>
          <w:color w:val="0071BB"/>
          <w:w w:val="125"/>
        </w:rPr>
        <w:t>Skarżąca</w:t>
      </w:r>
      <w:proofErr w:type="spellEnd"/>
      <w:r w:rsidR="001477A5">
        <w:rPr>
          <w:color w:val="0071BB"/>
          <w:w w:val="125"/>
        </w:rPr>
        <w:t xml:space="preserve"> </w:t>
      </w:r>
      <w:r>
        <w:rPr>
          <w:color w:val="0071BB"/>
          <w:w w:val="125"/>
        </w:rPr>
        <w:t xml:space="preserve">w </w:t>
      </w:r>
      <w:proofErr w:type="spellStart"/>
      <w:r>
        <w:rPr>
          <w:color w:val="0071BB"/>
          <w:w w:val="125"/>
        </w:rPr>
        <w:t>niniejszej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miała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tym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czasie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żadnej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możliwości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uzyskania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takiego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mogła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twierdzić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od </w:t>
      </w:r>
      <w:proofErr w:type="spellStart"/>
      <w:r>
        <w:rPr>
          <w:color w:val="0071BB"/>
          <w:w w:val="125"/>
        </w:rPr>
        <w:t>tego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momentu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poniosła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szkodę</w:t>
      </w:r>
      <w:proofErr w:type="spellEnd"/>
      <w:r>
        <w:rPr>
          <w:color w:val="0071BB"/>
          <w:w w:val="125"/>
        </w:rPr>
        <w:t xml:space="preserve">. Status </w:t>
      </w:r>
      <w:proofErr w:type="spellStart"/>
      <w:r>
        <w:rPr>
          <w:color w:val="0071BB"/>
          <w:w w:val="125"/>
        </w:rPr>
        <w:t>ofiary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="001477A5">
        <w:rPr>
          <w:color w:val="0071BB"/>
          <w:w w:val="125"/>
        </w:rPr>
        <w:t>skarżącej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przestał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obowiązywać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wraz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wejściem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życie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ustawy</w:t>
      </w:r>
      <w:proofErr w:type="spellEnd"/>
      <w:r>
        <w:rPr>
          <w:color w:val="0071BB"/>
          <w:w w:val="125"/>
        </w:rPr>
        <w:t xml:space="preserve"> o </w:t>
      </w:r>
      <w:proofErr w:type="spellStart"/>
      <w:r>
        <w:rPr>
          <w:color w:val="0071BB"/>
          <w:w w:val="125"/>
        </w:rPr>
        <w:t>uznaniu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płci</w:t>
      </w:r>
      <w:proofErr w:type="spellEnd"/>
      <w:r>
        <w:rPr>
          <w:color w:val="0071BB"/>
          <w:w w:val="125"/>
        </w:rPr>
        <w:t xml:space="preserve"> z 2004 r., </w:t>
      </w:r>
      <w:proofErr w:type="spellStart"/>
      <w:r>
        <w:rPr>
          <w:color w:val="0071BB"/>
          <w:w w:val="125"/>
        </w:rPr>
        <w:t>która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zapewniła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środki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poziomie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krajowym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umożliwiające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uzyskanie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prawnego</w:t>
      </w:r>
      <w:proofErr w:type="spellEnd"/>
      <w:r>
        <w:rPr>
          <w:color w:val="0071BB"/>
          <w:w w:val="125"/>
        </w:rPr>
        <w:t xml:space="preserve">. W </w:t>
      </w:r>
      <w:proofErr w:type="spellStart"/>
      <w:r>
        <w:rPr>
          <w:color w:val="0071BB"/>
          <w:w w:val="125"/>
        </w:rPr>
        <w:t>związku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tym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mogła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twierdzić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jest </w:t>
      </w:r>
      <w:proofErr w:type="spellStart"/>
      <w:r>
        <w:rPr>
          <w:color w:val="0071BB"/>
          <w:w w:val="125"/>
        </w:rPr>
        <w:t>ofiarą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braku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prawnego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Pr="006F3F96">
        <w:rPr>
          <w:color w:val="0071BB"/>
          <w:w w:val="125"/>
        </w:rPr>
        <w:t>od</w:t>
      </w:r>
      <w:proofErr w:type="spellEnd"/>
      <w:r w:rsidRPr="006F3F96">
        <w:rPr>
          <w:color w:val="0071BB"/>
          <w:w w:val="125"/>
        </w:rPr>
        <w:t xml:space="preserve"> </w:t>
      </w:r>
      <w:proofErr w:type="spellStart"/>
      <w:r w:rsidRPr="006F3F96">
        <w:rPr>
          <w:color w:val="0071BB"/>
          <w:w w:val="125"/>
        </w:rPr>
        <w:t>momentu</w:t>
      </w:r>
      <w:proofErr w:type="spellEnd"/>
      <w:r w:rsidRPr="006F3F96">
        <w:rPr>
          <w:color w:val="0071BB"/>
          <w:w w:val="125"/>
        </w:rPr>
        <w:t>,</w:t>
      </w:r>
      <w:r w:rsidR="006F3F96" w:rsidRPr="00620852">
        <w:rPr>
          <w:color w:val="0071BB"/>
          <w:w w:val="125"/>
        </w:rPr>
        <w:t xml:space="preserve"> </w:t>
      </w:r>
      <w:proofErr w:type="spellStart"/>
      <w:r w:rsidR="006F3F96" w:rsidRPr="00620852">
        <w:rPr>
          <w:color w:val="0071BB"/>
          <w:w w:val="125"/>
        </w:rPr>
        <w:t>gdy</w:t>
      </w:r>
      <w:proofErr w:type="spellEnd"/>
      <w:r w:rsidRPr="006F3F96">
        <w:rPr>
          <w:color w:val="0071BB"/>
          <w:w w:val="125"/>
        </w:rPr>
        <w:t xml:space="preserve"> po </w:t>
      </w:r>
      <w:proofErr w:type="spellStart"/>
      <w:r w:rsidRPr="006F3F96">
        <w:rPr>
          <w:color w:val="0071BB"/>
          <w:w w:val="125"/>
        </w:rPr>
        <w:t>wyroku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 </w:t>
      </w:r>
      <w:r>
        <w:rPr>
          <w:i/>
          <w:color w:val="0071BB"/>
          <w:w w:val="125"/>
        </w:rPr>
        <w:t>Christine Goodwin</w:t>
      </w:r>
      <w:r w:rsidR="006F3F96"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władze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odmówiły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uwzględnienia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jej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="006F3F96">
        <w:rPr>
          <w:color w:val="0071BB"/>
          <w:w w:val="125"/>
        </w:rPr>
        <w:t>roszczenia</w:t>
      </w:r>
      <w:proofErr w:type="spellEnd"/>
      <w:r>
        <w:rPr>
          <w:color w:val="0071BB"/>
          <w:w w:val="125"/>
        </w:rPr>
        <w:t xml:space="preserve">, a </w:t>
      </w:r>
      <w:proofErr w:type="spellStart"/>
      <w:r>
        <w:rPr>
          <w:color w:val="0071BB"/>
          <w:w w:val="125"/>
        </w:rPr>
        <w:t>mianowicie</w:t>
      </w:r>
      <w:proofErr w:type="spellEnd"/>
      <w:r>
        <w:rPr>
          <w:color w:val="0071BB"/>
          <w:w w:val="125"/>
        </w:rPr>
        <w:t xml:space="preserve"> o</w:t>
      </w:r>
      <w:r w:rsidR="006F3F96">
        <w:rPr>
          <w:color w:val="0071BB"/>
          <w:w w:val="125"/>
        </w:rPr>
        <w:t xml:space="preserve">d dnia </w:t>
      </w:r>
      <w:r>
        <w:rPr>
          <w:color w:val="0071BB"/>
          <w:spacing w:val="40"/>
          <w:w w:val="125"/>
        </w:rPr>
        <w:t xml:space="preserve">5 </w:t>
      </w:r>
      <w:proofErr w:type="spellStart"/>
      <w:r>
        <w:rPr>
          <w:color w:val="0071BB"/>
          <w:w w:val="125"/>
        </w:rPr>
        <w:t>września</w:t>
      </w:r>
      <w:proofErr w:type="spellEnd"/>
      <w:r>
        <w:rPr>
          <w:color w:val="0071BB"/>
          <w:w w:val="125"/>
        </w:rPr>
        <w:t xml:space="preserve"> 2002 r. Ten </w:t>
      </w:r>
      <w:proofErr w:type="spellStart"/>
      <w:r>
        <w:rPr>
          <w:color w:val="0071BB"/>
          <w:w w:val="125"/>
        </w:rPr>
        <w:t>brak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naruszył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prawo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poszanowania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życia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prywatnego</w:t>
      </w:r>
      <w:proofErr w:type="spellEnd"/>
      <w:r>
        <w:rPr>
          <w:color w:val="0071BB"/>
          <w:w w:val="125"/>
        </w:rPr>
        <w:t>.</w:t>
      </w:r>
    </w:p>
    <w:p w14:paraId="51FEC929" w14:textId="77777777" w:rsidR="0039779E" w:rsidRDefault="0039779E">
      <w:pPr>
        <w:pStyle w:val="Nagwek2"/>
        <w:spacing w:before="99"/>
        <w:rPr>
          <w:u w:val="none"/>
        </w:rPr>
      </w:pPr>
      <w:hyperlink r:id="rId27">
        <w:r>
          <w:rPr>
            <w:color w:val="0071BB"/>
            <w:w w:val="140"/>
            <w:u w:color="0071BB"/>
          </w:rPr>
          <w:t xml:space="preserve">L.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Litwie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27527/03)</w:t>
        </w:r>
      </w:hyperlink>
    </w:p>
    <w:p w14:paraId="36781DA9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11 </w:t>
      </w:r>
      <w:proofErr w:type="spellStart"/>
      <w:r>
        <w:rPr>
          <w:color w:val="808080"/>
          <w:w w:val="125"/>
          <w:sz w:val="18"/>
        </w:rPr>
        <w:t>września</w:t>
      </w:r>
      <w:proofErr w:type="spellEnd"/>
      <w:r>
        <w:rPr>
          <w:color w:val="808080"/>
          <w:spacing w:val="-4"/>
          <w:w w:val="125"/>
          <w:sz w:val="18"/>
        </w:rPr>
        <w:t xml:space="preserve"> 2007 r.</w:t>
      </w:r>
    </w:p>
    <w:p w14:paraId="3916A839" w14:textId="77777777" w:rsidR="0039779E" w:rsidRDefault="00F712A0">
      <w:pPr>
        <w:pStyle w:val="Tekstpodstawowy"/>
        <w:spacing w:before="2"/>
        <w:ind w:right="732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nieprzyjęcia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przepisów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wykonawczych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umożliwiających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transseksualnej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poddanie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dokumentach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urzędowych</w:t>
      </w:r>
      <w:proofErr w:type="spellEnd"/>
      <w:r>
        <w:rPr>
          <w:w w:val="120"/>
        </w:rPr>
        <w:t>.</w:t>
      </w:r>
    </w:p>
    <w:p w14:paraId="354065A7" w14:textId="77777777" w:rsidR="0039779E" w:rsidRDefault="00F712A0">
      <w:pPr>
        <w:pStyle w:val="Tekstpodstawowy"/>
        <w:ind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 w:rsidRPr="00D829B1"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3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nieludzkiego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poniżającego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traktowania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Chociaż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zrozumiałego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cierpienia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frustracji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okoliczności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tyle </w:t>
      </w:r>
      <w:proofErr w:type="spellStart"/>
      <w:r>
        <w:rPr>
          <w:color w:val="0071BB"/>
          <w:w w:val="120"/>
        </w:rPr>
        <w:t>poważne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je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uznać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wyjątkowe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zagrażające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podlegające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przepisom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artykułu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</w:t>
      </w:r>
      <w:r>
        <w:rPr>
          <w:b/>
          <w:color w:val="0071BB"/>
          <w:spacing w:val="40"/>
          <w:w w:val="120"/>
        </w:rPr>
        <w:t xml:space="preserve"> 8 </w:t>
      </w:r>
      <w:r w:rsidRPr="00620852">
        <w:rPr>
          <w:bCs/>
          <w:color w:val="0071BB"/>
          <w:spacing w:val="40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względzie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litewskie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tylko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ale </w:t>
      </w:r>
      <w:proofErr w:type="spellStart"/>
      <w:r>
        <w:rPr>
          <w:color w:val="0071BB"/>
          <w:w w:val="120"/>
        </w:rPr>
        <w:t>także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Istniała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luka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ustawodawstwie</w:t>
      </w:r>
      <w:proofErr w:type="spellEnd"/>
      <w:r>
        <w:rPr>
          <w:color w:val="0071BB"/>
          <w:w w:val="120"/>
        </w:rPr>
        <w:t xml:space="preserve">, ponieważ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przepisów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regulujących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kwestię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pełnej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. Ta </w:t>
      </w:r>
      <w:proofErr w:type="spellStart"/>
      <w:r>
        <w:rPr>
          <w:color w:val="0071BB"/>
          <w:w w:val="120"/>
        </w:rPr>
        <w:t>luka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spowodowała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znalazł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niepewności</w:t>
      </w:r>
      <w:proofErr w:type="spellEnd"/>
      <w:r>
        <w:rPr>
          <w:color w:val="0071BB"/>
          <w:w w:val="120"/>
        </w:rPr>
        <w:t xml:space="preserve"> co do </w:t>
      </w:r>
      <w:proofErr w:type="spellStart"/>
      <w:r>
        <w:rPr>
          <w:color w:val="0071BB"/>
          <w:w w:val="120"/>
        </w:rPr>
        <w:t>swojego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prawdziwej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budżetowe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służbie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zdrowia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pewne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początkowe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opóźnienia</w:t>
      </w:r>
      <w:proofErr w:type="spellEnd"/>
      <w:r>
        <w:rPr>
          <w:color w:val="0071BB"/>
          <w:w w:val="120"/>
        </w:rPr>
        <w:t xml:space="preserve"> we </w:t>
      </w:r>
      <w:proofErr w:type="spellStart"/>
      <w:r>
        <w:rPr>
          <w:color w:val="0071BB"/>
          <w:w w:val="120"/>
        </w:rPr>
        <w:t>wdrażaniu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wynikających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kodeksu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, ale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opóźnienie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trwające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cztery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lata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ograniczoną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liczbę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dotyczyła</w:t>
      </w:r>
      <w:proofErr w:type="spellEnd"/>
      <w:r>
        <w:rPr>
          <w:color w:val="0071BB"/>
          <w:w w:val="120"/>
        </w:rPr>
        <w:t xml:space="preserve"> ta </w:t>
      </w:r>
      <w:proofErr w:type="spellStart"/>
      <w:r>
        <w:rPr>
          <w:color w:val="0071BB"/>
          <w:w w:val="120"/>
        </w:rPr>
        <w:t>kwestia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obciążenie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budżetowe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nadmiernie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duże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publicznym</w:t>
      </w:r>
      <w:proofErr w:type="spellEnd"/>
      <w:r>
        <w:rPr>
          <w:color w:val="0071BB"/>
          <w:w w:val="120"/>
        </w:rPr>
        <w:t xml:space="preserve"> a </w:t>
      </w:r>
      <w:proofErr w:type="spellStart"/>
      <w:r>
        <w:rPr>
          <w:color w:val="0071BB"/>
          <w:w w:val="120"/>
        </w:rPr>
        <w:t>prawami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>.</w:t>
      </w:r>
    </w:p>
    <w:p w14:paraId="0288946F" w14:textId="77777777" w:rsidR="0039779E" w:rsidRDefault="0039779E">
      <w:pPr>
        <w:pStyle w:val="Nagwek2"/>
        <w:spacing w:before="100"/>
        <w:jc w:val="left"/>
        <w:rPr>
          <w:u w:val="none"/>
        </w:rPr>
      </w:pPr>
      <w:hyperlink r:id="rId28">
        <w:r>
          <w:rPr>
            <w:color w:val="0071BB"/>
            <w:w w:val="135"/>
            <w:u w:color="0071BB"/>
          </w:rPr>
          <w:t xml:space="preserve">Schlumpf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Szwajcarii</w:t>
        </w:r>
        <w:proofErr w:type="spellEnd"/>
      </w:hyperlink>
    </w:p>
    <w:p w14:paraId="4CB314DB" w14:textId="77777777" w:rsidR="0039779E" w:rsidRDefault="00F712A0">
      <w:pPr>
        <w:spacing w:before="55"/>
        <w:ind w:left="874"/>
        <w:rPr>
          <w:sz w:val="18"/>
        </w:rPr>
      </w:pPr>
      <w:r>
        <w:rPr>
          <w:color w:val="808080"/>
          <w:w w:val="125"/>
          <w:sz w:val="18"/>
        </w:rPr>
        <w:t xml:space="preserve">8 </w:t>
      </w:r>
      <w:proofErr w:type="spellStart"/>
      <w:r>
        <w:rPr>
          <w:color w:val="808080"/>
          <w:w w:val="125"/>
          <w:sz w:val="18"/>
        </w:rPr>
        <w:t>stycznia</w:t>
      </w:r>
      <w:proofErr w:type="spellEnd"/>
      <w:r>
        <w:rPr>
          <w:color w:val="808080"/>
          <w:spacing w:val="-4"/>
          <w:w w:val="125"/>
          <w:sz w:val="18"/>
        </w:rPr>
        <w:t xml:space="preserve"> 2009 r.</w:t>
      </w:r>
    </w:p>
    <w:p w14:paraId="1B4BF20D" w14:textId="4875A217" w:rsidR="0039779E" w:rsidRDefault="00F712A0" w:rsidP="00620852">
      <w:pPr>
        <w:pStyle w:val="Tekstpodstawowy"/>
        <w:spacing w:before="1"/>
        <w:ind w:left="874" w:right="730"/>
        <w:sectPr w:rsidR="0039779E">
          <w:pgSz w:w="11910" w:h="16840"/>
          <w:pgMar w:top="1460" w:right="708" w:bottom="680" w:left="566" w:header="730" w:footer="497" w:gutter="0"/>
          <w:cols w:space="708"/>
        </w:sectPr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pokrycia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kosztów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ubezpieczyciela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zdrowotnego</w:t>
      </w:r>
      <w:proofErr w:type="spellEnd"/>
      <w:r w:rsidR="00ED0ACC">
        <w:rPr>
          <w:w w:val="120"/>
        </w:rPr>
        <w:t xml:space="preserve"> </w:t>
      </w:r>
      <w:proofErr w:type="spellStart"/>
      <w:r w:rsidR="00ED0ACC">
        <w:rPr>
          <w:w w:val="120"/>
        </w:rPr>
        <w:t>skarżącej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uzasadnionej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przestrzegała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wymogu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dwuletniego</w:t>
      </w:r>
      <w:proofErr w:type="spellEnd"/>
      <w:r>
        <w:rPr>
          <w:w w:val="120"/>
        </w:rPr>
        <w:t xml:space="preserve"> </w:t>
      </w:r>
    </w:p>
    <w:p w14:paraId="4B91AF85" w14:textId="733CC74A" w:rsidR="0039779E" w:rsidRDefault="00ED0ACC">
      <w:pPr>
        <w:pStyle w:val="Tekstpodstawowy"/>
        <w:spacing w:before="240"/>
        <w:ind w:left="874" w:right="731" w:hanging="1"/>
      </w:pPr>
      <w:proofErr w:type="spellStart"/>
      <w:r>
        <w:rPr>
          <w:spacing w:val="-2"/>
          <w:w w:val="120"/>
        </w:rPr>
        <w:lastRenderedPageBreak/>
        <w:t>okresu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spacing w:val="-2"/>
          <w:w w:val="120"/>
        </w:rPr>
        <w:t>oczekiwania</w:t>
      </w:r>
      <w:proofErr w:type="spellEnd"/>
      <w:r>
        <w:rPr>
          <w:w w:val="120"/>
        </w:rPr>
        <w:t xml:space="preserve"> przed </w:t>
      </w:r>
      <w:proofErr w:type="spellStart"/>
      <w:r>
        <w:rPr>
          <w:w w:val="120"/>
        </w:rPr>
        <w:t>operacją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, co </w:t>
      </w:r>
      <w:proofErr w:type="spellStart"/>
      <w:r>
        <w:rPr>
          <w:w w:val="120"/>
        </w:rPr>
        <w:t>zgodnie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orzecznictwem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stanowi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warunek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pokrycia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kosztów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takich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>.</w:t>
      </w:r>
    </w:p>
    <w:p w14:paraId="2F075024" w14:textId="65109CFF" w:rsidR="0039779E" w:rsidRDefault="00F712A0">
      <w:pPr>
        <w:pStyle w:val="Tekstpodstawowy"/>
        <w:ind w:left="874" w:right="729" w:hanging="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oczekiwania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zastosowany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mechanicznie</w:t>
      </w:r>
      <w:proofErr w:type="spellEnd"/>
      <w:r>
        <w:rPr>
          <w:color w:val="0071BB"/>
          <w:w w:val="120"/>
        </w:rPr>
        <w:t xml:space="preserve">, bez </w:t>
      </w:r>
      <w:proofErr w:type="spellStart"/>
      <w:r>
        <w:rPr>
          <w:color w:val="0071BB"/>
          <w:w w:val="120"/>
        </w:rPr>
        <w:t>uwzględnienia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wieku</w:t>
      </w:r>
      <w:proofErr w:type="spellEnd"/>
      <w:r>
        <w:rPr>
          <w:color w:val="0071BB"/>
          <w:w w:val="120"/>
        </w:rPr>
        <w:t xml:space="preserve"> (67 </w:t>
      </w:r>
      <w:proofErr w:type="spellStart"/>
      <w:r>
        <w:rPr>
          <w:color w:val="0071BB"/>
          <w:w w:val="120"/>
        </w:rPr>
        <w:t>lat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które</w:t>
      </w:r>
      <w:r w:rsidR="00D829B1">
        <w:rPr>
          <w:color w:val="0071BB"/>
          <w:w w:val="120"/>
        </w:rPr>
        <w:t>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decyzję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poddaniu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wpłynąć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opóźnienie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ograniczając</w:t>
      </w:r>
      <w:proofErr w:type="spellEnd"/>
      <w:r>
        <w:rPr>
          <w:color w:val="0071BB"/>
          <w:w w:val="120"/>
        </w:rPr>
        <w:t xml:space="preserve"> w ten </w:t>
      </w:r>
      <w:proofErr w:type="spellStart"/>
      <w:r>
        <w:rPr>
          <w:color w:val="0071BB"/>
          <w:w w:val="120"/>
        </w:rPr>
        <w:t>sposób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swobodę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określaniu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płciowej</w:t>
      </w:r>
      <w:proofErr w:type="spellEnd"/>
      <w:r>
        <w:rPr>
          <w:color w:val="0071BB"/>
          <w:w w:val="120"/>
        </w:rPr>
        <w:t>.</w:t>
      </w:r>
    </w:p>
    <w:p w14:paraId="469A5237" w14:textId="77777777" w:rsidR="0039779E" w:rsidRDefault="0039779E">
      <w:pPr>
        <w:pStyle w:val="Nagwek2"/>
        <w:spacing w:before="113"/>
        <w:rPr>
          <w:u w:val="none"/>
        </w:rPr>
      </w:pPr>
      <w:hyperlink r:id="rId29">
        <w:r>
          <w:rPr>
            <w:color w:val="0071BB"/>
            <w:w w:val="140"/>
            <w:u w:color="0071BB"/>
          </w:rPr>
          <w:t xml:space="preserve">P.V.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Hiszpanii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35159/09)</w:t>
        </w:r>
      </w:hyperlink>
    </w:p>
    <w:p w14:paraId="2950D95B" w14:textId="77777777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spacing w:val="-2"/>
          <w:w w:val="125"/>
          <w:sz w:val="18"/>
        </w:rPr>
        <w:t xml:space="preserve">30 </w:t>
      </w:r>
      <w:proofErr w:type="spellStart"/>
      <w:r>
        <w:rPr>
          <w:color w:val="808080"/>
          <w:spacing w:val="-2"/>
          <w:w w:val="125"/>
          <w:sz w:val="18"/>
        </w:rPr>
        <w:t>listopada</w:t>
      </w:r>
      <w:proofErr w:type="spellEnd"/>
      <w:r>
        <w:rPr>
          <w:color w:val="808080"/>
          <w:spacing w:val="-4"/>
          <w:w w:val="125"/>
          <w:sz w:val="18"/>
        </w:rPr>
        <w:t xml:space="preserve"> 2010 r.</w:t>
      </w:r>
    </w:p>
    <w:p w14:paraId="1DAF3594" w14:textId="3C94875F" w:rsidR="0039779E" w:rsidRDefault="00F712A0">
      <w:pPr>
        <w:pStyle w:val="Tekstpodstawowy"/>
        <w:spacing w:before="1"/>
        <w:ind w:right="730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 w:rsidRPr="008867A5">
        <w:rPr>
          <w:w w:val="120"/>
        </w:rPr>
        <w:t>dotyczyła</w:t>
      </w:r>
      <w:proofErr w:type="spellEnd"/>
      <w:r w:rsidRPr="008867A5">
        <w:rPr>
          <w:w w:val="120"/>
        </w:rPr>
        <w:t xml:space="preserve"> </w:t>
      </w:r>
      <w:proofErr w:type="spellStart"/>
      <w:r w:rsidRPr="008867A5">
        <w:rPr>
          <w:w w:val="120"/>
        </w:rPr>
        <w:t>transseksualist</w:t>
      </w:r>
      <w:r w:rsidR="004437D8" w:rsidRPr="008867A5">
        <w:rPr>
          <w:w w:val="120"/>
        </w:rPr>
        <w:t>ki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</w:t>
      </w:r>
      <w:r w:rsidR="004437D8">
        <w:rPr>
          <w:w w:val="120"/>
        </w:rPr>
        <w:t>a</w:t>
      </w:r>
      <w:proofErr w:type="spellEnd"/>
      <w:r>
        <w:rPr>
          <w:w w:val="120"/>
        </w:rPr>
        <w:t xml:space="preserve"> przed </w:t>
      </w:r>
      <w:proofErr w:type="spellStart"/>
      <w:r>
        <w:rPr>
          <w:w w:val="120"/>
        </w:rPr>
        <w:t>zmianą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miał</w:t>
      </w:r>
      <w:r w:rsidR="004437D8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syna</w:t>
      </w:r>
      <w:proofErr w:type="spellEnd"/>
      <w:r>
        <w:rPr>
          <w:w w:val="120"/>
        </w:rPr>
        <w:t xml:space="preserve"> ze </w:t>
      </w:r>
      <w:proofErr w:type="spellStart"/>
      <w:r>
        <w:rPr>
          <w:w w:val="120"/>
        </w:rPr>
        <w:t>swoją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żoną</w:t>
      </w:r>
      <w:proofErr w:type="spellEnd"/>
      <w:r>
        <w:rPr>
          <w:w w:val="120"/>
        </w:rPr>
        <w:t xml:space="preserve"> w 1998 r. W 2002 r. para </w:t>
      </w:r>
      <w:proofErr w:type="spellStart"/>
      <w:r>
        <w:rPr>
          <w:w w:val="120"/>
        </w:rPr>
        <w:t>rozstała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a </w:t>
      </w:r>
      <w:proofErr w:type="spellStart"/>
      <w:r w:rsidR="004437D8">
        <w:rPr>
          <w:w w:val="120"/>
        </w:rPr>
        <w:t>skarżąca</w:t>
      </w:r>
      <w:proofErr w:type="spellEnd"/>
      <w:r w:rsidR="004437D8">
        <w:rPr>
          <w:w w:val="120"/>
        </w:rPr>
        <w:t xml:space="preserve"> </w:t>
      </w:r>
      <w:proofErr w:type="spellStart"/>
      <w:r>
        <w:rPr>
          <w:w w:val="120"/>
        </w:rPr>
        <w:t>skarżył</w:t>
      </w:r>
      <w:r w:rsidR="004437D8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ograniczenia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nałożone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zakresie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kontaktów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synem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uzasadniając</w:t>
      </w:r>
      <w:proofErr w:type="spellEnd"/>
      <w:r>
        <w:rPr>
          <w:w w:val="120"/>
        </w:rPr>
        <w:t xml:space="preserve"> to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 w:rsidR="004437D8">
        <w:rPr>
          <w:w w:val="120"/>
        </w:rPr>
        <w:t>jej</w:t>
      </w:r>
      <w:proofErr w:type="spellEnd"/>
      <w:r w:rsidR="004437D8">
        <w:rPr>
          <w:w w:val="120"/>
        </w:rPr>
        <w:t xml:space="preserve"> </w:t>
      </w:r>
      <w:proofErr w:type="spellStart"/>
      <w:r>
        <w:rPr>
          <w:w w:val="120"/>
        </w:rPr>
        <w:t>niestabilność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emocjonalna</w:t>
      </w:r>
      <w:proofErr w:type="spellEnd"/>
      <w:r>
        <w:rPr>
          <w:w w:val="120"/>
        </w:rPr>
        <w:t xml:space="preserve"> po </w:t>
      </w:r>
      <w:proofErr w:type="spellStart"/>
      <w:r>
        <w:rPr>
          <w:w w:val="120"/>
        </w:rPr>
        <w:t>zmianie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wywrzeć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negatywny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wpływ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wówczas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sześć</w:t>
      </w:r>
      <w:proofErr w:type="spellEnd"/>
      <w:r>
        <w:rPr>
          <w:w w:val="120"/>
        </w:rPr>
        <w:t xml:space="preserve"> lat.</w:t>
      </w:r>
    </w:p>
    <w:p w14:paraId="65A7271C" w14:textId="291A192F" w:rsidR="0039779E" w:rsidRDefault="00F712A0">
      <w:pPr>
        <w:pStyle w:val="Tekstpodstawowy"/>
        <w:ind w:left="874" w:right="727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 w:rsidRPr="00D829B1"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r>
        <w:rPr>
          <w:b/>
          <w:color w:val="0071BB"/>
          <w:w w:val="120"/>
        </w:rPr>
        <w:t xml:space="preserve">w </w:t>
      </w:r>
      <w:proofErr w:type="spellStart"/>
      <w:r>
        <w:rPr>
          <w:b/>
          <w:color w:val="0071BB"/>
          <w:w w:val="120"/>
        </w:rPr>
        <w:t>związku</w:t>
      </w:r>
      <w:proofErr w:type="spellEnd"/>
      <w:r>
        <w:rPr>
          <w:b/>
          <w:color w:val="0071BB"/>
          <w:w w:val="120"/>
        </w:rPr>
        <w:t xml:space="preserve"> z art. 14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kontaktów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wynikało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transseksualizm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Decydującym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powodem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nałożonego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hiszpańskie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tymczasową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niestabilność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emocjonalną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</w:t>
      </w:r>
      <w:r w:rsidR="00153681">
        <w:rPr>
          <w:color w:val="0071BB"/>
          <w:w w:val="120"/>
        </w:rPr>
        <w:t>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dobro </w:t>
      </w:r>
      <w:proofErr w:type="spellStart"/>
      <w:r>
        <w:rPr>
          <w:color w:val="0071BB"/>
          <w:w w:val="120"/>
        </w:rPr>
        <w:t>dziecka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ustaliły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stopniowe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rozwiązanie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pozwoliłoby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stopniowo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przyzwyczaić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ojca</w:t>
      </w:r>
      <w:proofErr w:type="spellEnd"/>
      <w:r>
        <w:rPr>
          <w:color w:val="0071BB"/>
          <w:w w:val="120"/>
        </w:rPr>
        <w:t>.</w:t>
      </w:r>
    </w:p>
    <w:p w14:paraId="58944DCA" w14:textId="77777777" w:rsidR="0039779E" w:rsidRDefault="0039779E">
      <w:pPr>
        <w:pStyle w:val="Nagwek2"/>
        <w:spacing w:before="105"/>
        <w:ind w:left="875"/>
        <w:rPr>
          <w:u w:val="none"/>
        </w:rPr>
      </w:pPr>
      <w:hyperlink r:id="rId30">
        <w:r>
          <w:rPr>
            <w:color w:val="0071BB"/>
            <w:w w:val="140"/>
            <w:u w:color="0071BB"/>
          </w:rPr>
          <w:t xml:space="preserve">P.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Portugalii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56027/09)</w:t>
        </w:r>
      </w:hyperlink>
    </w:p>
    <w:p w14:paraId="4C791872" w14:textId="6944F976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6 </w:t>
      </w:r>
      <w:proofErr w:type="spellStart"/>
      <w:r>
        <w:rPr>
          <w:color w:val="808080"/>
          <w:w w:val="125"/>
          <w:sz w:val="18"/>
        </w:rPr>
        <w:t>września</w:t>
      </w:r>
      <w:proofErr w:type="spellEnd"/>
      <w:r>
        <w:rPr>
          <w:color w:val="808080"/>
          <w:w w:val="125"/>
          <w:sz w:val="18"/>
        </w:rPr>
        <w:t xml:space="preserve"> 2011</w:t>
      </w:r>
      <w:r>
        <w:rPr>
          <w:color w:val="808080"/>
          <w:spacing w:val="3"/>
          <w:w w:val="125"/>
          <w:sz w:val="18"/>
        </w:rPr>
        <w:t xml:space="preserve"> r. </w:t>
      </w:r>
      <w:r>
        <w:rPr>
          <w:color w:val="808080"/>
          <w:w w:val="125"/>
          <w:sz w:val="18"/>
        </w:rPr>
        <w:t>(</w:t>
      </w:r>
      <w:proofErr w:type="spellStart"/>
      <w:r>
        <w:rPr>
          <w:color w:val="808080"/>
          <w:spacing w:val="-2"/>
          <w:w w:val="125"/>
          <w:sz w:val="18"/>
        </w:rPr>
        <w:t>decyzja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r>
        <w:rPr>
          <w:color w:val="808080"/>
          <w:w w:val="125"/>
          <w:sz w:val="18"/>
        </w:rPr>
        <w:t xml:space="preserve">o </w:t>
      </w:r>
      <w:proofErr w:type="spellStart"/>
      <w:r w:rsidR="00153681">
        <w:rPr>
          <w:color w:val="808080"/>
          <w:w w:val="125"/>
          <w:sz w:val="18"/>
        </w:rPr>
        <w:t>skreśleniuu</w:t>
      </w:r>
      <w:proofErr w:type="spellEnd"/>
      <w:r w:rsidR="00153681"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w w:val="125"/>
          <w:sz w:val="18"/>
        </w:rPr>
        <w:t>sprawy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5CABB3FD" w14:textId="77777777" w:rsidR="0039779E" w:rsidRDefault="00F712A0">
      <w:pPr>
        <w:pStyle w:val="Tekstpodstawowy"/>
        <w:spacing w:before="1"/>
        <w:ind w:right="730"/>
      </w:pPr>
      <w:r>
        <w:rPr>
          <w:w w:val="120"/>
        </w:rPr>
        <w:t xml:space="preserve">W </w:t>
      </w:r>
      <w:proofErr w:type="spellStart"/>
      <w:r>
        <w:rPr>
          <w:w w:val="120"/>
        </w:rPr>
        <w:t>chwili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zarejestrowana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mężczyzna</w:t>
      </w:r>
      <w:proofErr w:type="spellEnd"/>
      <w:r>
        <w:rPr>
          <w:w w:val="120"/>
        </w:rPr>
        <w:t xml:space="preserve">. Po </w:t>
      </w:r>
      <w:proofErr w:type="spellStart"/>
      <w:r>
        <w:rPr>
          <w:w w:val="120"/>
        </w:rPr>
        <w:t>osiągnięciu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pełnoletności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przeszła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związane</w:t>
      </w:r>
      <w:proofErr w:type="spellEnd"/>
      <w:r>
        <w:rPr>
          <w:w w:val="120"/>
        </w:rPr>
        <w:t xml:space="preserve"> ze </w:t>
      </w:r>
      <w:proofErr w:type="spellStart"/>
      <w:r>
        <w:rPr>
          <w:w w:val="120"/>
        </w:rPr>
        <w:t>zmianą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, a </w:t>
      </w:r>
      <w:proofErr w:type="spellStart"/>
      <w:r>
        <w:rPr>
          <w:w w:val="120"/>
        </w:rPr>
        <w:t>następnie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operację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sytuacji</w:t>
      </w:r>
      <w:proofErr w:type="spellEnd"/>
      <w:r>
        <w:rPr>
          <w:w w:val="120"/>
        </w:rPr>
        <w:t xml:space="preserve">, w </w:t>
      </w:r>
      <w:proofErr w:type="spellStart"/>
      <w:r>
        <w:rPr>
          <w:w w:val="120"/>
        </w:rPr>
        <w:t>połączeniu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rzekomym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jakichkolwiek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przepisów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tej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sprawie</w:t>
      </w:r>
      <w:proofErr w:type="spellEnd"/>
      <w:r>
        <w:rPr>
          <w:w w:val="120"/>
        </w:rPr>
        <w:t>.</w:t>
      </w:r>
    </w:p>
    <w:p w14:paraId="4224E44D" w14:textId="4A806C41" w:rsidR="0039779E" w:rsidRDefault="00F712A0">
      <w:pPr>
        <w:pStyle w:val="Tekstpodstawowy"/>
        <w:ind w:left="874" w:right="729" w:hanging="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wykreślił</w:t>
      </w:r>
      <w:proofErr w:type="spellEnd"/>
      <w:r w:rsidR="00153681">
        <w:rPr>
          <w:b/>
          <w:color w:val="0071BB"/>
          <w:w w:val="120"/>
        </w:rPr>
        <w:t xml:space="preserve"> </w:t>
      </w:r>
      <w:proofErr w:type="spellStart"/>
      <w:r w:rsidR="00153681">
        <w:rPr>
          <w:b/>
          <w:color w:val="0071BB"/>
          <w:w w:val="120"/>
        </w:rPr>
        <w:t>skargę</w:t>
      </w:r>
      <w:proofErr w:type="spellEnd"/>
      <w:r w:rsidR="00153681">
        <w:rPr>
          <w:b/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z </w:t>
      </w:r>
      <w:proofErr w:type="spellStart"/>
      <w:r>
        <w:rPr>
          <w:b/>
          <w:color w:val="0071BB"/>
          <w:w w:val="120"/>
        </w:rPr>
        <w:t>listy</w:t>
      </w:r>
      <w:proofErr w:type="spellEnd"/>
      <w:r>
        <w:rPr>
          <w:b/>
          <w:color w:val="0071BB"/>
          <w:w w:val="120"/>
        </w:rPr>
        <w:t xml:space="preserve"> spraw</w:t>
      </w:r>
      <w:r w:rsidR="00153681">
        <w:rPr>
          <w:b/>
          <w:color w:val="0071BB"/>
          <w:spacing w:val="73"/>
          <w:w w:val="120"/>
        </w:rPr>
        <w:t xml:space="preserve">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art. 37 (</w:t>
      </w:r>
      <w:proofErr w:type="spellStart"/>
      <w:r w:rsidR="00153681">
        <w:rPr>
          <w:color w:val="0071BB"/>
          <w:w w:val="120"/>
        </w:rPr>
        <w:t>skreślenie</w:t>
      </w:r>
      <w:proofErr w:type="spellEnd"/>
      <w:r w:rsidR="00153681">
        <w:rPr>
          <w:color w:val="0071BB"/>
          <w:w w:val="120"/>
        </w:rPr>
        <w:t xml:space="preserve"> </w:t>
      </w:r>
      <w:proofErr w:type="spellStart"/>
      <w:r w:rsidR="00153681">
        <w:rPr>
          <w:color w:val="0071BB"/>
          <w:w w:val="120"/>
        </w:rPr>
        <w:t>skargi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uznając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rozstrzygnięta</w:t>
      </w:r>
      <w:proofErr w:type="spellEnd"/>
      <w:r>
        <w:rPr>
          <w:color w:val="0071BB"/>
          <w:w w:val="120"/>
        </w:rPr>
        <w:t xml:space="preserve">, ponieważ </w:t>
      </w:r>
      <w:proofErr w:type="spellStart"/>
      <w:r>
        <w:rPr>
          <w:color w:val="0071BB"/>
          <w:w w:val="120"/>
        </w:rPr>
        <w:t>wniosek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uznanie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</w:t>
      </w:r>
      <w:proofErr w:type="spellEnd"/>
      <w:r>
        <w:rPr>
          <w:color w:val="0071BB"/>
          <w:w w:val="120"/>
        </w:rPr>
        <w:t xml:space="preserve"> przed </w:t>
      </w:r>
      <w:proofErr w:type="spellStart"/>
      <w:r>
        <w:rPr>
          <w:color w:val="0071BB"/>
          <w:w w:val="120"/>
        </w:rPr>
        <w:t>sądami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ostatecznie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rozpatrzony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pozytywnie</w:t>
      </w:r>
      <w:proofErr w:type="spellEnd"/>
      <w:r>
        <w:rPr>
          <w:color w:val="0071BB"/>
          <w:w w:val="120"/>
        </w:rPr>
        <w:t>.</w:t>
      </w:r>
    </w:p>
    <w:p w14:paraId="1C572D53" w14:textId="77777777" w:rsidR="0039779E" w:rsidRDefault="0039779E">
      <w:pPr>
        <w:pStyle w:val="Nagwek2"/>
        <w:spacing w:before="111"/>
        <w:rPr>
          <w:u w:val="none"/>
        </w:rPr>
      </w:pPr>
      <w:hyperlink r:id="rId31">
        <w:r>
          <w:rPr>
            <w:color w:val="0071BB"/>
            <w:w w:val="135"/>
            <w:u w:color="0071BB"/>
          </w:rPr>
          <w:t xml:space="preserve">Cassar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4"/>
            <w:w w:val="135"/>
            <w:u w:color="0071BB"/>
          </w:rPr>
          <w:t>Malcie</w:t>
        </w:r>
        <w:proofErr w:type="spellEnd"/>
      </w:hyperlink>
    </w:p>
    <w:p w14:paraId="57728A57" w14:textId="3BC5D194" w:rsidR="0039779E" w:rsidRDefault="00F712A0">
      <w:pPr>
        <w:spacing w:before="5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9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w w:val="125"/>
          <w:sz w:val="18"/>
        </w:rPr>
        <w:t xml:space="preserve"> 2013</w:t>
      </w:r>
      <w:r>
        <w:rPr>
          <w:color w:val="808080"/>
          <w:spacing w:val="8"/>
          <w:w w:val="125"/>
          <w:sz w:val="18"/>
        </w:rPr>
        <w:t xml:space="preserve"> r. </w:t>
      </w:r>
      <w:r>
        <w:rPr>
          <w:color w:val="808080"/>
          <w:w w:val="125"/>
          <w:sz w:val="18"/>
        </w:rPr>
        <w:t>(</w:t>
      </w:r>
      <w:proofErr w:type="spellStart"/>
      <w:r>
        <w:rPr>
          <w:color w:val="808080"/>
          <w:spacing w:val="-2"/>
          <w:w w:val="125"/>
          <w:sz w:val="18"/>
        </w:rPr>
        <w:t>postanowienie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r>
        <w:rPr>
          <w:color w:val="808080"/>
          <w:w w:val="125"/>
          <w:sz w:val="18"/>
        </w:rPr>
        <w:t xml:space="preserve">o </w:t>
      </w:r>
      <w:proofErr w:type="spellStart"/>
      <w:r w:rsidR="00153681">
        <w:rPr>
          <w:color w:val="808080"/>
          <w:w w:val="125"/>
          <w:sz w:val="18"/>
        </w:rPr>
        <w:t>skreśleniu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6032067E" w14:textId="2F05FE0C" w:rsidR="0039779E" w:rsidRDefault="00153681">
      <w:pPr>
        <w:pStyle w:val="Tekstpodstawowy"/>
        <w:spacing w:before="3"/>
        <w:ind w:right="728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maltańskie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uznaje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transseksualistów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osoby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nabytej</w:t>
      </w:r>
      <w:proofErr w:type="spellEnd"/>
      <w:r>
        <w:rPr>
          <w:w w:val="120"/>
        </w:rPr>
        <w:t xml:space="preserve"> we </w:t>
      </w:r>
      <w:proofErr w:type="spellStart"/>
      <w:r>
        <w:rPr>
          <w:w w:val="120"/>
        </w:rPr>
        <w:t>wszystkich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aspektach</w:t>
      </w:r>
      <w:proofErr w:type="spellEnd"/>
      <w:r>
        <w:rPr>
          <w:w w:val="120"/>
        </w:rPr>
        <w:t xml:space="preserve">, w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zakresie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zawierania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małżeństw</w:t>
      </w:r>
      <w:proofErr w:type="spellEnd"/>
      <w:r>
        <w:rPr>
          <w:w w:val="120"/>
        </w:rPr>
        <w:t>.</w:t>
      </w:r>
    </w:p>
    <w:p w14:paraId="7A2FF646" w14:textId="746527CB" w:rsidR="0039779E" w:rsidRDefault="00F712A0">
      <w:pPr>
        <w:pStyle w:val="Tekstpodstawowy"/>
        <w:ind w:right="732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biorąc</w:t>
      </w:r>
      <w:proofErr w:type="spellEnd"/>
      <w:r>
        <w:rPr>
          <w:color w:val="0071BB"/>
          <w:w w:val="125"/>
        </w:rPr>
        <w:t xml:space="preserve"> pod </w:t>
      </w:r>
      <w:proofErr w:type="spellStart"/>
      <w:r>
        <w:rPr>
          <w:color w:val="0071BB"/>
          <w:w w:val="125"/>
        </w:rPr>
        <w:t>uwagę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rząd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doszli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ugody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poza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sądem</w:t>
      </w:r>
      <w:proofErr w:type="spellEnd"/>
      <w:r>
        <w:rPr>
          <w:color w:val="0071BB"/>
          <w:w w:val="125"/>
        </w:rPr>
        <w:t xml:space="preserve">, </w:t>
      </w:r>
      <w:proofErr w:type="spellStart"/>
      <w:r w:rsidR="00153681">
        <w:rPr>
          <w:b/>
          <w:color w:val="0071BB"/>
          <w:w w:val="125"/>
        </w:rPr>
        <w:t>skreślił</w:t>
      </w:r>
      <w:proofErr w:type="spellEnd"/>
      <w:r w:rsidR="00153681">
        <w:rPr>
          <w:b/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skargę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 xml:space="preserve">z </w:t>
      </w:r>
      <w:proofErr w:type="spellStart"/>
      <w:r>
        <w:rPr>
          <w:b/>
          <w:color w:val="0071BB"/>
          <w:w w:val="125"/>
        </w:rPr>
        <w:t>listy</w:t>
      </w:r>
      <w:proofErr w:type="spellEnd"/>
      <w:r>
        <w:rPr>
          <w:b/>
          <w:color w:val="0071BB"/>
          <w:w w:val="125"/>
        </w:rPr>
        <w:t xml:space="preserve"> spraw </w:t>
      </w:r>
      <w:proofErr w:type="spellStart"/>
      <w:r>
        <w:rPr>
          <w:color w:val="0071BB"/>
          <w:w w:val="125"/>
        </w:rPr>
        <w:t>zgodnie</w:t>
      </w:r>
      <w:proofErr w:type="spellEnd"/>
      <w:r>
        <w:rPr>
          <w:color w:val="0071BB"/>
          <w:w w:val="125"/>
        </w:rPr>
        <w:t xml:space="preserve"> z art. 37 (</w:t>
      </w:r>
      <w:proofErr w:type="spellStart"/>
      <w:r w:rsidR="00153681">
        <w:rPr>
          <w:color w:val="0071BB"/>
          <w:w w:val="125"/>
        </w:rPr>
        <w:t>skreślenie</w:t>
      </w:r>
      <w:proofErr w:type="spellEnd"/>
      <w:r w:rsidR="00153681"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>.</w:t>
      </w:r>
    </w:p>
    <w:p w14:paraId="1D07C7DA" w14:textId="77777777" w:rsidR="0039779E" w:rsidRDefault="0039779E">
      <w:pPr>
        <w:pStyle w:val="Nagwek2"/>
        <w:ind w:left="873"/>
        <w:rPr>
          <w:u w:val="none"/>
        </w:rPr>
      </w:pPr>
      <w:hyperlink r:id="rId32">
        <w:r>
          <w:rPr>
            <w:color w:val="0071BB"/>
            <w:w w:val="135"/>
            <w:u w:color="0071BB"/>
          </w:rPr>
          <w:t xml:space="preserve">Hämäläinen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Finlandii</w:t>
        </w:r>
        <w:proofErr w:type="spellEnd"/>
      </w:hyperlink>
    </w:p>
    <w:p w14:paraId="4E8AC9BD" w14:textId="77777777" w:rsidR="0039779E" w:rsidRDefault="00F712A0">
      <w:pPr>
        <w:spacing w:before="5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16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w w:val="125"/>
          <w:sz w:val="18"/>
        </w:rPr>
        <w:t xml:space="preserve"> 2014 r. (</w:t>
      </w:r>
      <w:proofErr w:type="spellStart"/>
      <w:r>
        <w:rPr>
          <w:color w:val="808080"/>
          <w:w w:val="125"/>
          <w:sz w:val="18"/>
        </w:rPr>
        <w:t>Wielka</w:t>
      </w:r>
      <w:proofErr w:type="spellEnd"/>
      <w:r>
        <w:rPr>
          <w:color w:val="808080"/>
          <w:w w:val="125"/>
          <w:sz w:val="18"/>
        </w:rPr>
        <w:t xml:space="preserve"> </w:t>
      </w:r>
      <w:r>
        <w:rPr>
          <w:color w:val="808080"/>
          <w:spacing w:val="-2"/>
          <w:w w:val="125"/>
          <w:sz w:val="18"/>
        </w:rPr>
        <w:t>Izba)</w:t>
      </w:r>
    </w:p>
    <w:p w14:paraId="3D6A45CE" w14:textId="610A2B2B" w:rsidR="0039779E" w:rsidRDefault="00153681">
      <w:pPr>
        <w:pStyle w:val="Tekstpodstawowy"/>
        <w:spacing w:before="4"/>
        <w:ind w:right="728"/>
      </w:pPr>
      <w:proofErr w:type="spellStart"/>
      <w:r>
        <w:rPr>
          <w:w w:val="120"/>
        </w:rPr>
        <w:t>Skarżąc</w:t>
      </w:r>
      <w:r w:rsidR="00993CF5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urodził</w:t>
      </w:r>
      <w:r w:rsidR="00993CF5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mężczyzna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w 1996 r. </w:t>
      </w:r>
      <w:proofErr w:type="spellStart"/>
      <w:r>
        <w:rPr>
          <w:w w:val="120"/>
        </w:rPr>
        <w:t>poślubił</w:t>
      </w:r>
      <w:r w:rsidR="00993CF5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kobietę</w:t>
      </w:r>
      <w:proofErr w:type="spellEnd"/>
      <w:r>
        <w:rPr>
          <w:w w:val="120"/>
        </w:rPr>
        <w:t xml:space="preserve">. W 2002 r. para </w:t>
      </w:r>
      <w:proofErr w:type="spellStart"/>
      <w:r>
        <w:rPr>
          <w:w w:val="120"/>
        </w:rPr>
        <w:t>miała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dziecko</w:t>
      </w:r>
      <w:proofErr w:type="spellEnd"/>
      <w:r>
        <w:rPr>
          <w:w w:val="120"/>
        </w:rPr>
        <w:t xml:space="preserve">. We </w:t>
      </w:r>
      <w:proofErr w:type="spellStart"/>
      <w:r>
        <w:rPr>
          <w:w w:val="120"/>
        </w:rPr>
        <w:t>wrześniu</w:t>
      </w:r>
      <w:proofErr w:type="spellEnd"/>
      <w:r>
        <w:rPr>
          <w:w w:val="120"/>
        </w:rPr>
        <w:t xml:space="preserve"> 2009 r. </w:t>
      </w:r>
      <w:proofErr w:type="spellStart"/>
      <w:r w:rsidR="005D5F75">
        <w:rPr>
          <w:w w:val="120"/>
        </w:rPr>
        <w:t>skarżąc</w:t>
      </w:r>
      <w:r w:rsidR="00993CF5">
        <w:rPr>
          <w:w w:val="120"/>
        </w:rPr>
        <w:t>a</w:t>
      </w:r>
      <w:proofErr w:type="spellEnd"/>
      <w:r w:rsidR="005D5F75">
        <w:rPr>
          <w:w w:val="120"/>
        </w:rPr>
        <w:t xml:space="preserve"> </w:t>
      </w:r>
      <w:proofErr w:type="spellStart"/>
      <w:r w:rsidR="00993CF5">
        <w:rPr>
          <w:w w:val="120"/>
        </w:rPr>
        <w:t>przeszła</w:t>
      </w:r>
      <w:proofErr w:type="spellEnd"/>
      <w:r w:rsidR="00993CF5">
        <w:rPr>
          <w:w w:val="120"/>
        </w:rPr>
        <w:t xml:space="preserve"> </w:t>
      </w:r>
      <w:proofErr w:type="spellStart"/>
      <w:r>
        <w:rPr>
          <w:w w:val="120"/>
        </w:rPr>
        <w:t>operację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męskiej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żeńską</w:t>
      </w:r>
      <w:proofErr w:type="spellEnd"/>
      <w:r>
        <w:rPr>
          <w:w w:val="120"/>
        </w:rPr>
        <w:t xml:space="preserve">. Mimo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czerwcu</w:t>
      </w:r>
      <w:proofErr w:type="spellEnd"/>
      <w:r>
        <w:rPr>
          <w:w w:val="120"/>
        </w:rPr>
        <w:t xml:space="preserve"> 2006 r. </w:t>
      </w:r>
      <w:proofErr w:type="spellStart"/>
      <w:r>
        <w:rPr>
          <w:w w:val="120"/>
        </w:rPr>
        <w:t>zmienił</w:t>
      </w:r>
      <w:r w:rsidR="00993CF5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imiona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</w:t>
      </w:r>
      <w:r w:rsidR="00993CF5">
        <w:rPr>
          <w:w w:val="120"/>
        </w:rPr>
        <w:t>ogła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zmienić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numeru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identyfikacyjnego</w:t>
      </w:r>
      <w:proofErr w:type="spellEnd"/>
      <w:r>
        <w:rPr>
          <w:w w:val="120"/>
        </w:rPr>
        <w:t xml:space="preserve">, aby w </w:t>
      </w:r>
      <w:proofErr w:type="spellStart"/>
      <w:r>
        <w:rPr>
          <w:w w:val="120"/>
        </w:rPr>
        <w:t>dokumentach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urzędowych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wskazywał</w:t>
      </w:r>
      <w:proofErr w:type="spellEnd"/>
      <w:r>
        <w:rPr>
          <w:w w:val="120"/>
        </w:rPr>
        <w:t xml:space="preserve"> on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żeńską</w:t>
      </w:r>
      <w:proofErr w:type="spellEnd"/>
      <w:r w:rsidR="005D5F75">
        <w:rPr>
          <w:w w:val="120"/>
        </w:rPr>
        <w:t xml:space="preserve"> </w:t>
      </w:r>
      <w:proofErr w:type="spellStart"/>
      <w:r w:rsidR="005D5F75">
        <w:rPr>
          <w:w w:val="120"/>
        </w:rPr>
        <w:t>płeć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chyba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żona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wyraziłaby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przekształcenie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małżeństwa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związek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partnerski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czego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odmówiła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lub</w:t>
      </w:r>
      <w:proofErr w:type="spellEnd"/>
      <w:r>
        <w:rPr>
          <w:w w:val="120"/>
        </w:rPr>
        <w:t xml:space="preserve"> para </w:t>
      </w:r>
      <w:proofErr w:type="spellStart"/>
      <w:r>
        <w:rPr>
          <w:w w:val="120"/>
        </w:rPr>
        <w:t>rozwiodłaby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związku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wniosek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rejestrację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kobieta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lokalnym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urzędzie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cywilnego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odrzucony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twierdziła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pełne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oficjalne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nowej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jedynie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przekształcenie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małżeństwa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związek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partnerski</w:t>
      </w:r>
      <w:proofErr w:type="spellEnd"/>
      <w:r>
        <w:rPr>
          <w:w w:val="120"/>
        </w:rPr>
        <w:t>.</w:t>
      </w:r>
    </w:p>
    <w:p w14:paraId="3104CA20" w14:textId="5E26F613" w:rsidR="0039779E" w:rsidRDefault="00F712A0" w:rsidP="00620852">
      <w:pPr>
        <w:pStyle w:val="Tekstpodstawowy"/>
        <w:spacing w:line="237" w:lineRule="auto"/>
        <w:ind w:left="874" w:right="728"/>
        <w:jc w:val="distribute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nieproporcjonaln</w:t>
      </w:r>
      <w:r w:rsidR="005D5F75">
        <w:rPr>
          <w:color w:val="0071BB"/>
          <w:w w:val="120"/>
        </w:rPr>
        <w:t>e</w:t>
      </w:r>
      <w:proofErr w:type="spellEnd"/>
      <w:r w:rsidR="005D5F75">
        <w:rPr>
          <w:color w:val="0071BB"/>
          <w:w w:val="120"/>
        </w:rPr>
        <w:t xml:space="preserve"> </w:t>
      </w:r>
      <w:proofErr w:type="spellStart"/>
      <w:r w:rsidR="005D5F75">
        <w:rPr>
          <w:color w:val="0071BB"/>
          <w:w w:val="120"/>
        </w:rPr>
        <w:t>wymagać</w:t>
      </w:r>
      <w:proofErr w:type="spellEnd"/>
    </w:p>
    <w:p w14:paraId="1FCB02BF" w14:textId="7DE5FB30" w:rsidR="005D5F75" w:rsidRDefault="005D5F75">
      <w:pPr>
        <w:pStyle w:val="Tekstpodstawowy"/>
        <w:spacing w:line="237" w:lineRule="auto"/>
        <w:sectPr w:rsidR="005D5F75">
          <w:pgSz w:w="11910" w:h="16840"/>
          <w:pgMar w:top="1460" w:right="708" w:bottom="680" w:left="566" w:header="730" w:footer="497" w:gutter="0"/>
          <w:cols w:space="708"/>
        </w:sectPr>
      </w:pPr>
    </w:p>
    <w:p w14:paraId="4A351A0D" w14:textId="4963CED5" w:rsidR="0039779E" w:rsidRDefault="00F712A0">
      <w:pPr>
        <w:pStyle w:val="Tekstpodstawowy"/>
        <w:spacing w:before="240"/>
        <w:ind w:left="872" w:right="728" w:firstLine="1"/>
      </w:pPr>
      <w:proofErr w:type="spellStart"/>
      <w:r>
        <w:rPr>
          <w:color w:val="0071BB"/>
          <w:w w:val="120"/>
        </w:rPr>
        <w:lastRenderedPageBreak/>
        <w:t>przekształcenia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zarejestrowane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partnerstwo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warunku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wstępnego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nabytej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ponieważ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prawdziwa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zapewniająca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ochronę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niemal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identyczną</w:t>
      </w:r>
      <w:proofErr w:type="spellEnd"/>
      <w:r>
        <w:rPr>
          <w:color w:val="0071BB"/>
          <w:w w:val="120"/>
        </w:rPr>
        <w:t xml:space="preserve"> jak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Niewielkie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różnice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dwoma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pojęciami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obecny</w:t>
      </w:r>
      <w:proofErr w:type="spellEnd"/>
      <w:r>
        <w:rPr>
          <w:color w:val="0071BB"/>
          <w:w w:val="120"/>
        </w:rPr>
        <w:t xml:space="preserve"> system </w:t>
      </w:r>
      <w:proofErr w:type="spellStart"/>
      <w:r>
        <w:rPr>
          <w:color w:val="0071BB"/>
          <w:w w:val="120"/>
        </w:rPr>
        <w:t>fiński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niekompletny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punktu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wynikającego</w:t>
      </w:r>
      <w:proofErr w:type="spellEnd"/>
      <w:r>
        <w:rPr>
          <w:color w:val="0071BB"/>
          <w:w w:val="120"/>
        </w:rPr>
        <w:t xml:space="preserve"> z art. 8 </w:t>
      </w:r>
      <w:proofErr w:type="spellStart"/>
      <w:r w:rsidR="005D5F75">
        <w:rPr>
          <w:color w:val="0071BB"/>
          <w:w w:val="120"/>
        </w:rPr>
        <w:t>K</w:t>
      </w:r>
      <w:r>
        <w:rPr>
          <w:color w:val="0071BB"/>
          <w:w w:val="120"/>
        </w:rPr>
        <w:t>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</w:t>
      </w:r>
      <w:r w:rsidR="005D5F75">
        <w:rPr>
          <w:color w:val="0071BB"/>
          <w:w w:val="120"/>
        </w:rPr>
        <w:t>o</w:t>
      </w:r>
      <w:proofErr w:type="spellEnd"/>
      <w:r w:rsidR="005D5F75">
        <w:rPr>
          <w:color w:val="0071BB"/>
          <w:w w:val="120"/>
        </w:rPr>
        <w:t xml:space="preserve"> taka</w:t>
      </w:r>
      <w:r>
        <w:rPr>
          <w:color w:val="0071BB"/>
          <w:spacing w:val="40"/>
          <w:w w:val="120"/>
        </w:rPr>
        <w:t xml:space="preserve"> </w:t>
      </w:r>
      <w:proofErr w:type="spellStart"/>
      <w:r>
        <w:rPr>
          <w:color w:val="0071BB"/>
          <w:w w:val="120"/>
        </w:rPr>
        <w:t>konwersja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miałaby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żadnego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wpływu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, ponieważ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wpłynęłaby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ojcostwo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córki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ani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odpowiedzialność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opiekę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pieczę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utrzymanie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dziecka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powstała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żadna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odrębna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kwestia</w:t>
      </w:r>
      <w:proofErr w:type="spellEnd"/>
      <w:r>
        <w:rPr>
          <w:b/>
          <w:color w:val="0071BB"/>
          <w:w w:val="120"/>
        </w:rPr>
        <w:t xml:space="preserve"> w </w:t>
      </w:r>
      <w:proofErr w:type="spellStart"/>
      <w:r>
        <w:rPr>
          <w:b/>
          <w:color w:val="0071BB"/>
          <w:w w:val="120"/>
        </w:rPr>
        <w:t>świetle</w:t>
      </w:r>
      <w:proofErr w:type="spellEnd"/>
      <w:r>
        <w:rPr>
          <w:b/>
          <w:color w:val="0071BB"/>
          <w:w w:val="120"/>
        </w:rPr>
        <w:t xml:space="preserve"> art. 12</w:t>
      </w:r>
      <w:r w:rsidR="005D5F75">
        <w:rPr>
          <w:color w:val="0071BB"/>
          <w:w w:val="120"/>
        </w:rPr>
        <w:t xml:space="preserve">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zawarcia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małżeństwa</w:t>
      </w:r>
      <w:proofErr w:type="spellEnd"/>
      <w:r>
        <w:rPr>
          <w:color w:val="0071BB"/>
          <w:w w:val="120"/>
        </w:rPr>
        <w:t>)</w:t>
      </w:r>
      <w:r w:rsidR="005D5F75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spacing w:val="40"/>
          <w:w w:val="120"/>
        </w:rPr>
        <w:t xml:space="preserve">  </w:t>
      </w:r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color w:val="0071BB"/>
          <w:spacing w:val="39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spacing w:val="40"/>
          <w:w w:val="120"/>
        </w:rPr>
        <w:t xml:space="preserve"> </w:t>
      </w:r>
      <w:r>
        <w:rPr>
          <w:b/>
          <w:color w:val="0071BB"/>
          <w:w w:val="120"/>
        </w:rPr>
        <w:t>do</w:t>
      </w:r>
      <w:r w:rsidR="005D5F75">
        <w:rPr>
          <w:b/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14 </w:t>
      </w:r>
      <w:r w:rsidRPr="00620852">
        <w:rPr>
          <w:bCs/>
          <w:color w:val="0071BB"/>
          <w:spacing w:val="40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r>
        <w:rPr>
          <w:b/>
          <w:color w:val="0071BB"/>
          <w:w w:val="120"/>
        </w:rPr>
        <w:t xml:space="preserve">w </w:t>
      </w:r>
      <w:proofErr w:type="spellStart"/>
      <w:r>
        <w:rPr>
          <w:b/>
          <w:color w:val="0071BB"/>
          <w:w w:val="120"/>
        </w:rPr>
        <w:t>związku</w:t>
      </w:r>
      <w:proofErr w:type="spellEnd"/>
      <w:r>
        <w:rPr>
          <w:b/>
          <w:color w:val="0071BB"/>
          <w:w w:val="120"/>
        </w:rPr>
        <w:t xml:space="preserve"> z art</w:t>
      </w:r>
      <w:r>
        <w:rPr>
          <w:b/>
          <w:color w:val="0071BB"/>
          <w:spacing w:val="40"/>
          <w:w w:val="120"/>
        </w:rPr>
        <w:t xml:space="preserve">. 8 </w:t>
      </w:r>
      <w:proofErr w:type="spellStart"/>
      <w:r>
        <w:rPr>
          <w:b/>
          <w:color w:val="0071BB"/>
          <w:w w:val="120"/>
        </w:rPr>
        <w:t>i</w:t>
      </w:r>
      <w:proofErr w:type="spellEnd"/>
      <w:r>
        <w:rPr>
          <w:b/>
          <w:color w:val="0071BB"/>
          <w:w w:val="120"/>
        </w:rPr>
        <w:t xml:space="preserve"> 12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>.</w:t>
      </w:r>
    </w:p>
    <w:p w14:paraId="72353531" w14:textId="77777777" w:rsidR="0039779E" w:rsidRDefault="0039779E">
      <w:pPr>
        <w:pStyle w:val="Nagwek2"/>
        <w:spacing w:before="109"/>
        <w:ind w:left="872"/>
        <w:rPr>
          <w:u w:val="none"/>
        </w:rPr>
      </w:pPr>
      <w:hyperlink r:id="rId33">
        <w:r>
          <w:rPr>
            <w:color w:val="0071BB"/>
            <w:w w:val="140"/>
            <w:u w:color="0071BB"/>
          </w:rPr>
          <w:t xml:space="preserve">Y.Y.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Turcji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r>
          <w:rPr>
            <w:color w:val="0071BB"/>
            <w:spacing w:val="-2"/>
            <w:w w:val="140"/>
            <w:u w:color="0071BB"/>
          </w:rPr>
          <w:t>(nr 14793/08)</w:t>
        </w:r>
      </w:hyperlink>
    </w:p>
    <w:p w14:paraId="7E469C26" w14:textId="77777777" w:rsidR="0039779E" w:rsidRDefault="00F712A0">
      <w:pPr>
        <w:spacing w:before="56"/>
        <w:ind w:left="874"/>
        <w:jc w:val="both"/>
        <w:rPr>
          <w:sz w:val="18"/>
        </w:rPr>
      </w:pPr>
      <w:r>
        <w:rPr>
          <w:color w:val="808080"/>
          <w:w w:val="120"/>
          <w:sz w:val="18"/>
        </w:rPr>
        <w:t xml:space="preserve">10 </w:t>
      </w:r>
      <w:proofErr w:type="spellStart"/>
      <w:r>
        <w:rPr>
          <w:color w:val="808080"/>
          <w:w w:val="120"/>
          <w:sz w:val="18"/>
        </w:rPr>
        <w:t>marca</w:t>
      </w:r>
      <w:proofErr w:type="spellEnd"/>
      <w:r>
        <w:rPr>
          <w:color w:val="808080"/>
          <w:spacing w:val="-4"/>
          <w:w w:val="120"/>
          <w:sz w:val="18"/>
        </w:rPr>
        <w:t xml:space="preserve"> 2015 r.</w:t>
      </w:r>
    </w:p>
    <w:p w14:paraId="75E147AD" w14:textId="51424BE5" w:rsidR="0039779E" w:rsidRDefault="00F712A0">
      <w:pPr>
        <w:pStyle w:val="Tekstpodstawowy"/>
        <w:spacing w:before="1"/>
        <w:ind w:right="729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wydania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władze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tureckie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zgody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uzasadnionej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wnioskująca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nią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transseksualista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trwale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niezdolna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prokreacji</w:t>
      </w:r>
      <w:proofErr w:type="spellEnd"/>
      <w:r>
        <w:rPr>
          <w:w w:val="120"/>
        </w:rPr>
        <w:t xml:space="preserve">. </w:t>
      </w:r>
      <w:proofErr w:type="spellStart"/>
      <w:r w:rsidR="006E2BC8">
        <w:rPr>
          <w:w w:val="120"/>
        </w:rPr>
        <w:t>Skarżący</w:t>
      </w:r>
      <w:proofErr w:type="spellEnd"/>
      <w:r w:rsidR="006E2BC8">
        <w:rPr>
          <w:w w:val="120"/>
        </w:rPr>
        <w:t xml:space="preserve"> </w:t>
      </w:r>
      <w:r>
        <w:rPr>
          <w:w w:val="120"/>
        </w:rPr>
        <w:t xml:space="preserve">–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momencie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składania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zarejestrowany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żeńskiej</w:t>
      </w:r>
      <w:proofErr w:type="spellEnd"/>
      <w:r>
        <w:rPr>
          <w:w w:val="120"/>
        </w:rPr>
        <w:t xml:space="preserve"> –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prywatnego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twierdził</w:t>
      </w:r>
      <w:proofErr w:type="spellEnd"/>
      <w:r>
        <w:rPr>
          <w:w w:val="120"/>
        </w:rPr>
        <w:t xml:space="preserve"> on,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rozbieżność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między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postrzeganiem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siebie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mężczyzny</w:t>
      </w:r>
      <w:proofErr w:type="spellEnd"/>
      <w:r>
        <w:rPr>
          <w:w w:val="120"/>
        </w:rPr>
        <w:t xml:space="preserve"> a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budową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fizyczną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potwierdzona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raportach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medycznych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władz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zakończenia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rozbieżności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uzasadniając</w:t>
      </w:r>
      <w:proofErr w:type="spellEnd"/>
      <w:r>
        <w:rPr>
          <w:w w:val="120"/>
        </w:rPr>
        <w:t xml:space="preserve"> to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jest on </w:t>
      </w:r>
      <w:proofErr w:type="spellStart"/>
      <w:r>
        <w:rPr>
          <w:w w:val="120"/>
        </w:rPr>
        <w:t>zdolny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poczęcia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potomstwa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Ostatecznie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maju</w:t>
      </w:r>
      <w:proofErr w:type="spellEnd"/>
      <w:r>
        <w:rPr>
          <w:w w:val="120"/>
        </w:rPr>
        <w:t xml:space="preserve"> 2013 r. </w:t>
      </w:r>
      <w:proofErr w:type="spellStart"/>
      <w:r>
        <w:rPr>
          <w:w w:val="120"/>
        </w:rPr>
        <w:t>sądy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tureckie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uwzględniły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wniosek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zezwoliły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przeprowadzenie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>.</w:t>
      </w:r>
    </w:p>
    <w:p w14:paraId="5E87AB03" w14:textId="77777777" w:rsidR="0039779E" w:rsidRDefault="00F712A0">
      <w:pPr>
        <w:pStyle w:val="Tekstpodstawowy"/>
        <w:ind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odmawiając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wiele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lat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możliwości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poddania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tureckie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powtórzył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możliwość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pełnego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korzystania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transseksualistów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rozwoju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osobistego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integralności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fizycznej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moralnej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uznana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kwestię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kontrowersyjną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nawet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założeniu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odmowa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spełnienia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pierwotnego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dostęp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takiej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oparta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istotnej</w:t>
      </w:r>
      <w:proofErr w:type="spellEnd"/>
      <w:r w:rsidRPr="006E2BC8"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podstawie</w:t>
      </w:r>
      <w:proofErr w:type="spellEnd"/>
      <w:r w:rsidRPr="006E2BC8">
        <w:rPr>
          <w:color w:val="0071BB"/>
          <w:w w:val="120"/>
        </w:rPr>
        <w:t xml:space="preserve">, </w:t>
      </w:r>
      <w:proofErr w:type="spellStart"/>
      <w:r w:rsidRPr="006E2BC8">
        <w:rPr>
          <w:color w:val="0071BB"/>
          <w:w w:val="120"/>
        </w:rPr>
        <w:t>nie</w:t>
      </w:r>
      <w:proofErr w:type="spellEnd"/>
      <w:r w:rsidRPr="006E2BC8"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była</w:t>
      </w:r>
      <w:proofErr w:type="spellEnd"/>
      <w:r w:rsidRPr="006E2BC8"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ona</w:t>
      </w:r>
      <w:proofErr w:type="spellEnd"/>
      <w:r w:rsidRPr="006E2BC8"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oparta</w:t>
      </w:r>
      <w:proofErr w:type="spellEnd"/>
      <w:r w:rsidRPr="006E2BC8"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na</w:t>
      </w:r>
      <w:proofErr w:type="spellEnd"/>
      <w:r w:rsidRPr="006E2BC8"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wystarczającej</w:t>
      </w:r>
      <w:proofErr w:type="spellEnd"/>
      <w:r w:rsidRPr="006E2BC8">
        <w:rPr>
          <w:color w:val="0071BB"/>
          <w:w w:val="120"/>
        </w:rPr>
        <w:t xml:space="preserve"> </w:t>
      </w:r>
      <w:proofErr w:type="spellStart"/>
      <w:r w:rsidRPr="006E2BC8"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Wynikająca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ingerencja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uznana</w:t>
      </w:r>
      <w:proofErr w:type="spellEnd"/>
      <w:r>
        <w:rPr>
          <w:color w:val="0071BB"/>
          <w:w w:val="120"/>
        </w:rPr>
        <w:t xml:space="preserve"> za „</w:t>
      </w:r>
      <w:proofErr w:type="spellStart"/>
      <w:r>
        <w:rPr>
          <w:color w:val="0071BB"/>
          <w:w w:val="120"/>
        </w:rPr>
        <w:t>niezbędną</w:t>
      </w:r>
      <w:proofErr w:type="spellEnd"/>
      <w:r>
        <w:rPr>
          <w:color w:val="0071BB"/>
          <w:w w:val="120"/>
        </w:rPr>
        <w:t xml:space="preserve">” w </w:t>
      </w:r>
      <w:proofErr w:type="spellStart"/>
      <w:r>
        <w:rPr>
          <w:color w:val="0071BB"/>
          <w:w w:val="120"/>
        </w:rPr>
        <w:t>demokratycznym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społeczeństwie</w:t>
      </w:r>
      <w:proofErr w:type="spellEnd"/>
      <w:r>
        <w:rPr>
          <w:color w:val="0071BB"/>
          <w:w w:val="120"/>
        </w:rPr>
        <w:t>.</w:t>
      </w:r>
    </w:p>
    <w:p w14:paraId="15B872FA" w14:textId="77777777" w:rsidR="0039779E" w:rsidRDefault="0039779E">
      <w:pPr>
        <w:pStyle w:val="Nagwek2"/>
        <w:spacing w:before="100"/>
        <w:ind w:left="873"/>
        <w:rPr>
          <w:u w:val="none"/>
        </w:rPr>
      </w:pPr>
      <w:hyperlink r:id="rId34">
        <w:r>
          <w:rPr>
            <w:color w:val="0071BB"/>
            <w:w w:val="140"/>
            <w:u w:color="0071BB"/>
          </w:rPr>
          <w:t xml:space="preserve">D.Ç.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Turcji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10684/13)</w:t>
        </w:r>
      </w:hyperlink>
    </w:p>
    <w:p w14:paraId="601F8EF9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7 </w:t>
      </w:r>
      <w:proofErr w:type="spellStart"/>
      <w:r>
        <w:rPr>
          <w:color w:val="808080"/>
          <w:w w:val="125"/>
          <w:sz w:val="18"/>
        </w:rPr>
        <w:t>lutego</w:t>
      </w:r>
      <w:proofErr w:type="spellEnd"/>
      <w:r>
        <w:rPr>
          <w:color w:val="808080"/>
          <w:w w:val="125"/>
          <w:sz w:val="18"/>
        </w:rPr>
        <w:t xml:space="preserve"> 2017 r.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w </w:t>
      </w:r>
      <w:proofErr w:type="spellStart"/>
      <w:r>
        <w:rPr>
          <w:color w:val="808080"/>
          <w:w w:val="125"/>
          <w:sz w:val="18"/>
        </w:rPr>
        <w:t>sprawie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35BCE277" w14:textId="77667BEF" w:rsidR="0039779E" w:rsidRDefault="006E2BC8">
      <w:pPr>
        <w:pStyle w:val="Tekstpodstawowy"/>
        <w:spacing w:before="1"/>
        <w:ind w:left="874" w:right="731"/>
      </w:pP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transseksualistka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przeszła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jeszcze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pokrycia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kosztów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Ministerstwo</w:t>
      </w:r>
      <w:proofErr w:type="spellEnd"/>
      <w:r>
        <w:rPr>
          <w:w w:val="120"/>
        </w:rPr>
        <w:t xml:space="preserve"> Sprawiedliwości, </w:t>
      </w:r>
      <w:proofErr w:type="spellStart"/>
      <w:r>
        <w:rPr>
          <w:w w:val="120"/>
        </w:rPr>
        <w:t>pomimo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dowodów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medycznych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zdaniem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wyraźnie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wskazywały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pilną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potrzebę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leczenia</w:t>
      </w:r>
      <w:proofErr w:type="spellEnd"/>
      <w:r>
        <w:rPr>
          <w:w w:val="120"/>
        </w:rPr>
        <w:t>.</w:t>
      </w:r>
    </w:p>
    <w:p w14:paraId="2A48BA4F" w14:textId="77777777" w:rsidR="0039779E" w:rsidRDefault="00F712A0">
      <w:pPr>
        <w:pStyle w:val="Tekstpodstawowy"/>
        <w:ind w:left="874" w:right="729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skargę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 xml:space="preserve">za </w:t>
      </w:r>
      <w:proofErr w:type="spellStart"/>
      <w:r>
        <w:rPr>
          <w:b/>
          <w:color w:val="0071BB"/>
          <w:w w:val="125"/>
        </w:rPr>
        <w:t>niedopuszczalną</w:t>
      </w:r>
      <w:proofErr w:type="spellEnd"/>
      <w:r>
        <w:rPr>
          <w:b/>
          <w:color w:val="0071BB"/>
          <w:w w:val="125"/>
        </w:rPr>
        <w:t xml:space="preserve"> </w:t>
      </w:r>
      <w:r>
        <w:rPr>
          <w:color w:val="0071BB"/>
          <w:w w:val="125"/>
        </w:rPr>
        <w:t xml:space="preserve">z </w:t>
      </w:r>
      <w:proofErr w:type="spellStart"/>
      <w:r>
        <w:rPr>
          <w:color w:val="0071BB"/>
          <w:w w:val="125"/>
        </w:rPr>
        <w:t>powodu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niewyczerpania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środków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odwoławczych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dostępnych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kraju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zgodnie</w:t>
      </w:r>
      <w:proofErr w:type="spellEnd"/>
      <w:r>
        <w:rPr>
          <w:color w:val="0071BB"/>
          <w:w w:val="125"/>
        </w:rPr>
        <w:t xml:space="preserve"> z art. 35 § 1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4 (</w:t>
      </w:r>
      <w:proofErr w:type="spellStart"/>
      <w:r>
        <w:rPr>
          <w:color w:val="0071BB"/>
          <w:w w:val="125"/>
        </w:rPr>
        <w:t>kryteria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dopuszczalności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>.</w:t>
      </w:r>
    </w:p>
    <w:p w14:paraId="432042B0" w14:textId="77777777" w:rsidR="0039779E" w:rsidRDefault="0039779E">
      <w:pPr>
        <w:pStyle w:val="Nagwek2"/>
        <w:spacing w:before="115"/>
        <w:rPr>
          <w:u w:val="none"/>
        </w:rPr>
      </w:pPr>
      <w:hyperlink r:id="rId35">
        <w:r>
          <w:rPr>
            <w:color w:val="0071BB"/>
            <w:w w:val="135"/>
            <w:u w:color="0071BB"/>
          </w:rPr>
          <w:t xml:space="preserve">A.P. (nr 79885/12), Garçon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Nicot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Francji</w:t>
        </w:r>
        <w:proofErr w:type="spellEnd"/>
      </w:hyperlink>
    </w:p>
    <w:p w14:paraId="47AB398C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6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spacing w:val="-4"/>
          <w:w w:val="125"/>
          <w:sz w:val="18"/>
        </w:rPr>
        <w:t xml:space="preserve"> 2017 r.</w:t>
      </w:r>
    </w:p>
    <w:p w14:paraId="0ECB8103" w14:textId="77777777" w:rsidR="0039779E" w:rsidRDefault="00F712A0">
      <w:pPr>
        <w:pStyle w:val="Tekstpodstawowy"/>
        <w:spacing w:before="2"/>
        <w:ind w:left="874" w:right="727" w:hanging="1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trzech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osób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transpłciowych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posiadających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obywatelstwo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francuskie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chciały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zmienić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wpisy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dotyczące</w:t>
      </w:r>
      <w:proofErr w:type="spellEnd"/>
      <w:r>
        <w:rPr>
          <w:w w:val="120"/>
        </w:rPr>
        <w:t xml:space="preserve"> ich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imion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aktach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urodzenia</w:t>
      </w:r>
      <w:proofErr w:type="spellEnd"/>
      <w:r>
        <w:rPr>
          <w:w w:val="120"/>
        </w:rPr>
        <w:t xml:space="preserve">, ale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to </w:t>
      </w:r>
      <w:proofErr w:type="spellStart"/>
      <w:r>
        <w:rPr>
          <w:w w:val="120"/>
        </w:rPr>
        <w:t>zgody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państwie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pozwanym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między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innymi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władze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naruszyły</w:t>
      </w:r>
      <w:proofErr w:type="spellEnd"/>
      <w:r>
        <w:rPr>
          <w:w w:val="120"/>
        </w:rPr>
        <w:t xml:space="preserve"> ich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prywatnego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uzależniając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tożsamości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płciowej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poddania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wiązała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wysokim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prawdopodobieństwem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bezpłodności</w:t>
      </w:r>
      <w:proofErr w:type="spellEnd"/>
      <w:r>
        <w:rPr>
          <w:w w:val="120"/>
        </w:rPr>
        <w:t>.</w:t>
      </w:r>
    </w:p>
    <w:p w14:paraId="3020F8B4" w14:textId="31AD87AC" w:rsidR="0039779E" w:rsidRDefault="00F712A0" w:rsidP="00620852">
      <w:pPr>
        <w:pStyle w:val="Tekstpodstawowy"/>
        <w:ind w:left="874" w:right="730" w:hanging="1"/>
        <w:jc w:val="distribute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drugiego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trzeciego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ustalenia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nieodwracalnego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charakteru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wyglądu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r w:rsidR="006E4BC8">
        <w:rPr>
          <w:color w:val="0071BB"/>
          <w:w w:val="120"/>
        </w:rPr>
        <w:t xml:space="preserve">w </w:t>
      </w:r>
      <w:proofErr w:type="spellStart"/>
      <w:r w:rsidR="006E4BC8">
        <w:rPr>
          <w:color w:val="0071BB"/>
          <w:w w:val="120"/>
        </w:rPr>
        <w:t>odniesieniu</w:t>
      </w:r>
      <w:proofErr w:type="spellEnd"/>
      <w:r w:rsidR="006E4BC8">
        <w:rPr>
          <w:color w:val="0071BB"/>
          <w:w w:val="120"/>
        </w:rPr>
        <w:t xml:space="preserve"> do </w:t>
      </w:r>
      <w:proofErr w:type="spellStart"/>
      <w:r w:rsidR="006E4BC8">
        <w:rPr>
          <w:color w:val="0071BB"/>
          <w:w w:val="120"/>
        </w:rPr>
        <w:t>drugiego</w:t>
      </w:r>
      <w:proofErr w:type="spellEnd"/>
      <w:r w:rsidR="006E4BC8">
        <w:rPr>
          <w:color w:val="0071BB"/>
          <w:w w:val="120"/>
        </w:rPr>
        <w:t xml:space="preserve"> </w:t>
      </w:r>
      <w:proofErr w:type="spellStart"/>
      <w:r w:rsidR="006E4BC8">
        <w:rPr>
          <w:color w:val="0071BB"/>
          <w:w w:val="120"/>
        </w:rPr>
        <w:t>skarżącego</w:t>
      </w:r>
      <w:proofErr w:type="spellEnd"/>
      <w:r w:rsidR="006E4BC8">
        <w:rPr>
          <w:color w:val="0071BB"/>
          <w:w w:val="120"/>
        </w:rPr>
        <w:t xml:space="preserve"> – ze </w:t>
      </w:r>
      <w:proofErr w:type="spellStart"/>
      <w:r w:rsidR="006E4BC8">
        <w:rPr>
          <w:color w:val="0071BB"/>
          <w:w w:val="120"/>
        </w:rPr>
        <w:t>względu</w:t>
      </w:r>
      <w:proofErr w:type="spellEnd"/>
      <w:r w:rsidR="006E4BC8">
        <w:rPr>
          <w:color w:val="0071BB"/>
          <w:spacing w:val="-5"/>
          <w:w w:val="120"/>
        </w:rPr>
        <w:t xml:space="preserve"> </w:t>
      </w:r>
    </w:p>
    <w:p w14:paraId="7BF1D619" w14:textId="3D073873" w:rsidR="006E4BC8" w:rsidRDefault="006E4BC8">
      <w:pPr>
        <w:pStyle w:val="Tekstpodstawowy"/>
        <w:sectPr w:rsidR="006E4BC8">
          <w:pgSz w:w="11910" w:h="16840"/>
          <w:pgMar w:top="1460" w:right="708" w:bottom="680" w:left="566" w:header="730" w:footer="497" w:gutter="0"/>
          <w:cols w:space="708"/>
        </w:sectPr>
      </w:pPr>
    </w:p>
    <w:p w14:paraId="07AF6C94" w14:textId="693A9119" w:rsidR="0039779E" w:rsidRDefault="00F712A0">
      <w:pPr>
        <w:pStyle w:val="Tekstpodstawowy"/>
        <w:spacing w:before="240"/>
        <w:ind w:right="731"/>
      </w:pPr>
      <w:proofErr w:type="spellStart"/>
      <w:r>
        <w:rPr>
          <w:color w:val="0071BB"/>
          <w:w w:val="120"/>
        </w:rPr>
        <w:lastRenderedPageBreak/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udowodnienia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faktycznie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cierpiał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zaburzenia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płciowej</w:t>
      </w:r>
      <w:proofErr w:type="spellEnd"/>
      <w:r>
        <w:rPr>
          <w:color w:val="0071BB"/>
          <w:w w:val="120"/>
        </w:rPr>
        <w:t xml:space="preserve">, a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pierwszego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– ze </w:t>
      </w:r>
      <w:proofErr w:type="spellStart"/>
      <w:r>
        <w:rPr>
          <w:color w:val="0071BB"/>
          <w:w w:val="120"/>
        </w:rPr>
        <w:t>względu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poddania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badaniu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lekarskiemu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uzależnienie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seksualnej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transpłciowych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poddania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Pr="002D50FC">
        <w:rPr>
          <w:color w:val="0071BB"/>
          <w:w w:val="120"/>
        </w:rPr>
        <w:t>zabiegowi</w:t>
      </w:r>
      <w:proofErr w:type="spellEnd"/>
      <w:r w:rsidRPr="002D50FC">
        <w:rPr>
          <w:color w:val="0071BB"/>
          <w:w w:val="120"/>
        </w:rPr>
        <w:t xml:space="preserve"> </w:t>
      </w:r>
      <w:proofErr w:type="spellStart"/>
      <w:r w:rsidRPr="002D50FC">
        <w:rPr>
          <w:color w:val="0071BB"/>
          <w:w w:val="120"/>
        </w:rPr>
        <w:t>sterylizacji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chciały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one </w:t>
      </w:r>
      <w:proofErr w:type="spellStart"/>
      <w:r>
        <w:rPr>
          <w:color w:val="0071BB"/>
          <w:w w:val="120"/>
        </w:rPr>
        <w:t>zgodzić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oznaczało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uzależnienie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pełnego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zrzeczenia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pełnego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integralności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fizycznej</w:t>
      </w:r>
      <w:proofErr w:type="spellEnd"/>
      <w:r>
        <w:rPr>
          <w:color w:val="0071BB"/>
          <w:w w:val="120"/>
        </w:rPr>
        <w:t>.</w:t>
      </w:r>
    </w:p>
    <w:p w14:paraId="6FE52807" w14:textId="77777777" w:rsidR="0039779E" w:rsidRDefault="0039779E">
      <w:pPr>
        <w:pStyle w:val="Nagwek2"/>
        <w:spacing w:before="113"/>
        <w:ind w:left="873"/>
        <w:rPr>
          <w:u w:val="none"/>
        </w:rPr>
      </w:pPr>
      <w:hyperlink r:id="rId36">
        <w:r w:rsidRPr="002D50FC">
          <w:rPr>
            <w:color w:val="0071BB"/>
            <w:w w:val="145"/>
            <w:u w:color="0071BB"/>
          </w:rPr>
          <w:t xml:space="preserve">S.V. </w:t>
        </w:r>
        <w:proofErr w:type="spellStart"/>
        <w:r w:rsidRPr="002D50FC">
          <w:rPr>
            <w:color w:val="0071BB"/>
            <w:w w:val="145"/>
            <w:u w:color="0071BB"/>
          </w:rPr>
          <w:t>przeciwko</w:t>
        </w:r>
        <w:proofErr w:type="spellEnd"/>
        <w:r w:rsidRPr="002D50FC">
          <w:rPr>
            <w:color w:val="0071BB"/>
            <w:w w:val="145"/>
            <w:u w:color="0071BB"/>
          </w:rPr>
          <w:t xml:space="preserve"> </w:t>
        </w:r>
        <w:proofErr w:type="spellStart"/>
        <w:r w:rsidRPr="002D50FC">
          <w:rPr>
            <w:color w:val="0071BB"/>
            <w:w w:val="145"/>
            <w:u w:color="0071BB"/>
          </w:rPr>
          <w:t>Włochom</w:t>
        </w:r>
        <w:proofErr w:type="spellEnd"/>
        <w:r w:rsidRPr="002D50FC">
          <w:rPr>
            <w:color w:val="0071BB"/>
            <w:w w:val="145"/>
            <w:u w:color="0071BB"/>
          </w:rPr>
          <w:t xml:space="preserve"> (nr</w:t>
        </w:r>
        <w:r w:rsidRPr="002D50FC">
          <w:rPr>
            <w:color w:val="0071BB"/>
            <w:spacing w:val="-2"/>
            <w:w w:val="145"/>
            <w:u w:color="0071BB"/>
          </w:rPr>
          <w:t xml:space="preserve"> 55216/08)</w:t>
        </w:r>
      </w:hyperlink>
    </w:p>
    <w:p w14:paraId="453D9293" w14:textId="77777777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w w:val="120"/>
          <w:sz w:val="18"/>
        </w:rPr>
        <w:t xml:space="preserve">11 </w:t>
      </w:r>
      <w:proofErr w:type="spellStart"/>
      <w:r>
        <w:rPr>
          <w:color w:val="808080"/>
          <w:w w:val="120"/>
          <w:sz w:val="18"/>
        </w:rPr>
        <w:t>października</w:t>
      </w:r>
      <w:proofErr w:type="spellEnd"/>
      <w:r>
        <w:rPr>
          <w:color w:val="808080"/>
          <w:spacing w:val="-4"/>
          <w:w w:val="120"/>
          <w:sz w:val="18"/>
        </w:rPr>
        <w:t xml:space="preserve"> 2018 r.</w:t>
      </w:r>
    </w:p>
    <w:p w14:paraId="662CD8F5" w14:textId="06DD4E18" w:rsidR="0039779E" w:rsidRDefault="00F712A0">
      <w:pPr>
        <w:pStyle w:val="Tekstpodstawowy"/>
        <w:spacing w:before="1"/>
        <w:ind w:right="727"/>
      </w:pPr>
      <w:proofErr w:type="spellStart"/>
      <w:r>
        <w:rPr>
          <w:w w:val="125"/>
        </w:rPr>
        <w:t>Sprawa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dotyczyła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odmowy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przez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władze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włoskie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zezwolenia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osobie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transpłciowej</w:t>
      </w:r>
      <w:proofErr w:type="spellEnd"/>
      <w:r>
        <w:rPr>
          <w:w w:val="125"/>
        </w:rPr>
        <w:t xml:space="preserve"> o </w:t>
      </w:r>
      <w:proofErr w:type="spellStart"/>
      <w:r>
        <w:rPr>
          <w:w w:val="125"/>
        </w:rPr>
        <w:t>kobiecym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wyglądzie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zmianę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męskiego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imienia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uzasadniając</w:t>
      </w:r>
      <w:proofErr w:type="spellEnd"/>
      <w:r>
        <w:rPr>
          <w:w w:val="125"/>
        </w:rPr>
        <w:t xml:space="preserve"> to </w:t>
      </w:r>
      <w:proofErr w:type="spellStart"/>
      <w:r>
        <w:rPr>
          <w:w w:val="125"/>
        </w:rPr>
        <w:t>tym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że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przeszła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jeszcze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operacji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zmiany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płci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wydano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ostatecznej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decyzji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sądowej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potwierdzającej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zmianę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płci</w:t>
      </w:r>
      <w:proofErr w:type="spellEnd"/>
      <w:r>
        <w:rPr>
          <w:w w:val="125"/>
        </w:rPr>
        <w:t xml:space="preserve">. W </w:t>
      </w:r>
      <w:proofErr w:type="spellStart"/>
      <w:r>
        <w:rPr>
          <w:w w:val="125"/>
        </w:rPr>
        <w:t>maju</w:t>
      </w:r>
      <w:proofErr w:type="spellEnd"/>
      <w:r>
        <w:rPr>
          <w:w w:val="125"/>
        </w:rPr>
        <w:t xml:space="preserve"> 2001 r. </w:t>
      </w:r>
      <w:proofErr w:type="spellStart"/>
      <w:r>
        <w:rPr>
          <w:w w:val="125"/>
        </w:rPr>
        <w:t>Sąd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Rejonowy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Rzymie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zezwolił</w:t>
      </w:r>
      <w:proofErr w:type="spellEnd"/>
      <w:r>
        <w:rPr>
          <w:w w:val="125"/>
        </w:rPr>
        <w:t xml:space="preserve"> </w:t>
      </w:r>
      <w:proofErr w:type="spellStart"/>
      <w:r w:rsidR="002D50FC">
        <w:rPr>
          <w:w w:val="125"/>
        </w:rPr>
        <w:t>skarżącej</w:t>
      </w:r>
      <w:proofErr w:type="spellEnd"/>
      <w:r w:rsidR="002D50FC">
        <w:rPr>
          <w:w w:val="125"/>
        </w:rPr>
        <w:t xml:space="preserve"> </w:t>
      </w:r>
      <w:proofErr w:type="spellStart"/>
      <w:r>
        <w:rPr>
          <w:w w:val="125"/>
        </w:rPr>
        <w:t>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poddanie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się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operacji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zmiany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płci</w:t>
      </w:r>
      <w:proofErr w:type="spellEnd"/>
      <w:r>
        <w:rPr>
          <w:w w:val="125"/>
        </w:rPr>
        <w:t xml:space="preserve">. </w:t>
      </w:r>
      <w:proofErr w:type="spellStart"/>
      <w:r>
        <w:rPr>
          <w:w w:val="125"/>
        </w:rPr>
        <w:t>Jednak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zgodnie</w:t>
      </w:r>
      <w:proofErr w:type="spellEnd"/>
      <w:r>
        <w:rPr>
          <w:w w:val="125"/>
        </w:rPr>
        <w:t xml:space="preserve"> z </w:t>
      </w:r>
      <w:proofErr w:type="spellStart"/>
      <w:r>
        <w:rPr>
          <w:w w:val="125"/>
        </w:rPr>
        <w:t>obowiązującym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wówczas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prawem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mogła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zmienić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imienia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dopóki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sąd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potwierdził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że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operacja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została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przeprowadzona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wydał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ostatecznego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orzeczenia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sprawie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jej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tożsamości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płciowej</w:t>
      </w:r>
      <w:proofErr w:type="spellEnd"/>
      <w:r>
        <w:rPr>
          <w:w w:val="125"/>
        </w:rPr>
        <w:t xml:space="preserve">, co </w:t>
      </w:r>
      <w:proofErr w:type="spellStart"/>
      <w:r>
        <w:rPr>
          <w:w w:val="125"/>
        </w:rPr>
        <w:t>nastąpiło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październiku</w:t>
      </w:r>
      <w:proofErr w:type="spellEnd"/>
      <w:r>
        <w:rPr>
          <w:w w:val="125"/>
        </w:rPr>
        <w:t xml:space="preserve"> 2003 r.</w:t>
      </w:r>
    </w:p>
    <w:p w14:paraId="618C1AC0" w14:textId="513EC541" w:rsidR="0039779E" w:rsidRDefault="00F712A0">
      <w:pPr>
        <w:pStyle w:val="Tekstpodstawowy"/>
        <w:ind w:left="874" w:right="726" w:hanging="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niemożność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imienia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dwóch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pół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roku</w:t>
      </w:r>
      <w:proofErr w:type="spellEnd"/>
      <w:r>
        <w:rPr>
          <w:color w:val="0071BB"/>
          <w:w w:val="120"/>
        </w:rPr>
        <w:t xml:space="preserve">, z </w:t>
      </w:r>
      <w:proofErr w:type="spellStart"/>
      <w:r>
        <w:rPr>
          <w:color w:val="0071BB"/>
          <w:w w:val="120"/>
        </w:rPr>
        <w:t>powodu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nieukończenia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stanowiło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niewywiązanie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pozytywnego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opinii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sztywn</w:t>
      </w:r>
      <w:r w:rsidR="002D50FC">
        <w:rPr>
          <w:color w:val="0071BB"/>
          <w:w w:val="120"/>
        </w:rPr>
        <w:t>y</w:t>
      </w:r>
      <w:proofErr w:type="spellEnd"/>
      <w:r w:rsidR="002D50FC">
        <w:rPr>
          <w:color w:val="0071BB"/>
          <w:w w:val="120"/>
        </w:rPr>
        <w:t xml:space="preserve"> </w:t>
      </w:r>
      <w:proofErr w:type="spellStart"/>
      <w:r w:rsidR="002D50FC">
        <w:rPr>
          <w:color w:val="0071BB"/>
          <w:w w:val="120"/>
        </w:rPr>
        <w:t>charakter</w:t>
      </w:r>
      <w:proofErr w:type="spellEnd"/>
      <w:r>
        <w:rPr>
          <w:color w:val="0071BB"/>
          <w:spacing w:val="40"/>
          <w:w w:val="120"/>
        </w:rPr>
        <w:t xml:space="preserve"> </w:t>
      </w:r>
      <w:proofErr w:type="spellStart"/>
      <w:r>
        <w:rPr>
          <w:color w:val="0071BB"/>
          <w:w w:val="120"/>
        </w:rPr>
        <w:t>procedury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transpłciowych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obowiązującej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tamtym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czasie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pozostawił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skarżącą</w:t>
      </w:r>
      <w:proofErr w:type="spellEnd"/>
      <w:r>
        <w:rPr>
          <w:color w:val="0071BB"/>
          <w:w w:val="120"/>
        </w:rPr>
        <w:t xml:space="preserve"> – </w:t>
      </w:r>
      <w:proofErr w:type="spellStart"/>
      <w:r>
        <w:rPr>
          <w:color w:val="0071BB"/>
          <w:w w:val="120"/>
        </w:rPr>
        <w:t>której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wygląd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fizyczny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społeczna</w:t>
      </w:r>
      <w:proofErr w:type="spellEnd"/>
      <w:r>
        <w:rPr>
          <w:color w:val="0071BB"/>
          <w:w w:val="120"/>
        </w:rPr>
        <w:t xml:space="preserve"> od </w:t>
      </w:r>
      <w:proofErr w:type="spellStart"/>
      <w:r>
        <w:rPr>
          <w:color w:val="0071BB"/>
          <w:w w:val="120"/>
        </w:rPr>
        <w:t>dawna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kobiece</w:t>
      </w:r>
      <w:proofErr w:type="spellEnd"/>
      <w:r>
        <w:rPr>
          <w:color w:val="0071BB"/>
          <w:w w:val="120"/>
        </w:rPr>
        <w:t xml:space="preserve"> –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nieuzasadniony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czasu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nietypowej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wywołać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uczucie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bezbronności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upokorzenia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niepokoju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2011 r. </w:t>
      </w:r>
      <w:proofErr w:type="spellStart"/>
      <w:r>
        <w:rPr>
          <w:color w:val="0071BB"/>
          <w:w w:val="120"/>
        </w:rPr>
        <w:t>dokonano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przepisów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wyniku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postępowaniu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mającym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potwierdzenie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przeszły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już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wydanie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drugiego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sądowego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zmianę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danych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akcie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mógł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zarządzić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sędzia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zezwalającej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operację</w:t>
      </w:r>
      <w:proofErr w:type="spellEnd"/>
      <w:r>
        <w:rPr>
          <w:color w:val="0071BB"/>
          <w:w w:val="120"/>
        </w:rPr>
        <w:t>.</w:t>
      </w:r>
    </w:p>
    <w:p w14:paraId="56EB193B" w14:textId="77777777" w:rsidR="0039779E" w:rsidRDefault="0039779E">
      <w:pPr>
        <w:pStyle w:val="Nagwek2"/>
        <w:spacing w:before="95"/>
        <w:rPr>
          <w:u w:val="none"/>
        </w:rPr>
      </w:pPr>
      <w:hyperlink r:id="rId37">
        <w:r w:rsidRPr="008867A5">
          <w:rPr>
            <w:color w:val="0071BB"/>
            <w:w w:val="140"/>
            <w:u w:color="0071BB"/>
          </w:rPr>
          <w:t xml:space="preserve">Y.T. </w:t>
        </w:r>
        <w:proofErr w:type="spellStart"/>
        <w:r w:rsidRPr="008867A5">
          <w:rPr>
            <w:color w:val="0071BB"/>
            <w:w w:val="140"/>
            <w:u w:color="0071BB"/>
          </w:rPr>
          <w:t>przeciwko</w:t>
        </w:r>
        <w:proofErr w:type="spellEnd"/>
        <w:r w:rsidRPr="008867A5">
          <w:rPr>
            <w:color w:val="0071BB"/>
            <w:w w:val="140"/>
            <w:u w:color="0071BB"/>
          </w:rPr>
          <w:t xml:space="preserve"> </w:t>
        </w:r>
        <w:proofErr w:type="spellStart"/>
        <w:r w:rsidRPr="008867A5">
          <w:rPr>
            <w:color w:val="0071BB"/>
            <w:w w:val="140"/>
            <w:u w:color="0071BB"/>
          </w:rPr>
          <w:t>Bułgarii</w:t>
        </w:r>
        <w:proofErr w:type="spellEnd"/>
        <w:r w:rsidRPr="008867A5">
          <w:rPr>
            <w:color w:val="0071BB"/>
            <w:w w:val="140"/>
            <w:u w:color="0071BB"/>
          </w:rPr>
          <w:t xml:space="preserve"> (nr</w:t>
        </w:r>
        <w:r w:rsidRPr="008867A5">
          <w:rPr>
            <w:color w:val="0071BB"/>
            <w:spacing w:val="-2"/>
            <w:w w:val="140"/>
            <w:u w:color="0071BB"/>
          </w:rPr>
          <w:t xml:space="preserve"> 41701/16)</w:t>
        </w:r>
      </w:hyperlink>
    </w:p>
    <w:p w14:paraId="1433D257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9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spacing w:val="-4"/>
          <w:w w:val="125"/>
          <w:sz w:val="18"/>
        </w:rPr>
        <w:t xml:space="preserve"> 2020 r.</w:t>
      </w:r>
    </w:p>
    <w:p w14:paraId="23190848" w14:textId="70221F75" w:rsidR="0039779E" w:rsidRDefault="00F712A0">
      <w:pPr>
        <w:pStyle w:val="Tekstpodstawowy"/>
        <w:spacing w:before="4"/>
        <w:ind w:right="730"/>
      </w:pPr>
      <w:proofErr w:type="spellStart"/>
      <w:r>
        <w:rPr>
          <w:w w:val="125"/>
        </w:rPr>
        <w:t>Sprawa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dotyczyła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transseksualisty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który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podjął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kroki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celu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zmiany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swojego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wyglądu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fizycznego</w:t>
      </w:r>
      <w:proofErr w:type="spellEnd"/>
      <w:r>
        <w:rPr>
          <w:w w:val="125"/>
        </w:rPr>
        <w:t xml:space="preserve">, a </w:t>
      </w:r>
      <w:proofErr w:type="spellStart"/>
      <w:r>
        <w:rPr>
          <w:w w:val="125"/>
        </w:rPr>
        <w:t>którego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wniosek</w:t>
      </w:r>
      <w:proofErr w:type="spellEnd"/>
      <w:r>
        <w:rPr>
          <w:w w:val="125"/>
        </w:rPr>
        <w:t xml:space="preserve"> o </w:t>
      </w:r>
      <w:proofErr w:type="spellStart"/>
      <w:r>
        <w:rPr>
          <w:w w:val="125"/>
        </w:rPr>
        <w:t>zmianę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płci</w:t>
      </w:r>
      <w:proofErr w:type="spellEnd"/>
      <w:r>
        <w:rPr>
          <w:w w:val="125"/>
        </w:rPr>
        <w:t xml:space="preserve"> (z </w:t>
      </w:r>
      <w:proofErr w:type="spellStart"/>
      <w:r>
        <w:rPr>
          <w:w w:val="125"/>
        </w:rPr>
        <w:t>kobiecej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męską</w:t>
      </w:r>
      <w:proofErr w:type="spellEnd"/>
      <w:r>
        <w:rPr>
          <w:w w:val="125"/>
        </w:rPr>
        <w:t xml:space="preserve">) </w:t>
      </w:r>
      <w:proofErr w:type="spellStart"/>
      <w:r>
        <w:rPr>
          <w:w w:val="125"/>
        </w:rPr>
        <w:t>został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odrzucony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przez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bułgarskie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sądy</w:t>
      </w:r>
      <w:proofErr w:type="spellEnd"/>
      <w:r>
        <w:rPr>
          <w:w w:val="125"/>
        </w:rPr>
        <w:t xml:space="preserve">. </w:t>
      </w:r>
      <w:proofErr w:type="spellStart"/>
      <w:r w:rsidR="002D50FC">
        <w:rPr>
          <w:w w:val="125"/>
        </w:rPr>
        <w:t>Skarżący</w:t>
      </w:r>
      <w:proofErr w:type="spellEnd"/>
      <w:r w:rsidR="002D50FC">
        <w:rPr>
          <w:w w:val="125"/>
        </w:rPr>
        <w:t xml:space="preserve"> </w:t>
      </w:r>
      <w:proofErr w:type="spellStart"/>
      <w:r>
        <w:rPr>
          <w:w w:val="125"/>
        </w:rPr>
        <w:t>twierdził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że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uświadomił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sobie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swoją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męską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tożsamość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płciową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okresie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dojrzewania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że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żył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społeczeństwie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jako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mężczyzna</w:t>
      </w:r>
      <w:proofErr w:type="spellEnd"/>
      <w:r>
        <w:rPr>
          <w:w w:val="125"/>
        </w:rPr>
        <w:t xml:space="preserve">. </w:t>
      </w:r>
      <w:proofErr w:type="spellStart"/>
      <w:r>
        <w:rPr>
          <w:w w:val="125"/>
        </w:rPr>
        <w:t>Skarżył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się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odmowę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bułgarskich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sądów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dotyczącą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zmiany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wpisów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dotyczących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jego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płci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imienia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patronimiku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nazwiska</w:t>
      </w:r>
      <w:proofErr w:type="spellEnd"/>
      <w:r>
        <w:rPr>
          <w:w w:val="125"/>
        </w:rPr>
        <w:t xml:space="preserve"> w </w:t>
      </w:r>
      <w:proofErr w:type="spellStart"/>
      <w:r>
        <w:rPr>
          <w:w w:val="125"/>
        </w:rPr>
        <w:t>rejestrach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stanu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cywilnego</w:t>
      </w:r>
      <w:proofErr w:type="spellEnd"/>
      <w:r>
        <w:rPr>
          <w:w w:val="125"/>
        </w:rPr>
        <w:t>.</w:t>
      </w:r>
    </w:p>
    <w:p w14:paraId="125F803C" w14:textId="5A0E5139" w:rsidR="0039779E" w:rsidRDefault="00F712A0">
      <w:pPr>
        <w:pStyle w:val="Tekstpodstawowy"/>
        <w:ind w:left="874" w:right="726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odmowa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bułgarskie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2D50FC">
        <w:rPr>
          <w:color w:val="0071BB"/>
          <w:w w:val="120"/>
        </w:rPr>
        <w:t>skarżącego</w:t>
      </w:r>
      <w:proofErr w:type="spellEnd"/>
      <w:r w:rsidR="002D50FC">
        <w:rPr>
          <w:color w:val="0071BB"/>
          <w:w w:val="120"/>
        </w:rPr>
        <w:t xml:space="preserve"> </w:t>
      </w:r>
      <w:r>
        <w:rPr>
          <w:color w:val="0071BB"/>
          <w:w w:val="120"/>
        </w:rPr>
        <w:t xml:space="preserve">bez </w:t>
      </w:r>
      <w:proofErr w:type="spellStart"/>
      <w:r>
        <w:rPr>
          <w:color w:val="0071BB"/>
          <w:w w:val="120"/>
        </w:rPr>
        <w:t>podania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wystarczających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powodów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bez </w:t>
      </w:r>
      <w:proofErr w:type="spellStart"/>
      <w:r>
        <w:rPr>
          <w:color w:val="0071BB"/>
          <w:w w:val="120"/>
        </w:rPr>
        <w:t>wyjaśnienia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dlaczego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innych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przypadkach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możliwe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identycznej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stanowiła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nieuzasadnioną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ingerencję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2D50FC">
        <w:rPr>
          <w:color w:val="0071BB"/>
          <w:w w:val="120"/>
        </w:rPr>
        <w:t>skarżącego</w:t>
      </w:r>
      <w:proofErr w:type="spellEnd"/>
      <w:r w:rsidR="002D50FC">
        <w:rPr>
          <w:color w:val="0071BB"/>
          <w:w w:val="120"/>
        </w:rPr>
        <w:t xml:space="preserve">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organy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ustaliły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rozpoczął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zmieniając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swój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wygląd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fizyczny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rodzinna</w:t>
      </w:r>
      <w:proofErr w:type="spellEnd"/>
      <w:r>
        <w:rPr>
          <w:color w:val="0071BB"/>
          <w:w w:val="120"/>
        </w:rPr>
        <w:t xml:space="preserve"> od </w:t>
      </w:r>
      <w:proofErr w:type="spellStart"/>
      <w:r>
        <w:rPr>
          <w:color w:val="0071BB"/>
          <w:w w:val="120"/>
        </w:rPr>
        <w:t>dawna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męska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Niemniej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uznały</w:t>
      </w:r>
      <w:proofErr w:type="spellEnd"/>
      <w:r>
        <w:rPr>
          <w:color w:val="0071BB"/>
          <w:w w:val="120"/>
        </w:rPr>
        <w:t xml:space="preserve"> one,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zezwalać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określając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dokładnie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charakteru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równoważąc</w:t>
      </w:r>
      <w:proofErr w:type="spellEnd"/>
      <w:r>
        <w:rPr>
          <w:color w:val="0071BB"/>
          <w:w w:val="120"/>
        </w:rPr>
        <w:t xml:space="preserve"> go z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płciowej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to za </w:t>
      </w:r>
      <w:proofErr w:type="spellStart"/>
      <w:r>
        <w:rPr>
          <w:color w:val="0071BB"/>
          <w:w w:val="120"/>
        </w:rPr>
        <w:t>sztywność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rozumowaniu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postawiła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–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nieuzasadniony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długotrwały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okres</w:t>
      </w:r>
      <w:proofErr w:type="spellEnd"/>
      <w:r>
        <w:rPr>
          <w:color w:val="0071BB"/>
          <w:w w:val="120"/>
        </w:rPr>
        <w:t xml:space="preserve"> – w </w:t>
      </w:r>
      <w:proofErr w:type="spellStart"/>
      <w:r>
        <w:rPr>
          <w:color w:val="0071BB"/>
          <w:w w:val="120"/>
        </w:rPr>
        <w:t>niepokojącej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której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mógł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odczuwać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bezbronność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upokorzenie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niepokój</w:t>
      </w:r>
      <w:proofErr w:type="spellEnd"/>
      <w:r>
        <w:rPr>
          <w:color w:val="0071BB"/>
          <w:w w:val="120"/>
        </w:rPr>
        <w:t>.</w:t>
      </w:r>
    </w:p>
    <w:p w14:paraId="74C73B9C" w14:textId="77777777" w:rsidR="0039779E" w:rsidRDefault="0039779E">
      <w:pPr>
        <w:pStyle w:val="Tekstpodstawowy"/>
        <w:sectPr w:rsidR="0039779E">
          <w:pgSz w:w="11910" w:h="16840"/>
          <w:pgMar w:top="1460" w:right="708" w:bottom="680" w:left="566" w:header="730" w:footer="497" w:gutter="0"/>
          <w:cols w:space="708"/>
        </w:sectPr>
      </w:pPr>
    </w:p>
    <w:p w14:paraId="1A46CA42" w14:textId="77777777" w:rsidR="0039779E" w:rsidRDefault="0039779E">
      <w:pPr>
        <w:pStyle w:val="Nagwek2"/>
        <w:spacing w:before="240"/>
        <w:rPr>
          <w:u w:val="none"/>
        </w:rPr>
      </w:pPr>
      <w:hyperlink r:id="rId38">
        <w:r>
          <w:rPr>
            <w:color w:val="0071BB"/>
            <w:w w:val="135"/>
            <w:u w:color="0071BB"/>
          </w:rPr>
          <w:t xml:space="preserve">Rana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Węgrom</w:t>
        </w:r>
        <w:proofErr w:type="spellEnd"/>
      </w:hyperlink>
    </w:p>
    <w:p w14:paraId="28C9FFBF" w14:textId="77777777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16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w w:val="125"/>
          <w:sz w:val="18"/>
        </w:rPr>
        <w:t xml:space="preserve"> 2020 r. (</w:t>
      </w:r>
      <w:proofErr w:type="spellStart"/>
      <w:r>
        <w:rPr>
          <w:color w:val="808080"/>
          <w:spacing w:val="-2"/>
          <w:w w:val="125"/>
          <w:sz w:val="18"/>
        </w:rPr>
        <w:t>wyrok</w:t>
      </w:r>
      <w:proofErr w:type="spellEnd"/>
      <w:r>
        <w:rPr>
          <w:color w:val="808080"/>
          <w:spacing w:val="-2"/>
          <w:w w:val="125"/>
          <w:sz w:val="18"/>
        </w:rPr>
        <w:t xml:space="preserve"> </w:t>
      </w:r>
      <w:r>
        <w:rPr>
          <w:color w:val="808080"/>
          <w:w w:val="125"/>
          <w:sz w:val="18"/>
        </w:rPr>
        <w:t>Komitetu</w:t>
      </w:r>
      <w:r>
        <w:rPr>
          <w:color w:val="808080"/>
          <w:spacing w:val="-2"/>
          <w:w w:val="125"/>
          <w:sz w:val="18"/>
        </w:rPr>
        <w:t>)</w:t>
      </w:r>
    </w:p>
    <w:p w14:paraId="68651DF2" w14:textId="77777777" w:rsidR="0039779E" w:rsidRDefault="00F712A0">
      <w:pPr>
        <w:pStyle w:val="Tekstpodstawowy"/>
        <w:spacing w:before="2"/>
        <w:ind w:left="874" w:right="730" w:hanging="1"/>
      </w:pPr>
      <w:proofErr w:type="spellStart"/>
      <w:r>
        <w:rPr>
          <w:w w:val="120"/>
        </w:rPr>
        <w:t>Urodzony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kobieta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Iranie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transseksualista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azyl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Węgrzech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władz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węgierskich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imienia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oznaczenia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z „</w:t>
      </w:r>
      <w:proofErr w:type="spellStart"/>
      <w:r>
        <w:rPr>
          <w:w w:val="120"/>
        </w:rPr>
        <w:t>kobieta</w:t>
      </w:r>
      <w:proofErr w:type="spellEnd"/>
      <w:r>
        <w:rPr>
          <w:w w:val="120"/>
        </w:rPr>
        <w:t xml:space="preserve">”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„</w:t>
      </w:r>
      <w:proofErr w:type="spellStart"/>
      <w:r>
        <w:rPr>
          <w:w w:val="120"/>
        </w:rPr>
        <w:t>mężczyzna</w:t>
      </w:r>
      <w:proofErr w:type="spellEnd"/>
      <w:r>
        <w:rPr>
          <w:w w:val="120"/>
        </w:rPr>
        <w:t xml:space="preserve">” w </w:t>
      </w:r>
      <w:proofErr w:type="spellStart"/>
      <w:r>
        <w:rPr>
          <w:w w:val="120"/>
        </w:rPr>
        <w:t>dokumentach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tożsamości</w:t>
      </w:r>
      <w:proofErr w:type="spellEnd"/>
      <w:r>
        <w:rPr>
          <w:w w:val="120"/>
        </w:rPr>
        <w:t>.</w:t>
      </w:r>
    </w:p>
    <w:p w14:paraId="0A3ACBC5" w14:textId="77777777" w:rsidR="0039779E" w:rsidRDefault="00F712A0">
      <w:pPr>
        <w:pStyle w:val="Tekstpodstawowy"/>
        <w:spacing w:line="237" w:lineRule="auto"/>
        <w:ind w:left="874" w:right="727" w:hanging="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>do</w:t>
      </w:r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osiągnięto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publicznym</w:t>
      </w:r>
      <w:proofErr w:type="spellEnd"/>
      <w:r>
        <w:rPr>
          <w:color w:val="0071BB"/>
          <w:w w:val="120"/>
        </w:rPr>
        <w:t xml:space="preserve"> a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odmową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procedury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</w:t>
      </w:r>
      <w:proofErr w:type="spellEnd"/>
      <w:r>
        <w:rPr>
          <w:color w:val="0071BB"/>
          <w:w w:val="120"/>
        </w:rPr>
        <w:t xml:space="preserve"> system </w:t>
      </w:r>
      <w:proofErr w:type="spellStart"/>
      <w:r>
        <w:rPr>
          <w:color w:val="0071BB"/>
          <w:w w:val="120"/>
        </w:rPr>
        <w:t>uznawania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wykluczył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tylko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dlatego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posiadał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aktu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urodzenia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Węgier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zmiana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rejestrze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sposobem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imienia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>.</w:t>
      </w:r>
    </w:p>
    <w:p w14:paraId="0CA80BE7" w14:textId="77777777" w:rsidR="0039779E" w:rsidRDefault="0039779E">
      <w:pPr>
        <w:pStyle w:val="Nagwek2"/>
        <w:spacing w:before="127"/>
        <w:rPr>
          <w:u w:val="none"/>
        </w:rPr>
      </w:pPr>
      <w:hyperlink r:id="rId39">
        <w:r>
          <w:rPr>
            <w:color w:val="0071BB"/>
            <w:w w:val="135"/>
            <w:u w:color="0071BB"/>
          </w:rPr>
          <w:t xml:space="preserve">X.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Y.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Rumunii</w:t>
        </w:r>
        <w:proofErr w:type="spellEnd"/>
        <w:r>
          <w:rPr>
            <w:color w:val="0071BB"/>
            <w:w w:val="135"/>
            <w:u w:color="0071BB"/>
          </w:rPr>
          <w:t xml:space="preserve"> (nr 2145/16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spacing w:val="-2"/>
            <w:w w:val="135"/>
            <w:u w:color="0071BB"/>
          </w:rPr>
          <w:t xml:space="preserve"> 20607/16)</w:t>
        </w:r>
      </w:hyperlink>
    </w:p>
    <w:p w14:paraId="25DD4D66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19 </w:t>
      </w:r>
      <w:proofErr w:type="spellStart"/>
      <w:r>
        <w:rPr>
          <w:color w:val="808080"/>
          <w:w w:val="125"/>
          <w:sz w:val="18"/>
        </w:rPr>
        <w:t>stycznia</w:t>
      </w:r>
      <w:proofErr w:type="spellEnd"/>
      <w:r>
        <w:rPr>
          <w:color w:val="808080"/>
          <w:spacing w:val="-4"/>
          <w:w w:val="125"/>
          <w:sz w:val="18"/>
        </w:rPr>
        <w:t xml:space="preserve"> 2021 r.</w:t>
      </w:r>
    </w:p>
    <w:p w14:paraId="35EF098A" w14:textId="77777777" w:rsidR="0039779E" w:rsidRDefault="00F712A0">
      <w:pPr>
        <w:pStyle w:val="Tekstpodstawowy"/>
        <w:spacing w:before="1"/>
        <w:ind w:left="874" w:right="728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sytuacji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dwóch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osób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transpłciowych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wnioski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uznanie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tożsamości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płciowej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dokonanie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odpowiednich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administracyjnych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odrzucone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podstawie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składające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takie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musiały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przedstawić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dowód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przeszły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>.</w:t>
      </w:r>
    </w:p>
    <w:p w14:paraId="2E4DB18D" w14:textId="4C31DC1A" w:rsidR="0039779E" w:rsidRDefault="00F712A0">
      <w:pPr>
        <w:pStyle w:val="Tekstpodstawowy"/>
        <w:ind w:left="874" w:right="727" w:hanging="1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doszło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 xml:space="preserve">do </w:t>
      </w:r>
      <w:proofErr w:type="spellStart"/>
      <w:r>
        <w:rPr>
          <w:b/>
          <w:color w:val="0071BB"/>
          <w:w w:val="125"/>
        </w:rPr>
        <w:t>naruszenia</w:t>
      </w:r>
      <w:proofErr w:type="spellEnd"/>
      <w:r>
        <w:rPr>
          <w:b/>
          <w:color w:val="0071BB"/>
          <w:w w:val="125"/>
        </w:rPr>
        <w:t xml:space="preserve"> art. 8 </w:t>
      </w:r>
      <w:r>
        <w:rPr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prawo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poszanowania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życia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prywatnego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stwierdzając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odmowa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przez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władze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krajowe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zmiany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płci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="00B332EE">
        <w:rPr>
          <w:color w:val="0071BB"/>
          <w:w w:val="125"/>
        </w:rPr>
        <w:t>skarżących</w:t>
      </w:r>
      <w:proofErr w:type="spellEnd"/>
      <w:r w:rsidR="00B332EE">
        <w:rPr>
          <w:color w:val="0071BB"/>
          <w:w w:val="125"/>
        </w:rPr>
        <w:t xml:space="preserve"> </w:t>
      </w:r>
      <w:r>
        <w:rPr>
          <w:color w:val="0071BB"/>
          <w:w w:val="125"/>
        </w:rPr>
        <w:t xml:space="preserve">bez </w:t>
      </w:r>
      <w:proofErr w:type="spellStart"/>
      <w:r>
        <w:rPr>
          <w:color w:val="0071BB"/>
          <w:w w:val="125"/>
        </w:rPr>
        <w:t>przeprowadzenia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operacji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stanowiła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nieuzasadnioną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ingerencję</w:t>
      </w:r>
      <w:proofErr w:type="spellEnd"/>
      <w:r>
        <w:rPr>
          <w:color w:val="0071BB"/>
          <w:w w:val="125"/>
        </w:rPr>
        <w:t xml:space="preserve"> w ich </w:t>
      </w:r>
      <w:proofErr w:type="spellStart"/>
      <w:r>
        <w:rPr>
          <w:color w:val="0071BB"/>
          <w:w w:val="125"/>
        </w:rPr>
        <w:t>prawo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poszanowania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życia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prywatnego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zauważył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szczególności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krajowe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postawiły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skarżących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którzy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chcieli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poddać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się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operacji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zmiany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płci</w:t>
      </w:r>
      <w:proofErr w:type="spellEnd"/>
      <w:r>
        <w:rPr>
          <w:color w:val="0071BB"/>
          <w:w w:val="125"/>
        </w:rPr>
        <w:t xml:space="preserve">, przed </w:t>
      </w:r>
      <w:proofErr w:type="spellStart"/>
      <w:r>
        <w:rPr>
          <w:color w:val="0071BB"/>
          <w:w w:val="125"/>
        </w:rPr>
        <w:t>niemożliwym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rozwiązania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dylematem</w:t>
      </w:r>
      <w:proofErr w:type="spellEnd"/>
      <w:r>
        <w:rPr>
          <w:color w:val="0071BB"/>
          <w:w w:val="125"/>
        </w:rPr>
        <w:t xml:space="preserve">: </w:t>
      </w:r>
      <w:proofErr w:type="spellStart"/>
      <w:r>
        <w:rPr>
          <w:color w:val="0071BB"/>
          <w:w w:val="125"/>
        </w:rPr>
        <w:t>albo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musieli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poddać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się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operacji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wbrew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własnej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woli</w:t>
      </w:r>
      <w:proofErr w:type="spellEnd"/>
      <w:r>
        <w:rPr>
          <w:color w:val="0071BB"/>
          <w:w w:val="125"/>
        </w:rPr>
        <w:t xml:space="preserve"> –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zrezygnować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pełnego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wykonywania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swojego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prawa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poszanowania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integralności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fizycznej</w:t>
      </w:r>
      <w:proofErr w:type="spellEnd"/>
      <w:r>
        <w:rPr>
          <w:color w:val="0071BB"/>
          <w:w w:val="125"/>
        </w:rPr>
        <w:t xml:space="preserve"> – </w:t>
      </w:r>
      <w:proofErr w:type="spellStart"/>
      <w:r>
        <w:rPr>
          <w:color w:val="0071BB"/>
          <w:w w:val="125"/>
        </w:rPr>
        <w:t>albo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musieli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zrezygnować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uznania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swojej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tożsamości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płciowej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która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również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wchodziła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zakres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poszanowania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życia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prywatnego</w:t>
      </w:r>
      <w:proofErr w:type="spellEnd"/>
      <w:r>
        <w:rPr>
          <w:color w:val="0071BB"/>
          <w:w w:val="125"/>
        </w:rPr>
        <w:t xml:space="preserve">. W </w:t>
      </w:r>
      <w:proofErr w:type="spellStart"/>
      <w:r>
        <w:rPr>
          <w:color w:val="0071BB"/>
          <w:w w:val="125"/>
        </w:rPr>
        <w:t>opinii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Trybunału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naruszało</w:t>
      </w:r>
      <w:proofErr w:type="spellEnd"/>
      <w:r>
        <w:rPr>
          <w:color w:val="0071BB"/>
          <w:w w:val="125"/>
        </w:rPr>
        <w:t xml:space="preserve"> to </w:t>
      </w:r>
      <w:proofErr w:type="spellStart"/>
      <w:r>
        <w:rPr>
          <w:color w:val="0071BB"/>
          <w:w w:val="125"/>
        </w:rPr>
        <w:t>równowagę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jaką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="008867A5">
        <w:rPr>
          <w:color w:val="0071BB"/>
          <w:w w:val="125"/>
        </w:rPr>
        <w:t>P</w:t>
      </w:r>
      <w:r>
        <w:rPr>
          <w:color w:val="0071BB"/>
          <w:w w:val="125"/>
        </w:rPr>
        <w:t>aństwa-</w:t>
      </w:r>
      <w:r w:rsidR="008867A5">
        <w:rPr>
          <w:color w:val="0071BB"/>
          <w:w w:val="125"/>
        </w:rPr>
        <w:t>Strony</w:t>
      </w:r>
      <w:proofErr w:type="spellEnd"/>
      <w:r w:rsidR="008867A5"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powinny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zachować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między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interesem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ogólnym</w:t>
      </w:r>
      <w:proofErr w:type="spellEnd"/>
      <w:r>
        <w:rPr>
          <w:color w:val="0071BB"/>
          <w:w w:val="125"/>
        </w:rPr>
        <w:t xml:space="preserve"> </w:t>
      </w:r>
      <w:proofErr w:type="gramStart"/>
      <w:r>
        <w:rPr>
          <w:color w:val="0071BB"/>
          <w:w w:val="125"/>
        </w:rPr>
        <w:t>a</w:t>
      </w:r>
      <w:proofErr w:type="gram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interesami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indywidualnymi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osób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których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dotyczyła</w:t>
      </w:r>
      <w:proofErr w:type="spellEnd"/>
      <w:r>
        <w:rPr>
          <w:color w:val="0071BB"/>
          <w:w w:val="125"/>
        </w:rPr>
        <w:t xml:space="preserve"> ta </w:t>
      </w:r>
      <w:proofErr w:type="spellStart"/>
      <w:r>
        <w:rPr>
          <w:color w:val="0071BB"/>
          <w:w w:val="125"/>
        </w:rPr>
        <w:t>sprawa</w:t>
      </w:r>
      <w:proofErr w:type="spellEnd"/>
      <w:r>
        <w:rPr>
          <w:color w:val="0071BB"/>
          <w:w w:val="125"/>
        </w:rPr>
        <w:t>.</w:t>
      </w:r>
    </w:p>
    <w:p w14:paraId="75A12D76" w14:textId="2FD5B7A6" w:rsidR="0039779E" w:rsidRDefault="0039779E">
      <w:pPr>
        <w:pStyle w:val="Nagwek2"/>
        <w:spacing w:before="101"/>
        <w:rPr>
          <w:b w:val="0"/>
          <w:position w:val="7"/>
          <w:sz w:val="13"/>
          <w:u w:val="none"/>
        </w:rPr>
      </w:pPr>
      <w:hyperlink r:id="rId40">
        <w:r>
          <w:rPr>
            <w:color w:val="0071BB"/>
            <w:w w:val="135"/>
            <w:u w:color="0071BB"/>
          </w:rPr>
          <w:t xml:space="preserve">A.M.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r w:rsidR="002E0B09">
          <w:rPr>
            <w:color w:val="0071BB"/>
            <w:w w:val="135"/>
            <w:u w:color="0071BB"/>
          </w:rPr>
          <w:t>Inni</w:t>
        </w:r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Rosji</w:t>
        </w:r>
        <w:proofErr w:type="spellEnd"/>
        <w:r>
          <w:rPr>
            <w:color w:val="0071BB"/>
            <w:w w:val="135"/>
            <w:u w:color="0071BB"/>
          </w:rPr>
          <w:t xml:space="preserve"> (nr</w:t>
        </w:r>
        <w:r>
          <w:rPr>
            <w:color w:val="0071BB"/>
            <w:spacing w:val="-2"/>
            <w:w w:val="135"/>
            <w:u w:color="0071BB"/>
          </w:rPr>
          <w:t xml:space="preserve"> 47220/19)</w:t>
        </w:r>
      </w:hyperlink>
      <w:hyperlink w:anchor="_bookmark0" w:history="1">
        <w:r>
          <w:rPr>
            <w:b w:val="0"/>
            <w:color w:val="808080"/>
            <w:spacing w:val="-2"/>
            <w:w w:val="135"/>
            <w:position w:val="7"/>
            <w:sz w:val="13"/>
            <w:u w:val="none"/>
          </w:rPr>
          <w:t>1</w:t>
        </w:r>
      </w:hyperlink>
    </w:p>
    <w:p w14:paraId="4359ED65" w14:textId="77777777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6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spacing w:val="-4"/>
          <w:w w:val="125"/>
          <w:sz w:val="18"/>
        </w:rPr>
        <w:t xml:space="preserve"> 2021 r.</w:t>
      </w:r>
    </w:p>
    <w:p w14:paraId="6BF51A53" w14:textId="77777777" w:rsidR="0039779E" w:rsidRDefault="00F712A0">
      <w:pPr>
        <w:pStyle w:val="Tekstpodstawowy"/>
        <w:spacing w:before="1"/>
        <w:ind w:right="731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decyzji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ograniczeniu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rodzicielskich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skarżącej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kobiety</w:t>
      </w:r>
      <w:proofErr w:type="spellEnd"/>
      <w:r>
        <w:rPr>
          <w:w w:val="120"/>
        </w:rPr>
        <w:t xml:space="preserve"> po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oraz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pozbawieniu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kontaktu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dziećmi</w:t>
      </w:r>
      <w:proofErr w:type="spellEnd"/>
      <w:r>
        <w:rPr>
          <w:w w:val="120"/>
        </w:rPr>
        <w:t xml:space="preserve"> ze </w:t>
      </w:r>
      <w:proofErr w:type="spellStart"/>
      <w:r>
        <w:rPr>
          <w:w w:val="120"/>
        </w:rPr>
        <w:t>względu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rzekomy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negatywny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wpływ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jaki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może</w:t>
      </w:r>
      <w:proofErr w:type="spellEnd"/>
      <w:r>
        <w:rPr>
          <w:w w:val="120"/>
        </w:rPr>
        <w:t xml:space="preserve"> to </w:t>
      </w:r>
      <w:proofErr w:type="spellStart"/>
      <w:r>
        <w:rPr>
          <w:w w:val="120"/>
        </w:rPr>
        <w:t>mieć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zdrowie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psychiczne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rozwój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dzieci</w:t>
      </w:r>
      <w:proofErr w:type="spellEnd"/>
      <w:r>
        <w:rPr>
          <w:w w:val="120"/>
        </w:rPr>
        <w:t>.</w:t>
      </w:r>
    </w:p>
    <w:p w14:paraId="34FFCBCD" w14:textId="77777777" w:rsidR="0039779E" w:rsidRDefault="00F712A0">
      <w:pPr>
        <w:pStyle w:val="Tekstpodstawowy"/>
        <w:ind w:left="874" w:right="727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>do</w:t>
      </w:r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rosyjskie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dokonały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wyważonej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rozsądnej</w:t>
      </w:r>
      <w:proofErr w:type="spellEnd"/>
      <w:r>
        <w:rPr>
          <w:color w:val="0071BB"/>
          <w:w w:val="120"/>
        </w:rPr>
        <w:t xml:space="preserve"> oceny </w:t>
      </w:r>
      <w:proofErr w:type="spellStart"/>
      <w:r>
        <w:rPr>
          <w:color w:val="0071BB"/>
          <w:w w:val="120"/>
        </w:rPr>
        <w:t>sprawy</w:t>
      </w:r>
      <w:proofErr w:type="spellEnd"/>
      <w:r>
        <w:rPr>
          <w:color w:val="0071BB"/>
          <w:w w:val="120"/>
        </w:rPr>
        <w:t xml:space="preserve">, </w:t>
      </w:r>
      <w:proofErr w:type="gramStart"/>
      <w:r>
        <w:rPr>
          <w:color w:val="0071BB"/>
          <w:w w:val="120"/>
        </w:rPr>
        <w:t>a</w:t>
      </w:r>
      <w:proofErr w:type="gram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rodzicielskich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kontaktów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dziećmi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konieczne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demokratycznym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społeczeństwie</w:t>
      </w:r>
      <w:proofErr w:type="spellEnd"/>
      <w:r>
        <w:rPr>
          <w:color w:val="0071BB"/>
          <w:w w:val="120"/>
        </w:rPr>
        <w:t xml:space="preserve">”.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uwzględniły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uzasadnieniu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wskazał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całkowitym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kontaktu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dziećmi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powinna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podejmowana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wyłącznie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najbardziej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ekstremalnych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sytuacjach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, ponieważ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wykazano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dzieci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poniosły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szkodę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14 </w:t>
      </w:r>
      <w:r w:rsidRPr="00620852">
        <w:rPr>
          <w:bCs/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w </w:t>
      </w:r>
      <w:proofErr w:type="spellStart"/>
      <w:r>
        <w:rPr>
          <w:b/>
          <w:color w:val="0071BB"/>
          <w:w w:val="120"/>
        </w:rPr>
        <w:t>związku</w:t>
      </w:r>
      <w:proofErr w:type="spellEnd"/>
      <w:r>
        <w:rPr>
          <w:b/>
          <w:color w:val="0071BB"/>
          <w:w w:val="120"/>
        </w:rPr>
        <w:t xml:space="preserve"> z art</w:t>
      </w:r>
      <w:r>
        <w:rPr>
          <w:b/>
          <w:color w:val="0071BB"/>
          <w:spacing w:val="40"/>
          <w:w w:val="120"/>
        </w:rPr>
        <w:t xml:space="preserve">. 8 </w:t>
      </w:r>
      <w:r>
        <w:rPr>
          <w:color w:val="0071BB"/>
          <w:w w:val="120"/>
        </w:rPr>
        <w:t xml:space="preserve">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ograniczeniu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kontaktów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dziećmi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dyskryminację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on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odegrała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znaczącą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rolę</w:t>
      </w:r>
      <w:proofErr w:type="spellEnd"/>
      <w:r>
        <w:rPr>
          <w:color w:val="0071BB"/>
          <w:w w:val="120"/>
        </w:rPr>
        <w:t xml:space="preserve"> – a </w:t>
      </w:r>
      <w:proofErr w:type="spellStart"/>
      <w:r>
        <w:rPr>
          <w:color w:val="0071BB"/>
          <w:w w:val="120"/>
        </w:rPr>
        <w:t>właściwie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czynnikiem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decydującym</w:t>
      </w:r>
      <w:proofErr w:type="spellEnd"/>
      <w:r>
        <w:rPr>
          <w:color w:val="0071BB"/>
          <w:w w:val="120"/>
        </w:rPr>
        <w:t xml:space="preserve"> – w </w:t>
      </w:r>
      <w:proofErr w:type="spellStart"/>
      <w:r>
        <w:rPr>
          <w:color w:val="0071BB"/>
          <w:w w:val="120"/>
        </w:rPr>
        <w:t>orzeczeniach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>.</w:t>
      </w:r>
    </w:p>
    <w:p w14:paraId="543A55CE" w14:textId="77777777" w:rsidR="0039779E" w:rsidRDefault="0039779E">
      <w:pPr>
        <w:pStyle w:val="Tekstpodstawowy"/>
        <w:ind w:left="0"/>
        <w:jc w:val="left"/>
      </w:pPr>
    </w:p>
    <w:p w14:paraId="5CFAB3F9" w14:textId="77777777" w:rsidR="0039779E" w:rsidRDefault="0039779E">
      <w:pPr>
        <w:pStyle w:val="Tekstpodstawowy"/>
        <w:ind w:left="0"/>
        <w:jc w:val="left"/>
      </w:pPr>
    </w:p>
    <w:p w14:paraId="18D74621" w14:textId="77777777" w:rsidR="0039779E" w:rsidRDefault="00F712A0">
      <w:pPr>
        <w:pStyle w:val="Tekstpodstawowy"/>
        <w:spacing w:before="146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644FE56" wp14:editId="2FDE1E95">
                <wp:simplePos x="0" y="0"/>
                <wp:positionH relativeFrom="page">
                  <wp:posOffset>914400</wp:posOffset>
                </wp:positionH>
                <wp:positionV relativeFrom="paragraph">
                  <wp:posOffset>263468</wp:posOffset>
                </wp:positionV>
                <wp:extent cx="1828800" cy="762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62E8" id="Graphic 17" o:spid="_x0000_s1026" style="position:absolute;margin-left:1in;margin-top:20.75pt;width:2in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AA1E55" w14:textId="50FA5441" w:rsidR="0039779E" w:rsidRDefault="00F712A0">
      <w:pPr>
        <w:spacing w:before="104"/>
        <w:ind w:left="873" w:right="460"/>
        <w:rPr>
          <w:sz w:val="16"/>
        </w:rPr>
      </w:pPr>
      <w:bookmarkStart w:id="0" w:name="_bookmark0"/>
      <w:bookmarkEnd w:id="0"/>
      <w:r>
        <w:rPr>
          <w:w w:val="125"/>
          <w:sz w:val="16"/>
        </w:rPr>
        <w:t>(</w:t>
      </w:r>
      <w:r>
        <w:rPr>
          <w:w w:val="125"/>
          <w:sz w:val="16"/>
          <w:vertAlign w:val="superscript"/>
        </w:rPr>
        <w:t>1)</w:t>
      </w:r>
      <w:r>
        <w:rPr>
          <w:w w:val="125"/>
          <w:sz w:val="16"/>
        </w:rPr>
        <w:t xml:space="preserve"> . W </w:t>
      </w:r>
      <w:proofErr w:type="spellStart"/>
      <w:r>
        <w:rPr>
          <w:w w:val="125"/>
          <w:sz w:val="16"/>
        </w:rPr>
        <w:t>dniu</w:t>
      </w:r>
      <w:proofErr w:type="spellEnd"/>
      <w:r>
        <w:rPr>
          <w:w w:val="125"/>
          <w:sz w:val="16"/>
        </w:rPr>
        <w:t xml:space="preserve"> 16 </w:t>
      </w:r>
      <w:proofErr w:type="spellStart"/>
      <w:r>
        <w:rPr>
          <w:w w:val="125"/>
          <w:sz w:val="16"/>
        </w:rPr>
        <w:t>września</w:t>
      </w:r>
      <w:proofErr w:type="spellEnd"/>
      <w:r>
        <w:rPr>
          <w:w w:val="125"/>
          <w:sz w:val="16"/>
        </w:rPr>
        <w:t xml:space="preserve"> 2022 r. </w:t>
      </w:r>
      <w:proofErr w:type="spellStart"/>
      <w:r>
        <w:rPr>
          <w:w w:val="125"/>
          <w:sz w:val="16"/>
        </w:rPr>
        <w:t>Federacja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Rosyjska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przestała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być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stroną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Europejskiej</w:t>
      </w:r>
      <w:proofErr w:type="spellEnd"/>
      <w:r>
        <w:rPr>
          <w:w w:val="125"/>
          <w:sz w:val="16"/>
        </w:rPr>
        <w:t xml:space="preserve"> </w:t>
      </w:r>
      <w:proofErr w:type="spellStart"/>
      <w:r w:rsidR="002E0B09">
        <w:rPr>
          <w:w w:val="125"/>
          <w:sz w:val="16"/>
        </w:rPr>
        <w:t>Konwencji</w:t>
      </w:r>
      <w:proofErr w:type="spellEnd"/>
      <w:r w:rsidR="002E0B09">
        <w:rPr>
          <w:w w:val="125"/>
          <w:sz w:val="16"/>
        </w:rPr>
        <w:t xml:space="preserve"> </w:t>
      </w:r>
      <w:proofErr w:type="spellStart"/>
      <w:r w:rsidR="002E0B09">
        <w:rPr>
          <w:w w:val="125"/>
          <w:sz w:val="16"/>
        </w:rPr>
        <w:t>P</w:t>
      </w:r>
      <w:r>
        <w:rPr>
          <w:w w:val="125"/>
          <w:sz w:val="16"/>
        </w:rPr>
        <w:t>raw</w:t>
      </w:r>
      <w:proofErr w:type="spellEnd"/>
      <w:r>
        <w:rPr>
          <w:w w:val="125"/>
          <w:sz w:val="16"/>
        </w:rPr>
        <w:t xml:space="preserve"> </w:t>
      </w:r>
      <w:proofErr w:type="spellStart"/>
      <w:r w:rsidR="002E0B09">
        <w:rPr>
          <w:w w:val="125"/>
          <w:sz w:val="16"/>
        </w:rPr>
        <w:t>C</w:t>
      </w:r>
      <w:r>
        <w:rPr>
          <w:w w:val="125"/>
          <w:sz w:val="16"/>
        </w:rPr>
        <w:t>złowieka</w:t>
      </w:r>
      <w:proofErr w:type="spellEnd"/>
      <w:r>
        <w:rPr>
          <w:w w:val="125"/>
          <w:sz w:val="16"/>
        </w:rPr>
        <w:t xml:space="preserve"> („</w:t>
      </w:r>
      <w:proofErr w:type="spellStart"/>
      <w:r w:rsidR="002E0B09">
        <w:rPr>
          <w:w w:val="125"/>
          <w:sz w:val="16"/>
        </w:rPr>
        <w:t>Konwencja</w:t>
      </w:r>
      <w:proofErr w:type="spellEnd"/>
      <w:r>
        <w:rPr>
          <w:w w:val="125"/>
          <w:sz w:val="16"/>
        </w:rPr>
        <w:t>”).</w:t>
      </w:r>
    </w:p>
    <w:p w14:paraId="3A5A5B27" w14:textId="77777777" w:rsidR="0039779E" w:rsidRDefault="0039779E">
      <w:pPr>
        <w:rPr>
          <w:sz w:val="16"/>
        </w:rPr>
        <w:sectPr w:rsidR="0039779E">
          <w:pgSz w:w="11910" w:h="16840"/>
          <w:pgMar w:top="1460" w:right="708" w:bottom="680" w:left="566" w:header="730" w:footer="497" w:gutter="0"/>
          <w:cols w:space="708"/>
        </w:sectPr>
      </w:pPr>
    </w:p>
    <w:p w14:paraId="3767AA74" w14:textId="77777777" w:rsidR="0039779E" w:rsidRDefault="0039779E">
      <w:pPr>
        <w:pStyle w:val="Nagwek2"/>
        <w:spacing w:before="240"/>
        <w:rPr>
          <w:u w:val="none"/>
        </w:rPr>
      </w:pPr>
      <w:hyperlink r:id="rId41">
        <w:r>
          <w:rPr>
            <w:color w:val="0071BB"/>
            <w:w w:val="140"/>
            <w:u w:color="0071BB"/>
          </w:rPr>
          <w:t xml:space="preserve">Y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Polsce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74131/14)</w:t>
        </w:r>
      </w:hyperlink>
    </w:p>
    <w:p w14:paraId="1F030254" w14:textId="77777777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17 </w:t>
      </w:r>
      <w:proofErr w:type="spellStart"/>
      <w:r>
        <w:rPr>
          <w:color w:val="808080"/>
          <w:w w:val="125"/>
          <w:sz w:val="18"/>
        </w:rPr>
        <w:t>lutego</w:t>
      </w:r>
      <w:proofErr w:type="spellEnd"/>
      <w:r>
        <w:rPr>
          <w:color w:val="808080"/>
          <w:spacing w:val="-4"/>
          <w:w w:val="125"/>
          <w:sz w:val="18"/>
        </w:rPr>
        <w:t xml:space="preserve"> 2022 r.</w:t>
      </w:r>
    </w:p>
    <w:p w14:paraId="517D105B" w14:textId="77777777" w:rsidR="0039779E" w:rsidRDefault="00F712A0">
      <w:pPr>
        <w:pStyle w:val="Tekstpodstawowy"/>
        <w:spacing w:before="2"/>
        <w:ind w:right="728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mężczyzny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transpłciowego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usunięcie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aktu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informacji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przypisanej</w:t>
      </w:r>
      <w:proofErr w:type="spellEnd"/>
      <w:r>
        <w:rPr>
          <w:w w:val="120"/>
        </w:rPr>
        <w:t xml:space="preserve"> mu </w:t>
      </w:r>
      <w:proofErr w:type="spellStart"/>
      <w:r>
        <w:rPr>
          <w:w w:val="120"/>
        </w:rPr>
        <w:t>przy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lub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wydanie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nowego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aktu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również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dyskryminowany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stosunku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dzieci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adoptowanych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wydano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nowe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akty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urodzenia</w:t>
      </w:r>
      <w:proofErr w:type="spellEnd"/>
      <w:r>
        <w:rPr>
          <w:w w:val="120"/>
        </w:rPr>
        <w:t>.</w:t>
      </w:r>
    </w:p>
    <w:p w14:paraId="45E9439B" w14:textId="2B587A12" w:rsidR="0039779E" w:rsidRDefault="00F712A0">
      <w:pPr>
        <w:pStyle w:val="Tekstpodstawowy"/>
        <w:ind w:right="729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działały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ramach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szerokiego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decyzyjnej</w:t>
      </w:r>
      <w:proofErr w:type="spellEnd"/>
      <w:r>
        <w:rPr>
          <w:color w:val="0071BB"/>
          <w:w w:val="120"/>
        </w:rPr>
        <w:t xml:space="preserve"> („</w:t>
      </w:r>
      <w:proofErr w:type="spellStart"/>
      <w:r>
        <w:rPr>
          <w:color w:val="0071BB"/>
          <w:w w:val="120"/>
        </w:rPr>
        <w:t>marginesu</w:t>
      </w:r>
      <w:proofErr w:type="spellEnd"/>
      <w:r w:rsidR="007F00A1">
        <w:rPr>
          <w:color w:val="0071BB"/>
          <w:w w:val="120"/>
        </w:rPr>
        <w:t xml:space="preserve"> </w:t>
      </w:r>
      <w:proofErr w:type="spellStart"/>
      <w:r w:rsidR="007F00A1">
        <w:rPr>
          <w:color w:val="0071BB"/>
          <w:w w:val="120"/>
        </w:rPr>
        <w:t>swobody</w:t>
      </w:r>
      <w:proofErr w:type="spellEnd"/>
      <w:r>
        <w:rPr>
          <w:color w:val="0071BB"/>
          <w:w w:val="120"/>
        </w:rPr>
        <w:t xml:space="preserve"> oceny”), </w:t>
      </w:r>
      <w:proofErr w:type="spellStart"/>
      <w:r>
        <w:rPr>
          <w:color w:val="0071BB"/>
          <w:w w:val="120"/>
        </w:rPr>
        <w:t>zachowując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interesami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skrócony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dokumenty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wskazywały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jedynie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pełny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tylko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rzadkich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przypadkach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wykazał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żadnych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negatywnych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konsekwencji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wynikających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odmowy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polskich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14 </w:t>
      </w:r>
      <w:r w:rsidRPr="00620852">
        <w:rPr>
          <w:bCs/>
          <w:color w:val="0071BB"/>
          <w:spacing w:val="40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adoptowanych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wystarczająco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podobne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argumentować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doświadczył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>.</w:t>
      </w:r>
    </w:p>
    <w:p w14:paraId="20D37544" w14:textId="77777777" w:rsidR="0039779E" w:rsidRDefault="0039779E">
      <w:pPr>
        <w:pStyle w:val="Nagwek2"/>
        <w:spacing w:before="103"/>
        <w:ind w:left="873"/>
        <w:rPr>
          <w:u w:val="none"/>
        </w:rPr>
      </w:pPr>
      <w:hyperlink r:id="rId42">
        <w:r>
          <w:rPr>
            <w:color w:val="0071BB"/>
            <w:w w:val="135"/>
            <w:u w:color="0071BB"/>
          </w:rPr>
          <w:t xml:space="preserve">M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Francji</w:t>
        </w:r>
        <w:proofErr w:type="spellEnd"/>
        <w:r>
          <w:rPr>
            <w:color w:val="0071BB"/>
            <w:w w:val="135"/>
            <w:u w:color="0071BB"/>
          </w:rPr>
          <w:t xml:space="preserve"> (nr</w:t>
        </w:r>
        <w:r>
          <w:rPr>
            <w:color w:val="0071BB"/>
            <w:spacing w:val="-2"/>
            <w:w w:val="135"/>
            <w:u w:color="0071BB"/>
          </w:rPr>
          <w:t xml:space="preserve"> 42821/18)</w:t>
        </w:r>
      </w:hyperlink>
    </w:p>
    <w:p w14:paraId="6B467104" w14:textId="77777777" w:rsidR="0039779E" w:rsidRDefault="00F712A0">
      <w:pPr>
        <w:spacing w:before="56"/>
        <w:ind w:left="874"/>
        <w:jc w:val="both"/>
        <w:rPr>
          <w:sz w:val="18"/>
        </w:rPr>
      </w:pPr>
      <w:r>
        <w:rPr>
          <w:color w:val="808080"/>
          <w:w w:val="120"/>
          <w:sz w:val="18"/>
        </w:rPr>
        <w:t xml:space="preserve">26 </w:t>
      </w:r>
      <w:proofErr w:type="spellStart"/>
      <w:r>
        <w:rPr>
          <w:color w:val="808080"/>
          <w:w w:val="120"/>
          <w:sz w:val="18"/>
        </w:rPr>
        <w:t>kwietnia</w:t>
      </w:r>
      <w:proofErr w:type="spellEnd"/>
      <w:r>
        <w:rPr>
          <w:color w:val="808080"/>
          <w:w w:val="120"/>
          <w:sz w:val="18"/>
        </w:rPr>
        <w:t xml:space="preserve"> 2022 r. (</w:t>
      </w:r>
      <w:proofErr w:type="spellStart"/>
      <w:r>
        <w:rPr>
          <w:color w:val="808080"/>
          <w:w w:val="120"/>
          <w:sz w:val="18"/>
        </w:rPr>
        <w:t>decyzja</w:t>
      </w:r>
      <w:proofErr w:type="spellEnd"/>
      <w:r>
        <w:rPr>
          <w:color w:val="808080"/>
          <w:w w:val="120"/>
          <w:sz w:val="18"/>
        </w:rPr>
        <w:t xml:space="preserve"> w </w:t>
      </w:r>
      <w:proofErr w:type="spellStart"/>
      <w:r>
        <w:rPr>
          <w:color w:val="808080"/>
          <w:w w:val="120"/>
          <w:sz w:val="18"/>
        </w:rPr>
        <w:t>sprawie</w:t>
      </w:r>
      <w:proofErr w:type="spellEnd"/>
      <w:r>
        <w:rPr>
          <w:color w:val="808080"/>
          <w:w w:val="120"/>
          <w:sz w:val="18"/>
        </w:rPr>
        <w:t xml:space="preserve"> </w:t>
      </w:r>
      <w:proofErr w:type="spellStart"/>
      <w:r>
        <w:rPr>
          <w:color w:val="808080"/>
          <w:spacing w:val="-2"/>
          <w:w w:val="120"/>
          <w:sz w:val="18"/>
        </w:rPr>
        <w:t>dopuszczalności</w:t>
      </w:r>
      <w:proofErr w:type="spellEnd"/>
      <w:r>
        <w:rPr>
          <w:color w:val="808080"/>
          <w:spacing w:val="-2"/>
          <w:w w:val="120"/>
          <w:sz w:val="18"/>
        </w:rPr>
        <w:t>)</w:t>
      </w:r>
    </w:p>
    <w:p w14:paraId="086A92F4" w14:textId="2E7F2319" w:rsidR="0039779E" w:rsidRDefault="002E0B09">
      <w:pPr>
        <w:pStyle w:val="Tekstpodstawowy"/>
        <w:spacing w:before="1"/>
        <w:ind w:right="729"/>
      </w:pP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tej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sprawie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osoba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interseksualna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dzieciństwie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okresie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dojrzewania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przeszła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operację</w:t>
      </w:r>
      <w:proofErr w:type="spellEnd"/>
      <w:r>
        <w:rPr>
          <w:w w:val="120"/>
        </w:rPr>
        <w:t xml:space="preserve"> „</w:t>
      </w:r>
      <w:proofErr w:type="spellStart"/>
      <w:r>
        <w:rPr>
          <w:w w:val="120"/>
        </w:rPr>
        <w:t>feminizacji</w:t>
      </w:r>
      <w:proofErr w:type="spellEnd"/>
      <w:r>
        <w:rPr>
          <w:w w:val="120"/>
        </w:rPr>
        <w:t xml:space="preserve">”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leczenie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medyczne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przeprowadzono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skutecznego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oficjalnego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dochodzenia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tej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sprawie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twierdziła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państwo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wywiązało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obowiązku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podjęcia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skutecznych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działań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celu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ochrony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przed </w:t>
      </w:r>
      <w:proofErr w:type="spellStart"/>
      <w:r>
        <w:rPr>
          <w:w w:val="120"/>
        </w:rPr>
        <w:t>złym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traktowaniem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doświadczyła</w:t>
      </w:r>
      <w:proofErr w:type="spellEnd"/>
      <w:r>
        <w:rPr>
          <w:w w:val="120"/>
        </w:rPr>
        <w:t xml:space="preserve"> ze </w:t>
      </w:r>
      <w:proofErr w:type="spellStart"/>
      <w:r>
        <w:rPr>
          <w:w w:val="120"/>
        </w:rPr>
        <w:t>strony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osób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Twierdziła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również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wszczęcia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postępowania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wyjaśniającego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odpowiedzi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wniosek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przystąpienie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postępowania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strona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cywilna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stanowiła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dostępu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sądu</w:t>
      </w:r>
      <w:proofErr w:type="spellEnd"/>
      <w:r>
        <w:rPr>
          <w:w w:val="120"/>
        </w:rPr>
        <w:t>.</w:t>
      </w:r>
    </w:p>
    <w:p w14:paraId="7B944EB6" w14:textId="77777777" w:rsidR="0039779E" w:rsidRDefault="00F712A0">
      <w:pPr>
        <w:pStyle w:val="Tekstpodstawowy"/>
        <w:ind w:right="728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pozostawił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otwartą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kwestię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czy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przedmiotowe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procedury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medyczne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mające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celu</w:t>
      </w:r>
      <w:proofErr w:type="spellEnd"/>
      <w:r>
        <w:rPr>
          <w:color w:val="0071BB"/>
          <w:w w:val="125"/>
        </w:rPr>
        <w:t xml:space="preserve"> „</w:t>
      </w:r>
      <w:proofErr w:type="spellStart"/>
      <w:r>
        <w:rPr>
          <w:color w:val="0071BB"/>
          <w:w w:val="125"/>
        </w:rPr>
        <w:t>normalizację</w:t>
      </w:r>
      <w:proofErr w:type="spellEnd"/>
      <w:r>
        <w:rPr>
          <w:color w:val="0071BB"/>
          <w:w w:val="125"/>
        </w:rPr>
        <w:t xml:space="preserve">” </w:t>
      </w:r>
      <w:proofErr w:type="spellStart"/>
      <w:r>
        <w:rPr>
          <w:color w:val="0071BB"/>
          <w:w w:val="125"/>
        </w:rPr>
        <w:t>mogły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konkretnych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okolicznościach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niniejszej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sprawy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wchodzić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zakres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 xml:space="preserve">art. 3 </w:t>
      </w:r>
      <w:r>
        <w:rPr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zakaz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nieludzkiego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lub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poniżającego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traktowania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, ponieważ </w:t>
      </w:r>
      <w:proofErr w:type="spellStart"/>
      <w:r>
        <w:rPr>
          <w:color w:val="0071BB"/>
          <w:w w:val="125"/>
        </w:rPr>
        <w:t>skarga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podstawie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przepisu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była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każdym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razie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b/>
          <w:color w:val="0071BB"/>
          <w:w w:val="125"/>
        </w:rPr>
        <w:t>niedopuszczalna</w:t>
      </w:r>
      <w:proofErr w:type="spellEnd"/>
      <w:r>
        <w:rPr>
          <w:b/>
          <w:color w:val="0071BB"/>
          <w:w w:val="125"/>
        </w:rPr>
        <w:t xml:space="preserve"> </w:t>
      </w:r>
      <w:r>
        <w:rPr>
          <w:color w:val="0071BB"/>
          <w:w w:val="125"/>
        </w:rPr>
        <w:t xml:space="preserve">z </w:t>
      </w:r>
      <w:proofErr w:type="spellStart"/>
      <w:r>
        <w:rPr>
          <w:color w:val="0071BB"/>
          <w:w w:val="125"/>
        </w:rPr>
        <w:t>powodu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niewyczerpania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środków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odwoławczych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dostępnych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kraju</w:t>
      </w:r>
      <w:proofErr w:type="spellEnd"/>
      <w:r>
        <w:rPr>
          <w:color w:val="0071BB"/>
          <w:w w:val="125"/>
        </w:rPr>
        <w:t xml:space="preserve">. W </w:t>
      </w:r>
      <w:proofErr w:type="spellStart"/>
      <w:r>
        <w:rPr>
          <w:color w:val="0071BB"/>
          <w:w w:val="125"/>
        </w:rPr>
        <w:t>tym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względzie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zauważył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szczególności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podniosła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wcześniej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podstawie</w:t>
      </w:r>
      <w:proofErr w:type="spellEnd"/>
      <w:r>
        <w:rPr>
          <w:color w:val="0071BB"/>
          <w:w w:val="125"/>
        </w:rPr>
        <w:t xml:space="preserve"> art</w:t>
      </w:r>
      <w:r>
        <w:rPr>
          <w:color w:val="0071BB"/>
          <w:spacing w:val="40"/>
          <w:w w:val="125"/>
        </w:rPr>
        <w:t>. 3</w:t>
      </w:r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nawet</w:t>
      </w:r>
      <w:proofErr w:type="spellEnd"/>
      <w:r>
        <w:rPr>
          <w:color w:val="0071BB"/>
          <w:w w:val="125"/>
        </w:rPr>
        <w:t xml:space="preserve"> co do </w:t>
      </w:r>
      <w:proofErr w:type="spellStart"/>
      <w:r>
        <w:rPr>
          <w:color w:val="0071BB"/>
          <w:w w:val="125"/>
        </w:rPr>
        <w:t>istoty</w:t>
      </w:r>
      <w:proofErr w:type="spellEnd"/>
      <w:r>
        <w:rPr>
          <w:color w:val="0071BB"/>
          <w:w w:val="125"/>
        </w:rPr>
        <w:t xml:space="preserve">, przed </w:t>
      </w:r>
      <w:proofErr w:type="spellStart"/>
      <w:r>
        <w:rPr>
          <w:color w:val="0071BB"/>
          <w:w w:val="125"/>
        </w:rPr>
        <w:t>Sądem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Kasacyjnym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również</w:t>
      </w:r>
      <w:proofErr w:type="spellEnd"/>
      <w:r>
        <w:rPr>
          <w:color w:val="0071BB"/>
          <w:w w:val="125"/>
        </w:rPr>
        <w:t xml:space="preserve"> </w:t>
      </w:r>
      <w:r>
        <w:rPr>
          <w:b/>
          <w:color w:val="0071BB"/>
          <w:w w:val="125"/>
        </w:rPr>
        <w:t xml:space="preserve">za </w:t>
      </w:r>
      <w:proofErr w:type="spellStart"/>
      <w:r>
        <w:rPr>
          <w:b/>
          <w:color w:val="0071BB"/>
          <w:w w:val="125"/>
        </w:rPr>
        <w:t>niedopuszczalną</w:t>
      </w:r>
      <w:proofErr w:type="spellEnd"/>
      <w:r>
        <w:rPr>
          <w:b/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jako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oczywiście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bezzasadną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skargę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b/>
          <w:color w:val="0071BB"/>
          <w:w w:val="125"/>
        </w:rPr>
        <w:t>podstawie</w:t>
      </w:r>
      <w:proofErr w:type="spellEnd"/>
      <w:r>
        <w:rPr>
          <w:b/>
          <w:color w:val="0071BB"/>
          <w:w w:val="125"/>
        </w:rPr>
        <w:t xml:space="preserve"> art. 6 </w:t>
      </w:r>
      <w:r w:rsidRPr="00620852">
        <w:rPr>
          <w:bCs/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prawo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rzetelnego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procesu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sądowego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stwierdzając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można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uznać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iż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została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pozbawiona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dostępu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sądu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celu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ustalenia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cywilnych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wyłącznie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powodu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decyzji</w:t>
      </w:r>
      <w:proofErr w:type="spellEnd"/>
      <w:r>
        <w:rPr>
          <w:color w:val="0071BB"/>
          <w:w w:val="125"/>
        </w:rPr>
        <w:t xml:space="preserve"> o </w:t>
      </w:r>
      <w:proofErr w:type="spellStart"/>
      <w:r>
        <w:rPr>
          <w:color w:val="0071BB"/>
          <w:w w:val="125"/>
        </w:rPr>
        <w:t>nieprzeprowadzaniu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postępowania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sądowego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skargi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wniosku</w:t>
      </w:r>
      <w:proofErr w:type="spellEnd"/>
      <w:r>
        <w:rPr>
          <w:color w:val="0071BB"/>
          <w:w w:val="125"/>
        </w:rPr>
        <w:t xml:space="preserve"> o </w:t>
      </w:r>
      <w:proofErr w:type="spellStart"/>
      <w:r>
        <w:rPr>
          <w:color w:val="0071BB"/>
          <w:w w:val="125"/>
        </w:rPr>
        <w:t>przystąpienie</w:t>
      </w:r>
      <w:proofErr w:type="spellEnd"/>
      <w:r>
        <w:rPr>
          <w:color w:val="0071BB"/>
          <w:w w:val="125"/>
        </w:rPr>
        <w:t xml:space="preserve"> do </w:t>
      </w:r>
      <w:proofErr w:type="spellStart"/>
      <w:r>
        <w:rPr>
          <w:color w:val="0071BB"/>
          <w:w w:val="125"/>
        </w:rPr>
        <w:t>postępowania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jako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strona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cywilna</w:t>
      </w:r>
      <w:proofErr w:type="spellEnd"/>
      <w:r>
        <w:rPr>
          <w:color w:val="0071BB"/>
          <w:w w:val="125"/>
        </w:rPr>
        <w:t>.</w:t>
      </w:r>
    </w:p>
    <w:p w14:paraId="039CA58A" w14:textId="5E72359F" w:rsidR="0039779E" w:rsidRDefault="0039779E">
      <w:pPr>
        <w:pStyle w:val="Nagwek2"/>
        <w:spacing w:before="102"/>
        <w:ind w:left="873"/>
        <w:rPr>
          <w:u w:val="none"/>
        </w:rPr>
      </w:pPr>
      <w:hyperlink r:id="rId43">
        <w:r>
          <w:rPr>
            <w:color w:val="0071BB"/>
            <w:w w:val="135"/>
            <w:u w:color="0071BB"/>
          </w:rPr>
          <w:t xml:space="preserve">A.D.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r w:rsidR="00B332EE">
          <w:rPr>
            <w:color w:val="0071BB"/>
            <w:w w:val="135"/>
            <w:u w:color="0071BB"/>
          </w:rPr>
          <w:t>Inni</w:t>
        </w:r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Gruzji</w:t>
        </w:r>
        <w:proofErr w:type="spellEnd"/>
        <w:r>
          <w:rPr>
            <w:color w:val="0071BB"/>
            <w:w w:val="135"/>
            <w:u w:color="0071BB"/>
          </w:rPr>
          <w:t xml:space="preserve"> (nr</w:t>
        </w:r>
        <w:r>
          <w:rPr>
            <w:color w:val="0071BB"/>
            <w:spacing w:val="-2"/>
            <w:w w:val="135"/>
            <w:u w:color="0071BB"/>
          </w:rPr>
          <w:t xml:space="preserve"> 57864/17)</w:t>
        </w:r>
      </w:hyperlink>
    </w:p>
    <w:p w14:paraId="2B8757B5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>1 grudnia</w:t>
      </w:r>
      <w:r>
        <w:rPr>
          <w:color w:val="808080"/>
          <w:spacing w:val="-4"/>
          <w:w w:val="125"/>
          <w:sz w:val="18"/>
        </w:rPr>
        <w:t xml:space="preserve"> 2022 r.</w:t>
      </w:r>
    </w:p>
    <w:p w14:paraId="023C738E" w14:textId="5E7FEFCC" w:rsidR="0039779E" w:rsidRDefault="00FC6D7F">
      <w:pPr>
        <w:pStyle w:val="Tekstpodstawowy"/>
        <w:spacing w:before="1"/>
        <w:ind w:right="729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mężczyźni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transpłciowi</w:t>
      </w:r>
      <w:proofErr w:type="spellEnd"/>
      <w:r>
        <w:rPr>
          <w:w w:val="120"/>
        </w:rPr>
        <w:t xml:space="preserve"> (</w:t>
      </w:r>
      <w:proofErr w:type="spellStart"/>
      <w:r>
        <w:rPr>
          <w:w w:val="120"/>
        </w:rPr>
        <w:t>przypisani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żeńskiej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chwili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urodzenia</w:t>
      </w:r>
      <w:proofErr w:type="spellEnd"/>
      <w:r>
        <w:rPr>
          <w:w w:val="120"/>
        </w:rPr>
        <w:t xml:space="preserve">), </w:t>
      </w:r>
      <w:proofErr w:type="spellStart"/>
      <w:r>
        <w:rPr>
          <w:w w:val="120"/>
        </w:rPr>
        <w:t>skarżyli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swojej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, ponieważ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przeszli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operacji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Twierdzili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zmienić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aktach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cywilnego</w:t>
      </w:r>
      <w:proofErr w:type="spellEnd"/>
      <w:r>
        <w:rPr>
          <w:w w:val="120"/>
        </w:rPr>
        <w:t xml:space="preserve">, ponieważ </w:t>
      </w:r>
      <w:proofErr w:type="spellStart"/>
      <w:r>
        <w:rPr>
          <w:w w:val="120"/>
        </w:rPr>
        <w:t>ramy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niejasne</w:t>
      </w:r>
      <w:proofErr w:type="spellEnd"/>
      <w:r>
        <w:rPr>
          <w:w w:val="120"/>
        </w:rPr>
        <w:t>.</w:t>
      </w:r>
    </w:p>
    <w:p w14:paraId="6429B5EC" w14:textId="66BB3409" w:rsidR="0039779E" w:rsidRDefault="00F712A0">
      <w:pPr>
        <w:pStyle w:val="Tekstpodstawowy"/>
        <w:ind w:right="728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pomimo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istnienia</w:t>
      </w:r>
      <w:proofErr w:type="spellEnd"/>
      <w:r>
        <w:rPr>
          <w:color w:val="0071BB"/>
          <w:w w:val="120"/>
        </w:rPr>
        <w:t xml:space="preserve"> od 1998 r. w </w:t>
      </w:r>
      <w:proofErr w:type="spellStart"/>
      <w:r>
        <w:rPr>
          <w:color w:val="0071BB"/>
          <w:w w:val="120"/>
        </w:rPr>
        <w:t>Gruzji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aktach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odnotowano</w:t>
      </w:r>
      <w:proofErr w:type="spellEnd"/>
      <w:r>
        <w:rPr>
          <w:color w:val="0071BB"/>
          <w:w w:val="120"/>
        </w:rPr>
        <w:t xml:space="preserve"> ani </w:t>
      </w:r>
      <w:proofErr w:type="spellStart"/>
      <w:r>
        <w:rPr>
          <w:color w:val="0071BB"/>
          <w:w w:val="120"/>
        </w:rPr>
        <w:t>jednego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pomyślnego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prawnej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Niejasność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obowiązujących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przepisów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utrudniała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praktyce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uzyskanie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brak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jasnych</w:t>
      </w:r>
      <w:proofErr w:type="spellEnd"/>
      <w:r>
        <w:rPr>
          <w:color w:val="0071BB"/>
          <w:w w:val="120"/>
        </w:rPr>
        <w:t xml:space="preserve"> ram </w:t>
      </w:r>
      <w:proofErr w:type="spellStart"/>
      <w:r>
        <w:rPr>
          <w:color w:val="0071BB"/>
          <w:w w:val="120"/>
        </w:rPr>
        <w:t>prawnych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pozostawiał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nadmierną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decyzyjną</w:t>
      </w:r>
      <w:proofErr w:type="spellEnd"/>
      <w:r>
        <w:rPr>
          <w:color w:val="0071BB"/>
          <w:w w:val="120"/>
        </w:rPr>
        <w:t xml:space="preserve">, co </w:t>
      </w:r>
      <w:proofErr w:type="spellStart"/>
      <w:r>
        <w:rPr>
          <w:color w:val="0071BB"/>
          <w:w w:val="120"/>
        </w:rPr>
        <w:t>mogło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prowadzić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arbitralnych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rozpatrywaniu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wniosków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</w:t>
      </w:r>
      <w:r w:rsidR="00FC6D7F">
        <w:rPr>
          <w:color w:val="0071BB"/>
          <w:w w:val="120"/>
        </w:rPr>
        <w:t>e</w:t>
      </w:r>
      <w:proofErr w:type="spellEnd"/>
      <w:r w:rsidR="00FC6D7F">
        <w:rPr>
          <w:color w:val="0071BB"/>
          <w:w w:val="120"/>
        </w:rPr>
        <w:t xml:space="preserve"> taka </w:t>
      </w:r>
      <w:proofErr w:type="spellStart"/>
      <w:r>
        <w:rPr>
          <w:color w:val="0071BB"/>
          <w:w w:val="120"/>
        </w:rPr>
        <w:t>sytuacja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zasadniczo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sprzeczna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obowiązkiem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pozwanego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zapewnienia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szybkich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przejrzystych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procedur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>.</w:t>
      </w:r>
    </w:p>
    <w:p w14:paraId="2F350670" w14:textId="77777777" w:rsidR="0039779E" w:rsidRDefault="0039779E">
      <w:pPr>
        <w:pStyle w:val="Tekstpodstawowy"/>
        <w:sectPr w:rsidR="0039779E">
          <w:pgSz w:w="11910" w:h="16840"/>
          <w:pgMar w:top="1460" w:right="708" w:bottom="680" w:left="566" w:header="730" w:footer="497" w:gutter="0"/>
          <w:cols w:space="708"/>
        </w:sectPr>
      </w:pPr>
    </w:p>
    <w:p w14:paraId="2044D027" w14:textId="77777777" w:rsidR="0039779E" w:rsidRDefault="0039779E">
      <w:pPr>
        <w:pStyle w:val="Nagwek2"/>
        <w:spacing w:before="240"/>
        <w:rPr>
          <w:u w:val="none"/>
        </w:rPr>
      </w:pPr>
      <w:hyperlink r:id="rId44">
        <w:r>
          <w:rPr>
            <w:color w:val="0071BB"/>
            <w:w w:val="140"/>
            <w:u w:color="0071BB"/>
          </w:rPr>
          <w:t xml:space="preserve">Y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Francji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76888/17)</w:t>
        </w:r>
      </w:hyperlink>
    </w:p>
    <w:p w14:paraId="0AF23D5D" w14:textId="77777777" w:rsidR="0039779E" w:rsidRDefault="00F712A0">
      <w:pPr>
        <w:spacing w:before="58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31 </w:t>
      </w:r>
      <w:proofErr w:type="spellStart"/>
      <w:r>
        <w:rPr>
          <w:color w:val="808080"/>
          <w:w w:val="125"/>
          <w:sz w:val="18"/>
        </w:rPr>
        <w:t>stycznia</w:t>
      </w:r>
      <w:proofErr w:type="spellEnd"/>
      <w:r>
        <w:rPr>
          <w:color w:val="808080"/>
          <w:spacing w:val="-4"/>
          <w:w w:val="125"/>
          <w:sz w:val="18"/>
        </w:rPr>
        <w:t xml:space="preserve"> 2023 r.</w:t>
      </w:r>
    </w:p>
    <w:p w14:paraId="0A28E06C" w14:textId="36C837EE" w:rsidR="0039779E" w:rsidRDefault="00FC6D7F">
      <w:pPr>
        <w:pStyle w:val="Tekstpodstawowy"/>
        <w:spacing w:before="2"/>
        <w:ind w:left="874" w:right="731" w:hanging="1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jest </w:t>
      </w:r>
      <w:proofErr w:type="spellStart"/>
      <w:r>
        <w:rPr>
          <w:w w:val="120"/>
        </w:rPr>
        <w:t>osobą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interseksualną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uwzględnienia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wniosku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wpisanie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akcie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słowa</w:t>
      </w:r>
      <w:proofErr w:type="spellEnd"/>
      <w:r>
        <w:rPr>
          <w:w w:val="120"/>
        </w:rPr>
        <w:t xml:space="preserve"> „</w:t>
      </w:r>
      <w:proofErr w:type="spellStart"/>
      <w:r>
        <w:rPr>
          <w:w w:val="120"/>
        </w:rPr>
        <w:t>neutralny</w:t>
      </w:r>
      <w:proofErr w:type="spellEnd"/>
      <w:r>
        <w:rPr>
          <w:w w:val="120"/>
        </w:rPr>
        <w:t xml:space="preserve">” </w:t>
      </w:r>
      <w:proofErr w:type="spellStart"/>
      <w:r>
        <w:rPr>
          <w:w w:val="120"/>
        </w:rPr>
        <w:t>lub</w:t>
      </w:r>
      <w:proofErr w:type="spellEnd"/>
      <w:r>
        <w:rPr>
          <w:w w:val="120"/>
        </w:rPr>
        <w:t xml:space="preserve"> „</w:t>
      </w:r>
      <w:proofErr w:type="spellStart"/>
      <w:r>
        <w:rPr>
          <w:w w:val="120"/>
        </w:rPr>
        <w:t>interseksualny</w:t>
      </w:r>
      <w:proofErr w:type="spellEnd"/>
      <w:r>
        <w:rPr>
          <w:w w:val="120"/>
        </w:rPr>
        <w:t xml:space="preserve">” </w:t>
      </w:r>
      <w:proofErr w:type="spellStart"/>
      <w:r>
        <w:rPr>
          <w:w w:val="120"/>
        </w:rPr>
        <w:t>zamiast</w:t>
      </w:r>
      <w:proofErr w:type="spellEnd"/>
      <w:r>
        <w:rPr>
          <w:w w:val="120"/>
        </w:rPr>
        <w:t xml:space="preserve"> „</w:t>
      </w:r>
      <w:proofErr w:type="spellStart"/>
      <w:r>
        <w:rPr>
          <w:w w:val="120"/>
        </w:rPr>
        <w:t>mężczyzna</w:t>
      </w:r>
      <w:proofErr w:type="spellEnd"/>
      <w:r>
        <w:rPr>
          <w:w w:val="120"/>
        </w:rPr>
        <w:t>”.</w:t>
      </w:r>
    </w:p>
    <w:p w14:paraId="5D363539" w14:textId="39F31AFA" w:rsidR="0039779E" w:rsidRDefault="00F712A0">
      <w:pPr>
        <w:pStyle w:val="Tekstpodstawowy"/>
        <w:ind w:left="874" w:right="726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decyzyjną</w:t>
      </w:r>
      <w:proofErr w:type="spellEnd"/>
      <w:r>
        <w:rPr>
          <w:color w:val="0071BB"/>
          <w:w w:val="120"/>
        </w:rPr>
        <w:t xml:space="preserve"> („margines</w:t>
      </w:r>
      <w:r w:rsidR="007F00A1">
        <w:rPr>
          <w:color w:val="0071BB"/>
          <w:w w:val="120"/>
        </w:rPr>
        <w:t xml:space="preserve"> </w:t>
      </w:r>
      <w:proofErr w:type="spellStart"/>
      <w:r w:rsidR="007F00A1">
        <w:rPr>
          <w:color w:val="0071BB"/>
          <w:w w:val="120"/>
        </w:rPr>
        <w:t>swobody</w:t>
      </w:r>
      <w:proofErr w:type="spellEnd"/>
      <w:r>
        <w:rPr>
          <w:color w:val="0071BB"/>
          <w:w w:val="120"/>
        </w:rPr>
        <w:t xml:space="preserve"> oceny”) </w:t>
      </w:r>
      <w:proofErr w:type="spellStart"/>
      <w:r>
        <w:rPr>
          <w:color w:val="0071BB"/>
          <w:w w:val="120"/>
        </w:rPr>
        <w:t>przysługującą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pozwanemu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Francja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uchybiła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swojemu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obowiązkowi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skutecznego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Analizując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sprawę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świetle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pozytywnego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pozwanego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zapewnienia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skutecznego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ustalił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ogólny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należycie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wyważony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stosunku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interesów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po </w:t>
      </w:r>
      <w:proofErr w:type="spellStart"/>
      <w:r>
        <w:rPr>
          <w:color w:val="0071BB"/>
          <w:w w:val="120"/>
        </w:rPr>
        <w:t>pierwsze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aspektem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kwestia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intymnej</w:t>
      </w:r>
      <w:proofErr w:type="spellEnd"/>
      <w:r>
        <w:rPr>
          <w:color w:val="0071BB"/>
          <w:w w:val="120"/>
        </w:rPr>
        <w:t xml:space="preserve">, ponieważ </w:t>
      </w:r>
      <w:proofErr w:type="spellStart"/>
      <w:r>
        <w:rPr>
          <w:color w:val="0071BB"/>
          <w:w w:val="120"/>
        </w:rPr>
        <w:t>przedmiotem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rozbieżność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biologiczną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a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powodować</w:t>
      </w:r>
      <w:proofErr w:type="spellEnd"/>
      <w:r>
        <w:rPr>
          <w:color w:val="0071BB"/>
          <w:w w:val="120"/>
        </w:rPr>
        <w:t xml:space="preserve"> u </w:t>
      </w:r>
      <w:proofErr w:type="spellStart"/>
      <w:r>
        <w:rPr>
          <w:color w:val="0071BB"/>
          <w:w w:val="120"/>
        </w:rPr>
        <w:t>niego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cierpienie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niepokój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Następnie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argumenty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przedstawione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odrzucenia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oparte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poszanowaniu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niezbywalności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konieczności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zachowania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spójności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wiarygodności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rejestrów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obowiązujących</w:t>
      </w:r>
      <w:proofErr w:type="spellEnd"/>
      <w:r>
        <w:rPr>
          <w:color w:val="0071BB"/>
          <w:w w:val="120"/>
        </w:rPr>
        <w:t xml:space="preserve"> we </w:t>
      </w:r>
      <w:proofErr w:type="spellStart"/>
      <w:r>
        <w:rPr>
          <w:color w:val="0071BB"/>
          <w:w w:val="120"/>
        </w:rPr>
        <w:t>Francji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rozwiązań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istotne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Wziął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argumentację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Sądu</w:t>
      </w:r>
      <w:proofErr w:type="spellEnd"/>
      <w:r>
        <w:rPr>
          <w:color w:val="0071BB"/>
          <w:w w:val="120"/>
        </w:rPr>
        <w:t xml:space="preserve"> Kasacyjnego,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którą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neutralnej</w:t>
      </w:r>
      <w:proofErr w:type="spellEnd"/>
      <w:r>
        <w:rPr>
          <w:color w:val="0071BB"/>
          <w:w w:val="120"/>
        </w:rPr>
        <w:t xml:space="preserve">”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daleko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idące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konsekwencje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przepisów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francuskiego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opartych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dwóch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płciach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legislacyjnych</w:t>
      </w:r>
      <w:proofErr w:type="spellEnd"/>
      <w:r>
        <w:rPr>
          <w:color w:val="0071BB"/>
          <w:w w:val="120"/>
        </w:rPr>
        <w:t xml:space="preserve">. Po </w:t>
      </w:r>
      <w:proofErr w:type="spellStart"/>
      <w:r>
        <w:rPr>
          <w:color w:val="0071BB"/>
          <w:w w:val="120"/>
        </w:rPr>
        <w:t>odnotowaniu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Apelacyjny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uwzględnienie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wniosku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oznaczałoby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kategorii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funkcji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normatywnej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zasadniczo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kompetencji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ustawodawczej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sądowniczej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poszanowanie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podziału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władzy</w:t>
      </w:r>
      <w:proofErr w:type="spellEnd"/>
      <w:r>
        <w:rPr>
          <w:color w:val="0071BB"/>
          <w:w w:val="120"/>
        </w:rPr>
        <w:t xml:space="preserve">, bez </w:t>
      </w:r>
      <w:proofErr w:type="spellStart"/>
      <w:r>
        <w:rPr>
          <w:color w:val="0071BB"/>
          <w:w w:val="120"/>
        </w:rPr>
        <w:t>której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ma </w:t>
      </w:r>
      <w:proofErr w:type="spellStart"/>
      <w:r>
        <w:rPr>
          <w:color w:val="0071BB"/>
          <w:w w:val="120"/>
        </w:rPr>
        <w:t>demokracji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rozważań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Uznając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chociaż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domaga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zapisania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ogólnego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trzeciej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jedynie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sprostowania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gdyby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uwzględnił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żądanie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oznaczałoby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koniecznie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zobowiązane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wypełnienia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zobowiązań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wynikających</w:t>
      </w:r>
      <w:proofErr w:type="spellEnd"/>
      <w:r>
        <w:rPr>
          <w:color w:val="0071BB"/>
          <w:w w:val="120"/>
        </w:rPr>
        <w:t xml:space="preserve"> z art. 46 (</w:t>
      </w:r>
      <w:proofErr w:type="spellStart"/>
      <w:r>
        <w:rPr>
          <w:color w:val="0071BB"/>
          <w:w w:val="120"/>
        </w:rPr>
        <w:t>wiążąca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wyroków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do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zakresie</w:t>
      </w:r>
      <w:proofErr w:type="spellEnd"/>
      <w:r>
        <w:rPr>
          <w:color w:val="0071BB"/>
          <w:w w:val="120"/>
        </w:rPr>
        <w:t xml:space="preserve">; w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powinien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zachować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powściągliwość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kwestiach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ogólnej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polityki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opinie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demokratycznym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różnić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należy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przywiązywać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wagę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roli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decydentów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politycznych</w:t>
      </w:r>
      <w:proofErr w:type="spellEnd"/>
      <w:r>
        <w:rPr>
          <w:color w:val="0071BB"/>
          <w:w w:val="120"/>
        </w:rPr>
        <w:t xml:space="preserve">. Jest to </w:t>
      </w:r>
      <w:proofErr w:type="spellStart"/>
      <w:r>
        <w:rPr>
          <w:color w:val="0071BB"/>
          <w:w w:val="120"/>
        </w:rPr>
        <w:t>szczególnie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prawdziwe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gdy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tak</w:t>
      </w:r>
      <w:proofErr w:type="spellEnd"/>
      <w:r>
        <w:rPr>
          <w:color w:val="0071BB"/>
          <w:w w:val="120"/>
        </w:rPr>
        <w:t xml:space="preserve"> jak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kwestia</w:t>
      </w:r>
      <w:proofErr w:type="spellEnd"/>
      <w:r>
        <w:rPr>
          <w:color w:val="0071BB"/>
          <w:w w:val="120"/>
        </w:rPr>
        <w:t xml:space="preserve"> ta </w:t>
      </w:r>
      <w:proofErr w:type="spellStart"/>
      <w:r>
        <w:rPr>
          <w:color w:val="0071BB"/>
          <w:w w:val="120"/>
        </w:rPr>
        <w:t>wymaga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Wobec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braku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europejskiego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konsensusu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dziedzinie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pozostawienie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pozwanemu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jakim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tempie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jakim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może</w:t>
      </w:r>
      <w:proofErr w:type="spellEnd"/>
      <w:r>
        <w:rPr>
          <w:color w:val="0071BB"/>
          <w:w w:val="120"/>
        </w:rPr>
        <w:t xml:space="preserve"> ono </w:t>
      </w:r>
      <w:proofErr w:type="spellStart"/>
      <w:r>
        <w:rPr>
          <w:color w:val="0071BB"/>
          <w:w w:val="120"/>
        </w:rPr>
        <w:t>spełnić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interseksualnych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takich</w:t>
      </w:r>
      <w:proofErr w:type="spellEnd"/>
      <w:r>
        <w:rPr>
          <w:color w:val="0071BB"/>
          <w:w w:val="120"/>
        </w:rPr>
        <w:t xml:space="preserve"> jak </w:t>
      </w:r>
      <w:proofErr w:type="spellStart"/>
      <w:r>
        <w:rPr>
          <w:color w:val="0071BB"/>
          <w:w w:val="120"/>
        </w:rPr>
        <w:t>skarżąc</w:t>
      </w:r>
      <w:r w:rsidR="004013E2">
        <w:rPr>
          <w:color w:val="0071BB"/>
          <w:w w:val="120"/>
        </w:rPr>
        <w:t>y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stanu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cywilnego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trudną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sytuację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jakiej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one </w:t>
      </w:r>
      <w:proofErr w:type="spellStart"/>
      <w:r>
        <w:rPr>
          <w:color w:val="0071BB"/>
          <w:w w:val="120"/>
        </w:rPr>
        <w:t>znalazły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względem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zwłaszcza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rozbieżność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statusem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prawnym</w:t>
      </w:r>
      <w:proofErr w:type="spellEnd"/>
      <w:r>
        <w:rPr>
          <w:color w:val="0071BB"/>
          <w:w w:val="120"/>
        </w:rPr>
        <w:t xml:space="preserve"> a </w:t>
      </w:r>
      <w:proofErr w:type="spellStart"/>
      <w:r>
        <w:rPr>
          <w:color w:val="0071BB"/>
          <w:w w:val="120"/>
        </w:rPr>
        <w:t>rzeczywistością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biologiczną</w:t>
      </w:r>
      <w:proofErr w:type="spellEnd"/>
      <w:r>
        <w:rPr>
          <w:color w:val="0071BB"/>
          <w:w w:val="120"/>
        </w:rPr>
        <w:t>.</w:t>
      </w:r>
    </w:p>
    <w:p w14:paraId="03A4A912" w14:textId="77777777" w:rsidR="0039779E" w:rsidRDefault="0039779E">
      <w:pPr>
        <w:pStyle w:val="Nagwek2"/>
        <w:spacing w:before="74"/>
        <w:rPr>
          <w:u w:val="none"/>
        </w:rPr>
      </w:pPr>
      <w:hyperlink r:id="rId45">
        <w:r>
          <w:rPr>
            <w:color w:val="0071BB"/>
            <w:w w:val="135"/>
            <w:u w:color="0071BB"/>
          </w:rPr>
          <w:t xml:space="preserve">O.H.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G.H.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Niemcom</w:t>
        </w:r>
        <w:proofErr w:type="spellEnd"/>
        <w:r>
          <w:rPr>
            <w:color w:val="0071BB"/>
            <w:w w:val="135"/>
            <w:u w:color="0071BB"/>
          </w:rPr>
          <w:t xml:space="preserve"> (nr 53568/18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spacing w:val="-2"/>
            <w:w w:val="135"/>
            <w:u w:color="0071BB"/>
          </w:rPr>
          <w:t xml:space="preserve"> 54941/18)</w:t>
        </w:r>
      </w:hyperlink>
    </w:p>
    <w:p w14:paraId="5EF6D774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4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spacing w:val="-4"/>
          <w:w w:val="125"/>
          <w:sz w:val="18"/>
        </w:rPr>
        <w:t xml:space="preserve"> 2023 r.</w:t>
      </w:r>
    </w:p>
    <w:p w14:paraId="3EB454A8" w14:textId="43ABEC2D" w:rsidR="0039779E" w:rsidRDefault="00F712A0">
      <w:pPr>
        <w:pStyle w:val="Tekstpodstawowy"/>
        <w:spacing w:before="3" w:line="237" w:lineRule="auto"/>
        <w:ind w:left="874" w:right="729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transpłciowego</w:t>
      </w:r>
      <w:proofErr w:type="spellEnd"/>
      <w:r>
        <w:rPr>
          <w:w w:val="120"/>
        </w:rPr>
        <w:t xml:space="preserve"> (O.H.)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dziecka</w:t>
      </w:r>
      <w:proofErr w:type="spellEnd"/>
      <w:r>
        <w:rPr>
          <w:w w:val="120"/>
        </w:rPr>
        <w:t xml:space="preserve"> (G.H.),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urodził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Skargi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niemieckich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wpisania</w:t>
      </w:r>
      <w:proofErr w:type="spellEnd"/>
      <w:r>
        <w:rPr>
          <w:w w:val="120"/>
        </w:rPr>
        <w:t xml:space="preserve"> O.H.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ojca</w:t>
      </w:r>
      <w:proofErr w:type="spellEnd"/>
      <w:r>
        <w:rPr>
          <w:w w:val="120"/>
        </w:rPr>
        <w:t xml:space="preserve"> G.H.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podstawie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O.H. </w:t>
      </w:r>
      <w:proofErr w:type="spellStart"/>
      <w:r>
        <w:rPr>
          <w:w w:val="120"/>
        </w:rPr>
        <w:t>urodził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mimo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męską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uzyskał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już</w:t>
      </w:r>
      <w:proofErr w:type="spellEnd"/>
      <w:r>
        <w:rPr>
          <w:w w:val="120"/>
        </w:rPr>
        <w:t xml:space="preserve"> w 2011 r., </w:t>
      </w:r>
      <w:proofErr w:type="spellStart"/>
      <w:r>
        <w:rPr>
          <w:w w:val="120"/>
        </w:rPr>
        <w:t>tj</w:t>
      </w:r>
      <w:proofErr w:type="spellEnd"/>
      <w:r>
        <w:rPr>
          <w:w w:val="120"/>
        </w:rPr>
        <w:t xml:space="preserve">. przed </w:t>
      </w:r>
      <w:proofErr w:type="spellStart"/>
      <w:r>
        <w:rPr>
          <w:w w:val="120"/>
        </w:rPr>
        <w:t>poczęciem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dziecka</w:t>
      </w:r>
      <w:proofErr w:type="spellEnd"/>
      <w:r>
        <w:rPr>
          <w:w w:val="120"/>
        </w:rPr>
        <w:t xml:space="preserve"> w 2013 r.</w:t>
      </w:r>
      <w:r w:rsidR="004013E2" w:rsidDel="004013E2">
        <w:rPr>
          <w:w w:val="120"/>
        </w:rPr>
        <w:t xml:space="preserve"> </w:t>
      </w:r>
      <w:hyperlink w:anchor="_bookmark1" w:history="1">
        <w:r w:rsidR="0039779E">
          <w:rPr>
            <w:w w:val="120"/>
            <w:position w:val="7"/>
            <w:sz w:val="13"/>
          </w:rPr>
          <w:t>2</w:t>
        </w:r>
        <w:r w:rsidR="004013E2">
          <w:rPr>
            <w:w w:val="120"/>
            <w:position w:val="7"/>
            <w:sz w:val="13"/>
          </w:rPr>
          <w:t>.</w:t>
        </w:r>
        <w:r w:rsidR="004013E2" w:rsidDel="004013E2">
          <w:rPr>
            <w:w w:val="120"/>
            <w:position w:val="7"/>
            <w:sz w:val="13"/>
          </w:rPr>
          <w:t xml:space="preserve"> </w:t>
        </w:r>
      </w:hyperlink>
    </w:p>
    <w:p w14:paraId="272090DE" w14:textId="77777777" w:rsidR="0039779E" w:rsidRDefault="00F712A0">
      <w:pPr>
        <w:pStyle w:val="Tekstpodstawowy"/>
        <w:spacing w:before="9"/>
        <w:ind w:left="0"/>
        <w:jc w:val="lef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747FED6" wp14:editId="2008473D">
                <wp:simplePos x="0" y="0"/>
                <wp:positionH relativeFrom="page">
                  <wp:posOffset>914400</wp:posOffset>
                </wp:positionH>
                <wp:positionV relativeFrom="paragraph">
                  <wp:posOffset>98865</wp:posOffset>
                </wp:positionV>
                <wp:extent cx="1828800" cy="762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09072" id="Graphic 18" o:spid="_x0000_s1026" style="position:absolute;margin-left:1in;margin-top:7.8pt;width:2in;height: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625457" w14:textId="1502A64F" w:rsidR="0039779E" w:rsidRDefault="00F712A0">
      <w:pPr>
        <w:spacing w:before="107"/>
        <w:ind w:left="873" w:right="723"/>
        <w:jc w:val="both"/>
        <w:rPr>
          <w:sz w:val="16"/>
        </w:rPr>
      </w:pPr>
      <w:bookmarkStart w:id="1" w:name="_bookmark1"/>
      <w:bookmarkEnd w:id="1"/>
      <w:r>
        <w:rPr>
          <w:w w:val="125"/>
          <w:sz w:val="16"/>
          <w:vertAlign w:val="superscript"/>
        </w:rPr>
        <w:t>2</w:t>
      </w:r>
      <w:r>
        <w:rPr>
          <w:w w:val="125"/>
          <w:sz w:val="16"/>
        </w:rPr>
        <w:t xml:space="preserve">. </w:t>
      </w:r>
      <w:proofErr w:type="spellStart"/>
      <w:r>
        <w:rPr>
          <w:w w:val="125"/>
          <w:sz w:val="16"/>
        </w:rPr>
        <w:t>Zgodnie</w:t>
      </w:r>
      <w:proofErr w:type="spellEnd"/>
      <w:r>
        <w:rPr>
          <w:w w:val="125"/>
          <w:sz w:val="16"/>
        </w:rPr>
        <w:t xml:space="preserve"> z </w:t>
      </w:r>
      <w:proofErr w:type="spellStart"/>
      <w:r>
        <w:rPr>
          <w:w w:val="125"/>
          <w:sz w:val="16"/>
        </w:rPr>
        <w:t>prawem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niemieckim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należy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podać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poprzednią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płeć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i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poprzednie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imię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rodzica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transpłciowego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nie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tylko</w:t>
      </w:r>
      <w:proofErr w:type="spellEnd"/>
      <w:r>
        <w:rPr>
          <w:w w:val="125"/>
          <w:sz w:val="16"/>
        </w:rPr>
        <w:t xml:space="preserve"> w </w:t>
      </w:r>
      <w:proofErr w:type="spellStart"/>
      <w:r>
        <w:rPr>
          <w:w w:val="125"/>
          <w:sz w:val="16"/>
        </w:rPr>
        <w:t>przypadku</w:t>
      </w:r>
      <w:proofErr w:type="spellEnd"/>
      <w:r>
        <w:rPr>
          <w:w w:val="125"/>
          <w:sz w:val="16"/>
        </w:rPr>
        <w:t xml:space="preserve">, </w:t>
      </w:r>
      <w:proofErr w:type="spellStart"/>
      <w:r>
        <w:rPr>
          <w:w w:val="125"/>
          <w:sz w:val="16"/>
        </w:rPr>
        <w:t>gdy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narodziny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miały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miejsce</w:t>
      </w:r>
      <w:proofErr w:type="spellEnd"/>
      <w:r>
        <w:rPr>
          <w:w w:val="125"/>
          <w:sz w:val="16"/>
        </w:rPr>
        <w:t xml:space="preserve"> przed </w:t>
      </w:r>
      <w:proofErr w:type="spellStart"/>
      <w:r>
        <w:rPr>
          <w:w w:val="125"/>
          <w:sz w:val="16"/>
        </w:rPr>
        <w:t>ostatecznym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uznaniem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zmiany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płci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rodzica</w:t>
      </w:r>
      <w:proofErr w:type="spellEnd"/>
      <w:r>
        <w:rPr>
          <w:w w:val="125"/>
          <w:sz w:val="16"/>
        </w:rPr>
        <w:t xml:space="preserve">, ale </w:t>
      </w:r>
      <w:proofErr w:type="spellStart"/>
      <w:r>
        <w:rPr>
          <w:w w:val="125"/>
          <w:sz w:val="16"/>
        </w:rPr>
        <w:t>również</w:t>
      </w:r>
      <w:proofErr w:type="spellEnd"/>
      <w:r>
        <w:rPr>
          <w:w w:val="125"/>
          <w:sz w:val="16"/>
        </w:rPr>
        <w:t xml:space="preserve"> w </w:t>
      </w:r>
      <w:proofErr w:type="spellStart"/>
      <w:r>
        <w:rPr>
          <w:w w:val="125"/>
          <w:sz w:val="16"/>
        </w:rPr>
        <w:t>przypadku</w:t>
      </w:r>
      <w:proofErr w:type="spellEnd"/>
      <w:r>
        <w:rPr>
          <w:w w:val="125"/>
          <w:sz w:val="16"/>
        </w:rPr>
        <w:t xml:space="preserve">, </w:t>
      </w:r>
      <w:proofErr w:type="spellStart"/>
      <w:r>
        <w:rPr>
          <w:w w:val="125"/>
          <w:sz w:val="16"/>
        </w:rPr>
        <w:t>gdy</w:t>
      </w:r>
      <w:proofErr w:type="spellEnd"/>
      <w:r>
        <w:rPr>
          <w:w w:val="125"/>
          <w:sz w:val="16"/>
        </w:rPr>
        <w:t xml:space="preserve">, </w:t>
      </w:r>
      <w:proofErr w:type="spellStart"/>
      <w:r>
        <w:rPr>
          <w:w w:val="125"/>
          <w:sz w:val="16"/>
        </w:rPr>
        <w:t>tak</w:t>
      </w:r>
      <w:proofErr w:type="spellEnd"/>
      <w:r>
        <w:rPr>
          <w:w w:val="125"/>
          <w:sz w:val="16"/>
        </w:rPr>
        <w:t xml:space="preserve"> jak w </w:t>
      </w:r>
      <w:proofErr w:type="spellStart"/>
      <w:r>
        <w:rPr>
          <w:w w:val="125"/>
          <w:sz w:val="16"/>
        </w:rPr>
        <w:t>niniejszej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sprawie</w:t>
      </w:r>
      <w:proofErr w:type="spellEnd"/>
      <w:r>
        <w:rPr>
          <w:w w:val="125"/>
          <w:sz w:val="16"/>
        </w:rPr>
        <w:t xml:space="preserve">, </w:t>
      </w:r>
      <w:proofErr w:type="spellStart"/>
      <w:r>
        <w:rPr>
          <w:w w:val="125"/>
          <w:sz w:val="16"/>
        </w:rPr>
        <w:t>poczęcie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lub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narodziny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dziecka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miały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miejsce</w:t>
      </w:r>
      <w:proofErr w:type="spellEnd"/>
      <w:r>
        <w:rPr>
          <w:w w:val="125"/>
          <w:sz w:val="16"/>
        </w:rPr>
        <w:t xml:space="preserve"> po </w:t>
      </w:r>
      <w:proofErr w:type="spellStart"/>
      <w:r>
        <w:rPr>
          <w:w w:val="125"/>
          <w:sz w:val="16"/>
        </w:rPr>
        <w:t>zmianie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płci</w:t>
      </w:r>
      <w:proofErr w:type="spellEnd"/>
      <w:r>
        <w:rPr>
          <w:w w:val="125"/>
          <w:sz w:val="16"/>
        </w:rPr>
        <w:t>.</w:t>
      </w:r>
    </w:p>
    <w:p w14:paraId="024A5039" w14:textId="77777777" w:rsidR="0039779E" w:rsidRDefault="0039779E">
      <w:pPr>
        <w:jc w:val="both"/>
        <w:rPr>
          <w:sz w:val="16"/>
        </w:rPr>
        <w:sectPr w:rsidR="0039779E">
          <w:pgSz w:w="11910" w:h="16840"/>
          <w:pgMar w:top="1460" w:right="708" w:bottom="680" w:left="566" w:header="730" w:footer="497" w:gutter="0"/>
          <w:cols w:space="708"/>
        </w:sectPr>
      </w:pPr>
    </w:p>
    <w:p w14:paraId="77F43A2D" w14:textId="4E296CE8" w:rsidR="0039779E" w:rsidRDefault="00F712A0">
      <w:pPr>
        <w:pStyle w:val="Tekstpodstawowy"/>
        <w:spacing w:before="240"/>
        <w:ind w:right="726"/>
      </w:pPr>
      <w:proofErr w:type="spellStart"/>
      <w:r>
        <w:rPr>
          <w:color w:val="0071BB"/>
          <w:w w:val="120"/>
        </w:rPr>
        <w:lastRenderedPageBreak/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pierwszeństwo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4013E2">
        <w:rPr>
          <w:color w:val="0071BB"/>
          <w:w w:val="120"/>
        </w:rPr>
        <w:t>skarżącego</w:t>
      </w:r>
      <w:proofErr w:type="spellEnd"/>
      <w:r w:rsidR="004013E2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drugiego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4013E2">
        <w:rPr>
          <w:color w:val="0071BB"/>
          <w:w w:val="120"/>
        </w:rPr>
        <w:t>skarżącego</w:t>
      </w:r>
      <w:proofErr w:type="spellEnd"/>
      <w:r w:rsidR="004013E2">
        <w:rPr>
          <w:color w:val="0071BB"/>
          <w:w w:val="120"/>
        </w:rPr>
        <w:t xml:space="preserve"> </w:t>
      </w:r>
      <w:proofErr w:type="spellStart"/>
      <w:r>
        <w:rPr>
          <w:color w:val="0071BB"/>
          <w:spacing w:val="25"/>
          <w:w w:val="120"/>
        </w:rPr>
        <w:t>nie</w:t>
      </w:r>
      <w:proofErr w:type="spellEnd"/>
      <w:r>
        <w:rPr>
          <w:color w:val="0071BB"/>
          <w:spacing w:val="25"/>
          <w:w w:val="120"/>
        </w:rPr>
        <w:t xml:space="preserve"> </w:t>
      </w:r>
      <w:proofErr w:type="spellStart"/>
      <w:r>
        <w:rPr>
          <w:color w:val="0071BB"/>
          <w:w w:val="120"/>
        </w:rPr>
        <w:t>zostało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podważone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ograniczoną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liczbę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mogłyby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doprowadzić</w:t>
      </w:r>
      <w:proofErr w:type="spellEnd"/>
      <w:r>
        <w:rPr>
          <w:color w:val="0071BB"/>
          <w:w w:val="120"/>
        </w:rPr>
        <w:t xml:space="preserve"> – po </w:t>
      </w:r>
      <w:proofErr w:type="spellStart"/>
      <w:r>
        <w:rPr>
          <w:color w:val="0071BB"/>
          <w:w w:val="120"/>
        </w:rPr>
        <w:t>przedstawieniu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dziecka</w:t>
      </w:r>
      <w:proofErr w:type="spellEnd"/>
      <w:r>
        <w:rPr>
          <w:color w:val="0071BB"/>
          <w:w w:val="120"/>
        </w:rPr>
        <w:t xml:space="preserve"> – do </w:t>
      </w:r>
      <w:proofErr w:type="spellStart"/>
      <w:r>
        <w:rPr>
          <w:color w:val="0071BB"/>
          <w:w w:val="120"/>
        </w:rPr>
        <w:t>ujawnienia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transpłciowej</w:t>
      </w:r>
      <w:proofErr w:type="spellEnd"/>
      <w:r>
        <w:rPr>
          <w:color w:val="0071BB"/>
          <w:w w:val="120"/>
        </w:rPr>
        <w:t xml:space="preserve"> O.H.,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szeroki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zakres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decyzyjnej</w:t>
      </w:r>
      <w:proofErr w:type="spellEnd"/>
      <w:r>
        <w:rPr>
          <w:color w:val="0071BB"/>
          <w:w w:val="120"/>
        </w:rPr>
        <w:t xml:space="preserve"> („margines</w:t>
      </w:r>
      <w:r w:rsidR="00E6110F">
        <w:rPr>
          <w:color w:val="0071BB"/>
          <w:w w:val="120"/>
        </w:rPr>
        <w:t xml:space="preserve"> </w:t>
      </w:r>
      <w:proofErr w:type="spellStart"/>
      <w:r w:rsidR="00E6110F">
        <w:rPr>
          <w:color w:val="0071BB"/>
          <w:w w:val="120"/>
        </w:rPr>
        <w:t>swobody</w:t>
      </w:r>
      <w:proofErr w:type="spellEnd"/>
      <w:r>
        <w:rPr>
          <w:color w:val="0071BB"/>
          <w:w w:val="120"/>
        </w:rPr>
        <w:t xml:space="preserve"> oceny”) </w:t>
      </w:r>
      <w:proofErr w:type="spellStart"/>
      <w:r>
        <w:rPr>
          <w:color w:val="0071BB"/>
          <w:w w:val="120"/>
        </w:rPr>
        <w:t>przyznany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pozwanemu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niemieckie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osiągnęły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pierwszego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r>
        <w:rPr>
          <w:color w:val="0071BB"/>
          <w:spacing w:val="40"/>
          <w:w w:val="120"/>
        </w:rPr>
        <w:t>(</w:t>
      </w:r>
      <w:r>
        <w:rPr>
          <w:color w:val="0071BB"/>
          <w:w w:val="120"/>
        </w:rPr>
        <w:t xml:space="preserve">O.H.), </w:t>
      </w:r>
      <w:proofErr w:type="spellStart"/>
      <w:r>
        <w:rPr>
          <w:color w:val="0071BB"/>
          <w:w w:val="120"/>
        </w:rPr>
        <w:t>interesami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drugiego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r>
        <w:rPr>
          <w:color w:val="0071BB"/>
          <w:spacing w:val="40"/>
          <w:w w:val="120"/>
        </w:rPr>
        <w:t>(</w:t>
      </w:r>
      <w:r>
        <w:rPr>
          <w:color w:val="0071BB"/>
          <w:w w:val="120"/>
        </w:rPr>
        <w:t xml:space="preserve">G.H.), </w:t>
      </w:r>
      <w:proofErr w:type="spellStart"/>
      <w:r>
        <w:rPr>
          <w:color w:val="0071BB"/>
          <w:w w:val="120"/>
        </w:rPr>
        <w:t>względami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dotyczącymi</w:t>
      </w:r>
      <w:proofErr w:type="spellEnd"/>
      <w:r>
        <w:rPr>
          <w:color w:val="0071BB"/>
          <w:w w:val="120"/>
        </w:rPr>
        <w:t xml:space="preserve"> dobra </w:t>
      </w:r>
      <w:proofErr w:type="spellStart"/>
      <w:r>
        <w:rPr>
          <w:color w:val="0071BB"/>
          <w:w w:val="120"/>
        </w:rPr>
        <w:t>dziecka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publicznym</w:t>
      </w:r>
      <w:proofErr w:type="spellEnd"/>
      <w:r>
        <w:rPr>
          <w:color w:val="0071BB"/>
          <w:w w:val="120"/>
        </w:rPr>
        <w:t>.</w:t>
      </w:r>
    </w:p>
    <w:p w14:paraId="6F68B547" w14:textId="0E4D9306" w:rsidR="0039779E" w:rsidRDefault="0039779E">
      <w:pPr>
        <w:pStyle w:val="Nagwek2"/>
        <w:rPr>
          <w:u w:val="none"/>
        </w:rPr>
      </w:pPr>
      <w:hyperlink r:id="rId46">
        <w:r>
          <w:rPr>
            <w:color w:val="0071BB"/>
            <w:w w:val="135"/>
            <w:u w:color="0071BB"/>
          </w:rPr>
          <w:t xml:space="preserve">A.H.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r w:rsidR="009B5FFA">
          <w:rPr>
            <w:color w:val="0071BB"/>
            <w:w w:val="135"/>
            <w:u w:color="0071BB"/>
          </w:rPr>
          <w:t>Inni</w:t>
        </w:r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Niemcom</w:t>
        </w:r>
        <w:proofErr w:type="spellEnd"/>
        <w:r>
          <w:rPr>
            <w:color w:val="0071BB"/>
            <w:w w:val="135"/>
            <w:u w:color="0071BB"/>
          </w:rPr>
          <w:t xml:space="preserve"> (nr</w:t>
        </w:r>
        <w:r>
          <w:rPr>
            <w:color w:val="0071BB"/>
            <w:spacing w:val="-2"/>
            <w:w w:val="135"/>
            <w:u w:color="0071BB"/>
          </w:rPr>
          <w:t xml:space="preserve"> 7246/20)</w:t>
        </w:r>
      </w:hyperlink>
    </w:p>
    <w:p w14:paraId="1EFF48F9" w14:textId="77777777" w:rsidR="0039779E" w:rsidRDefault="00F712A0">
      <w:pPr>
        <w:spacing w:before="55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4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spacing w:val="-4"/>
          <w:w w:val="125"/>
          <w:sz w:val="18"/>
        </w:rPr>
        <w:t xml:space="preserve"> 2023 r.</w:t>
      </w:r>
    </w:p>
    <w:p w14:paraId="429F4CC0" w14:textId="77777777" w:rsidR="0039779E" w:rsidRDefault="00F712A0">
      <w:pPr>
        <w:pStyle w:val="Tekstpodstawowy"/>
        <w:spacing w:before="2"/>
        <w:ind w:right="729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trzech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skarżących</w:t>
      </w:r>
      <w:proofErr w:type="spellEnd"/>
      <w:r>
        <w:rPr>
          <w:w w:val="120"/>
        </w:rPr>
        <w:t xml:space="preserve">, z </w:t>
      </w:r>
      <w:proofErr w:type="spellStart"/>
      <w:r>
        <w:rPr>
          <w:w w:val="120"/>
        </w:rPr>
        <w:t>których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pierwszy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transpłciowym</w:t>
      </w:r>
      <w:proofErr w:type="spellEnd"/>
      <w:r>
        <w:rPr>
          <w:w w:val="120"/>
        </w:rPr>
        <w:t xml:space="preserve"> (A.H.),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organy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cywilnego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odmówiły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wpisania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pierwszej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skarżącej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rejestru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urodzeń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matki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trzeciej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skarżącej</w:t>
      </w:r>
      <w:proofErr w:type="spellEnd"/>
      <w:r>
        <w:rPr>
          <w:w w:val="120"/>
        </w:rPr>
        <w:t xml:space="preserve"> </w:t>
      </w:r>
      <w:r>
        <w:rPr>
          <w:spacing w:val="40"/>
          <w:w w:val="120"/>
        </w:rPr>
        <w:t>(</w:t>
      </w:r>
      <w:r>
        <w:rPr>
          <w:w w:val="120"/>
        </w:rPr>
        <w:t xml:space="preserve">L.D.H.)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podstawie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A.H.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urodziła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dziecka</w:t>
      </w:r>
      <w:proofErr w:type="spellEnd"/>
      <w:r>
        <w:rPr>
          <w:w w:val="120"/>
        </w:rPr>
        <w:t xml:space="preserve"> –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urodziła</w:t>
      </w:r>
      <w:proofErr w:type="spellEnd"/>
      <w:r>
        <w:rPr>
          <w:w w:val="120"/>
        </w:rPr>
        <w:t xml:space="preserve"> G.H. (</w:t>
      </w:r>
      <w:proofErr w:type="spellStart"/>
      <w:r>
        <w:rPr>
          <w:w w:val="120"/>
        </w:rPr>
        <w:t>druga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) – a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rzeczywistości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poczęte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nasienia</w:t>
      </w:r>
      <w:proofErr w:type="spellEnd"/>
      <w:r>
        <w:rPr>
          <w:w w:val="120"/>
        </w:rPr>
        <w:t xml:space="preserve"> </w:t>
      </w:r>
      <w:r>
        <w:rPr>
          <w:spacing w:val="33"/>
          <w:w w:val="120"/>
        </w:rPr>
        <w:t>A</w:t>
      </w:r>
      <w:r>
        <w:rPr>
          <w:w w:val="120"/>
        </w:rPr>
        <w:t>.H.</w:t>
      </w:r>
    </w:p>
    <w:p w14:paraId="745048D9" w14:textId="21B2F1E1" w:rsidR="0039779E" w:rsidRDefault="00F712A0">
      <w:pPr>
        <w:pStyle w:val="Tekstpodstawowy"/>
        <w:ind w:right="729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b/>
          <w:color w:val="0071BB"/>
          <w:w w:val="120"/>
        </w:rPr>
        <w:t>nie</w:t>
      </w:r>
      <w:proofErr w:type="spellEnd"/>
      <w:r>
        <w:rPr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intencją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niemieckiego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ustawodawcy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poprzednia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płeć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poprzednie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imię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transpłciowego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musiały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wskazane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tylko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gdy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narodziny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miejsce</w:t>
      </w:r>
      <w:proofErr w:type="spellEnd"/>
      <w:r>
        <w:rPr>
          <w:color w:val="0071BB"/>
          <w:w w:val="120"/>
        </w:rPr>
        <w:t xml:space="preserve"> przed </w:t>
      </w:r>
      <w:proofErr w:type="spellStart"/>
      <w:r>
        <w:rPr>
          <w:color w:val="0071BB"/>
          <w:w w:val="120"/>
        </w:rPr>
        <w:t>ostatecznym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rodzica</w:t>
      </w:r>
      <w:proofErr w:type="spellEnd"/>
      <w:r>
        <w:rPr>
          <w:color w:val="0071BB"/>
          <w:w w:val="120"/>
        </w:rPr>
        <w:t xml:space="preserve">, ale </w:t>
      </w:r>
      <w:proofErr w:type="spellStart"/>
      <w:r>
        <w:rPr>
          <w:color w:val="0071BB"/>
          <w:w w:val="120"/>
        </w:rPr>
        <w:t>także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gdy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tak</w:t>
      </w:r>
      <w:proofErr w:type="spellEnd"/>
      <w:r>
        <w:rPr>
          <w:color w:val="0071BB"/>
          <w:w w:val="120"/>
        </w:rPr>
        <w:t xml:space="preserve"> jak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dziecko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poczęte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urodzone</w:t>
      </w:r>
      <w:proofErr w:type="spellEnd"/>
      <w:r>
        <w:rPr>
          <w:color w:val="0071BB"/>
          <w:w w:val="120"/>
        </w:rPr>
        <w:t xml:space="preserve"> po </w:t>
      </w:r>
      <w:proofErr w:type="spellStart"/>
      <w:r>
        <w:rPr>
          <w:color w:val="0071BB"/>
          <w:w w:val="120"/>
        </w:rPr>
        <w:t>zmianie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podważono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pierwsza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skarżąca</w:t>
      </w:r>
      <w:proofErr w:type="spellEnd"/>
      <w:r>
        <w:rPr>
          <w:color w:val="0071BB"/>
          <w:w w:val="120"/>
        </w:rPr>
        <w:t xml:space="preserve"> </w:t>
      </w:r>
      <w:r>
        <w:rPr>
          <w:color w:val="0071BB"/>
          <w:spacing w:val="40"/>
          <w:w w:val="120"/>
        </w:rPr>
        <w:t>(</w:t>
      </w:r>
      <w:r>
        <w:rPr>
          <w:color w:val="0071BB"/>
          <w:w w:val="120"/>
        </w:rPr>
        <w:t xml:space="preserve">A.H.)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trzeciego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(L.D.H.), a </w:t>
      </w:r>
      <w:proofErr w:type="spellStart"/>
      <w:r>
        <w:rPr>
          <w:color w:val="0071BB"/>
          <w:w w:val="120"/>
        </w:rPr>
        <w:t>także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niewiele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scenariuszy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transpłciowa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pierwszej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mogłaby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ujawniona</w:t>
      </w:r>
      <w:proofErr w:type="spellEnd"/>
      <w:r>
        <w:rPr>
          <w:color w:val="0071BB"/>
          <w:w w:val="120"/>
        </w:rPr>
        <w:t xml:space="preserve"> po </w:t>
      </w:r>
      <w:proofErr w:type="spellStart"/>
      <w:r>
        <w:rPr>
          <w:color w:val="0071BB"/>
          <w:w w:val="120"/>
        </w:rPr>
        <w:t>przedstawieniu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aktu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urodzenia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dziecka</w:t>
      </w:r>
      <w:proofErr w:type="spellEnd"/>
      <w:r>
        <w:rPr>
          <w:color w:val="0071BB"/>
          <w:w w:val="120"/>
        </w:rPr>
        <w:t xml:space="preserve"> (w </w:t>
      </w:r>
      <w:proofErr w:type="spellStart"/>
      <w:r>
        <w:rPr>
          <w:color w:val="0071BB"/>
          <w:w w:val="120"/>
        </w:rPr>
        <w:t>którym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wpisana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ojciec</w:t>
      </w:r>
      <w:proofErr w:type="spellEnd"/>
      <w:r>
        <w:rPr>
          <w:color w:val="0071BB"/>
          <w:w w:val="120"/>
        </w:rPr>
        <w:t xml:space="preserve">), </w:t>
      </w:r>
      <w:proofErr w:type="spellStart"/>
      <w:r>
        <w:rPr>
          <w:color w:val="0071BB"/>
          <w:w w:val="120"/>
        </w:rPr>
        <w:t>uwzględniając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(„margines</w:t>
      </w:r>
      <w:r w:rsidR="00377895">
        <w:rPr>
          <w:color w:val="0071BB"/>
          <w:w w:val="120"/>
        </w:rPr>
        <w:t xml:space="preserve"> </w:t>
      </w:r>
      <w:proofErr w:type="spellStart"/>
      <w:r w:rsidR="00377895">
        <w:rPr>
          <w:color w:val="0071BB"/>
          <w:w w:val="120"/>
        </w:rPr>
        <w:t>swobody</w:t>
      </w:r>
      <w:proofErr w:type="spellEnd"/>
      <w:r>
        <w:rPr>
          <w:color w:val="0071BB"/>
          <w:w w:val="120"/>
        </w:rPr>
        <w:t xml:space="preserve"> oceny”) </w:t>
      </w:r>
      <w:proofErr w:type="spellStart"/>
      <w:r>
        <w:rPr>
          <w:color w:val="0071BB"/>
          <w:w w:val="120"/>
        </w:rPr>
        <w:t>przysługującą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pozwanemu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Sąd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niemieckie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osiągnęły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właściwą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pierwszego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drugiego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(A.H.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G.H.), </w:t>
      </w:r>
      <w:proofErr w:type="spellStart"/>
      <w:r>
        <w:rPr>
          <w:color w:val="0071BB"/>
          <w:w w:val="120"/>
        </w:rPr>
        <w:t>interesami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trzeciego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(L.D.H.), </w:t>
      </w:r>
      <w:proofErr w:type="spellStart"/>
      <w:r>
        <w:rPr>
          <w:color w:val="0071BB"/>
          <w:w w:val="120"/>
        </w:rPr>
        <w:t>względami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dotyczącymi</w:t>
      </w:r>
      <w:proofErr w:type="spellEnd"/>
      <w:r>
        <w:rPr>
          <w:color w:val="0071BB"/>
          <w:w w:val="120"/>
        </w:rPr>
        <w:t xml:space="preserve"> dobra </w:t>
      </w:r>
      <w:proofErr w:type="spellStart"/>
      <w:r>
        <w:rPr>
          <w:color w:val="0071BB"/>
          <w:w w:val="120"/>
        </w:rPr>
        <w:t>dziecka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</w:t>
      </w:r>
      <w:r w:rsidR="00A24F1E">
        <w:rPr>
          <w:color w:val="0071BB"/>
          <w:w w:val="120"/>
        </w:rPr>
        <w:t>e</w:t>
      </w:r>
      <w:r>
        <w:rPr>
          <w:color w:val="0071BB"/>
          <w:spacing w:val="39"/>
          <w:w w:val="120"/>
        </w:rPr>
        <w:t>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publicznym</w:t>
      </w:r>
      <w:proofErr w:type="spellEnd"/>
      <w:r>
        <w:rPr>
          <w:color w:val="0071BB"/>
          <w:w w:val="120"/>
        </w:rPr>
        <w:t>.</w:t>
      </w:r>
    </w:p>
    <w:p w14:paraId="4707AAA3" w14:textId="510E18A2" w:rsidR="0039779E" w:rsidRDefault="0039779E">
      <w:pPr>
        <w:pStyle w:val="Nagwek2"/>
        <w:spacing w:before="98"/>
        <w:ind w:left="873"/>
        <w:rPr>
          <w:b w:val="0"/>
          <w:position w:val="7"/>
          <w:sz w:val="13"/>
          <w:u w:val="none"/>
        </w:rPr>
      </w:pPr>
      <w:hyperlink r:id="rId47">
        <w:proofErr w:type="spellStart"/>
        <w:r>
          <w:rPr>
            <w:color w:val="0071BB"/>
            <w:w w:val="135"/>
            <w:u w:color="0071BB"/>
          </w:rPr>
          <w:t>Savinovskikh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r w:rsidR="009B5FFA">
          <w:rPr>
            <w:color w:val="0071BB"/>
            <w:w w:val="135"/>
            <w:u w:color="0071BB"/>
          </w:rPr>
          <w:t>Inni</w:t>
        </w:r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Rosji</w:t>
        </w:r>
        <w:proofErr w:type="spellEnd"/>
      </w:hyperlink>
      <w:hyperlink w:anchor="_bookmark2" w:history="1">
        <w:r>
          <w:rPr>
            <w:b w:val="0"/>
            <w:color w:val="808080"/>
            <w:spacing w:val="-2"/>
            <w:w w:val="135"/>
            <w:position w:val="7"/>
            <w:sz w:val="13"/>
            <w:u w:val="none"/>
          </w:rPr>
          <w:t>3</w:t>
        </w:r>
      </w:hyperlink>
    </w:p>
    <w:p w14:paraId="0C2A0829" w14:textId="77777777" w:rsidR="0039779E" w:rsidRDefault="00F712A0">
      <w:pPr>
        <w:spacing w:before="52"/>
        <w:ind w:left="874"/>
        <w:jc w:val="both"/>
        <w:rPr>
          <w:position w:val="6"/>
          <w:sz w:val="12"/>
        </w:rPr>
      </w:pPr>
      <w:r>
        <w:rPr>
          <w:color w:val="808080"/>
          <w:w w:val="125"/>
          <w:sz w:val="18"/>
        </w:rPr>
        <w:t xml:space="preserve">9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spacing w:val="-2"/>
          <w:w w:val="125"/>
          <w:sz w:val="18"/>
        </w:rPr>
        <w:t xml:space="preserve"> 2024 r</w:t>
      </w:r>
      <w:hyperlink w:anchor="_bookmark3" w:history="1">
        <w:r w:rsidR="0039779E">
          <w:rPr>
            <w:color w:val="808080"/>
            <w:spacing w:val="-2"/>
            <w:w w:val="125"/>
            <w:position w:val="6"/>
            <w:sz w:val="12"/>
          </w:rPr>
          <w:t>.(4)</w:t>
        </w:r>
      </w:hyperlink>
    </w:p>
    <w:p w14:paraId="4387B14F" w14:textId="77777777" w:rsidR="0039779E" w:rsidRDefault="00F712A0">
      <w:pPr>
        <w:pStyle w:val="Tekstpodstawowy"/>
        <w:spacing w:before="2"/>
        <w:ind w:left="874" w:right="730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rozwiązania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umowy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pieczy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dwójką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dzieci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wieku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czterech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pięciu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lat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oraz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umowy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rodzicielstwie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zastępczym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powodu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zastępczy</w:t>
      </w:r>
      <w:proofErr w:type="spellEnd"/>
      <w:r>
        <w:rPr>
          <w:w w:val="120"/>
        </w:rPr>
        <w:t xml:space="preserve"> – </w:t>
      </w:r>
      <w:proofErr w:type="spellStart"/>
      <w:r>
        <w:rPr>
          <w:w w:val="120"/>
        </w:rPr>
        <w:t>pierwszy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–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transseksualistą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przechodził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proces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zmiany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tożsamości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płciowej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Pierwszy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zarzucał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odebranie</w:t>
      </w:r>
      <w:proofErr w:type="spellEnd"/>
      <w:r>
        <w:rPr>
          <w:w w:val="120"/>
        </w:rPr>
        <w:t xml:space="preserve"> mu </w:t>
      </w:r>
      <w:proofErr w:type="spellStart"/>
      <w:r>
        <w:rPr>
          <w:w w:val="120"/>
        </w:rPr>
        <w:t>pieczy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dwójką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dzieci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konieczne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demokratycznym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społeczeństwie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stanowiło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poszanowania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życia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rodzinnego</w:t>
      </w:r>
      <w:proofErr w:type="spellEnd"/>
      <w:r>
        <w:rPr>
          <w:w w:val="120"/>
        </w:rPr>
        <w:t>.</w:t>
      </w:r>
    </w:p>
    <w:p w14:paraId="47AA082E" w14:textId="3FC461B4" w:rsidR="0039779E" w:rsidRDefault="00F712A0" w:rsidP="00620852">
      <w:pPr>
        <w:pStyle w:val="Tekstpodstawowy"/>
        <w:ind w:left="874" w:right="727" w:hanging="1"/>
        <w:jc w:val="distribute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przeprowadziły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dogłębnej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analizy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ogólnej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rozważyły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należycie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każdej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koncentrując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, co </w:t>
      </w:r>
      <w:proofErr w:type="spellStart"/>
      <w:r>
        <w:rPr>
          <w:color w:val="0071BB"/>
          <w:w w:val="120"/>
        </w:rPr>
        <w:t>byłoby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najlepszym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rozwiązaniem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dzieci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poważne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diagnozy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medyczne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zostały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porzucone</w:t>
      </w:r>
      <w:proofErr w:type="spellEnd"/>
      <w:r>
        <w:rPr>
          <w:color w:val="0071BB"/>
          <w:w w:val="120"/>
        </w:rPr>
        <w:t xml:space="preserve"> po </w:t>
      </w:r>
      <w:proofErr w:type="spellStart"/>
      <w:r>
        <w:rPr>
          <w:color w:val="0071BB"/>
          <w:w w:val="120"/>
        </w:rPr>
        <w:t>urodzeniu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przed </w:t>
      </w:r>
      <w:proofErr w:type="spellStart"/>
      <w:r>
        <w:rPr>
          <w:color w:val="0071BB"/>
          <w:w w:val="120"/>
        </w:rPr>
        <w:t>umieszczeniem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rodzinie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wieku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odpowiednio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trzech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lat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przebywały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placówkach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państwowych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odebraniu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3B776A">
        <w:rPr>
          <w:color w:val="0071BB"/>
          <w:w w:val="120"/>
        </w:rPr>
        <w:t>skarżącemu</w:t>
      </w:r>
      <w:proofErr w:type="spellEnd"/>
      <w:r w:rsidR="003B776A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opieki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poparta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żadną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indywidualną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ekspertyzą</w:t>
      </w:r>
      <w:proofErr w:type="spellEnd"/>
      <w:r>
        <w:rPr>
          <w:color w:val="0071BB"/>
          <w:w w:val="120"/>
        </w:rPr>
        <w:t xml:space="preserve"> ani </w:t>
      </w:r>
      <w:proofErr w:type="spellStart"/>
      <w:r>
        <w:rPr>
          <w:color w:val="0071BB"/>
          <w:w w:val="120"/>
        </w:rPr>
        <w:t>badaniem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naukowym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dotyczącym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wpływu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tożsamości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zdrowie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psychiczne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rozwój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Uzasadnienie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opierało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spacing w:val="40"/>
          <w:w w:val="120"/>
        </w:rPr>
        <w:t xml:space="preserve"> </w:t>
      </w:r>
      <w:proofErr w:type="spellStart"/>
      <w:r>
        <w:rPr>
          <w:color w:val="0071BB"/>
          <w:w w:val="120"/>
        </w:rPr>
        <w:t>prawnej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niemożliwości</w:t>
      </w:r>
      <w:proofErr w:type="spellEnd"/>
      <w:r>
        <w:rPr>
          <w:color w:val="0071BB"/>
          <w:w w:val="120"/>
        </w:rPr>
        <w:t xml:space="preserve"> par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akceptowanymi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zastępczy</w:t>
      </w:r>
      <w:proofErr w:type="spellEnd"/>
      <w:r>
        <w:rPr>
          <w:color w:val="0071BB"/>
          <w:w w:val="120"/>
        </w:rPr>
        <w:t>.</w:t>
      </w:r>
      <w:r w:rsidR="003B776A">
        <w:rPr>
          <w:color w:val="0071BB"/>
          <w:w w:val="120"/>
        </w:rPr>
        <w:t xml:space="preserve"> Nie</w:t>
      </w:r>
    </w:p>
    <w:p w14:paraId="61089670" w14:textId="77777777" w:rsidR="0039779E" w:rsidRDefault="00F712A0">
      <w:pPr>
        <w:pStyle w:val="Tekstpodstawowy"/>
        <w:spacing w:before="231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8A1AD6C" wp14:editId="6D870643">
                <wp:simplePos x="0" y="0"/>
                <wp:positionH relativeFrom="page">
                  <wp:posOffset>914400</wp:posOffset>
                </wp:positionH>
                <wp:positionV relativeFrom="paragraph">
                  <wp:posOffset>317434</wp:posOffset>
                </wp:positionV>
                <wp:extent cx="1828800" cy="762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1850" id="Graphic 19" o:spid="_x0000_s1026" style="position:absolute;margin-left:1in;margin-top:25pt;width:2in;height: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03CB4" w14:textId="6BE51207" w:rsidR="0039779E" w:rsidRDefault="00F712A0">
      <w:pPr>
        <w:spacing w:before="107" w:line="195" w:lineRule="exact"/>
        <w:ind w:left="874"/>
        <w:rPr>
          <w:sz w:val="16"/>
        </w:rPr>
      </w:pPr>
      <w:bookmarkStart w:id="2" w:name="_bookmark2"/>
      <w:bookmarkEnd w:id="2"/>
      <w:proofErr w:type="gramStart"/>
      <w:r>
        <w:rPr>
          <w:w w:val="125"/>
          <w:sz w:val="16"/>
          <w:vertAlign w:val="superscript"/>
        </w:rPr>
        <w:t>3</w:t>
      </w:r>
      <w:r>
        <w:rPr>
          <w:w w:val="125"/>
          <w:sz w:val="16"/>
        </w:rPr>
        <w:t xml:space="preserve">  W</w:t>
      </w:r>
      <w:proofErr w:type="gram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dniu</w:t>
      </w:r>
      <w:proofErr w:type="spellEnd"/>
      <w:r>
        <w:rPr>
          <w:w w:val="125"/>
          <w:sz w:val="16"/>
        </w:rPr>
        <w:t xml:space="preserve"> 16 </w:t>
      </w:r>
      <w:proofErr w:type="spellStart"/>
      <w:r>
        <w:rPr>
          <w:w w:val="125"/>
          <w:sz w:val="16"/>
        </w:rPr>
        <w:t>września</w:t>
      </w:r>
      <w:proofErr w:type="spellEnd"/>
      <w:r>
        <w:rPr>
          <w:w w:val="125"/>
          <w:sz w:val="16"/>
        </w:rPr>
        <w:t xml:space="preserve"> 2022 r. </w:t>
      </w:r>
      <w:proofErr w:type="spellStart"/>
      <w:r>
        <w:rPr>
          <w:w w:val="125"/>
          <w:sz w:val="16"/>
        </w:rPr>
        <w:t>Federacja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Rosyjska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przestała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być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stroną</w:t>
      </w:r>
      <w:proofErr w:type="spellEnd"/>
      <w:r>
        <w:rPr>
          <w:w w:val="125"/>
          <w:sz w:val="16"/>
        </w:rPr>
        <w:t xml:space="preserve"> </w:t>
      </w:r>
      <w:proofErr w:type="spellStart"/>
      <w:r w:rsidR="009B5FFA">
        <w:rPr>
          <w:spacing w:val="-2"/>
          <w:w w:val="125"/>
          <w:sz w:val="16"/>
        </w:rPr>
        <w:t>Konwencji</w:t>
      </w:r>
      <w:proofErr w:type="spellEnd"/>
      <w:r>
        <w:rPr>
          <w:spacing w:val="-2"/>
          <w:w w:val="125"/>
          <w:sz w:val="16"/>
        </w:rPr>
        <w:t>.</w:t>
      </w:r>
    </w:p>
    <w:p w14:paraId="4FA57C16" w14:textId="4348C7B9" w:rsidR="0039779E" w:rsidRDefault="00F712A0">
      <w:pPr>
        <w:ind w:left="873" w:right="460"/>
        <w:rPr>
          <w:sz w:val="16"/>
        </w:rPr>
      </w:pPr>
      <w:bookmarkStart w:id="3" w:name="_bookmark3"/>
      <w:bookmarkEnd w:id="3"/>
      <w:r>
        <w:rPr>
          <w:w w:val="125"/>
          <w:sz w:val="16"/>
        </w:rPr>
        <w:t>(</w:t>
      </w:r>
      <w:r>
        <w:rPr>
          <w:w w:val="125"/>
          <w:sz w:val="16"/>
          <w:vertAlign w:val="superscript"/>
        </w:rPr>
        <w:t>4)</w:t>
      </w:r>
      <w:r>
        <w:rPr>
          <w:w w:val="125"/>
          <w:sz w:val="16"/>
        </w:rPr>
        <w:t xml:space="preserve"> . </w:t>
      </w:r>
      <w:proofErr w:type="spellStart"/>
      <w:r>
        <w:rPr>
          <w:w w:val="125"/>
          <w:sz w:val="16"/>
        </w:rPr>
        <w:t>Niniejszy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wyrok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stanie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się</w:t>
      </w:r>
      <w:proofErr w:type="spellEnd"/>
      <w:r>
        <w:rPr>
          <w:w w:val="125"/>
          <w:sz w:val="16"/>
        </w:rPr>
        <w:t xml:space="preserve"> </w:t>
      </w:r>
      <w:proofErr w:type="spellStart"/>
      <w:r w:rsidR="003B79B4">
        <w:rPr>
          <w:w w:val="125"/>
          <w:sz w:val="16"/>
        </w:rPr>
        <w:t>ostateczny</w:t>
      </w:r>
      <w:proofErr w:type="spellEnd"/>
      <w:r w:rsidR="003B79B4">
        <w:rPr>
          <w:w w:val="125"/>
          <w:sz w:val="16"/>
        </w:rPr>
        <w:t xml:space="preserve"> </w:t>
      </w:r>
      <w:r>
        <w:rPr>
          <w:w w:val="125"/>
          <w:sz w:val="16"/>
        </w:rPr>
        <w:t xml:space="preserve">w </w:t>
      </w:r>
      <w:proofErr w:type="spellStart"/>
      <w:r>
        <w:rPr>
          <w:w w:val="125"/>
          <w:sz w:val="16"/>
        </w:rPr>
        <w:t>okolicznościach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określonych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w art</w:t>
      </w:r>
      <w:proofErr w:type="spellEnd"/>
      <w:r>
        <w:rPr>
          <w:w w:val="125"/>
          <w:sz w:val="16"/>
        </w:rPr>
        <w:t>. 44 § 2 (</w:t>
      </w:r>
      <w:proofErr w:type="spellStart"/>
      <w:r>
        <w:rPr>
          <w:w w:val="125"/>
          <w:sz w:val="16"/>
        </w:rPr>
        <w:t>wyroki</w:t>
      </w:r>
      <w:proofErr w:type="spellEnd"/>
      <w:r>
        <w:rPr>
          <w:w w:val="125"/>
          <w:sz w:val="16"/>
        </w:rPr>
        <w:t xml:space="preserve"> </w:t>
      </w:r>
      <w:proofErr w:type="spellStart"/>
      <w:r w:rsidR="003B79B4">
        <w:rPr>
          <w:w w:val="125"/>
          <w:sz w:val="16"/>
        </w:rPr>
        <w:t>ostateczne</w:t>
      </w:r>
      <w:proofErr w:type="spellEnd"/>
      <w:r>
        <w:rPr>
          <w:w w:val="125"/>
          <w:sz w:val="16"/>
        </w:rPr>
        <w:t xml:space="preserve">) </w:t>
      </w:r>
      <w:hyperlink r:id="rId48">
        <w:proofErr w:type="spellStart"/>
        <w:r w:rsidR="0039779E">
          <w:rPr>
            <w:color w:val="0071BB"/>
            <w:w w:val="125"/>
            <w:sz w:val="16"/>
            <w:u w:val="single" w:color="0071BB"/>
          </w:rPr>
          <w:t>Europejskiej</w:t>
        </w:r>
        <w:proofErr w:type="spellEnd"/>
        <w:r w:rsidR="0039779E">
          <w:rPr>
            <w:color w:val="0071BB"/>
            <w:w w:val="125"/>
            <w:sz w:val="16"/>
            <w:u w:val="single" w:color="0071BB"/>
          </w:rPr>
          <w:t xml:space="preserve"> </w:t>
        </w:r>
        <w:proofErr w:type="spellStart"/>
        <w:r w:rsidR="009B5FFA">
          <w:rPr>
            <w:color w:val="0071BB"/>
            <w:w w:val="125"/>
            <w:sz w:val="16"/>
            <w:u w:val="single" w:color="0071BB"/>
          </w:rPr>
          <w:t>Konwencji</w:t>
        </w:r>
        <w:proofErr w:type="spellEnd"/>
        <w:r w:rsidR="009B5FFA">
          <w:rPr>
            <w:color w:val="0071BB"/>
            <w:w w:val="125"/>
            <w:sz w:val="16"/>
            <w:u w:val="single" w:color="0071BB"/>
          </w:rPr>
          <w:t xml:space="preserve"> </w:t>
        </w:r>
        <w:proofErr w:type="spellStart"/>
        <w:r w:rsidR="009B5FFA">
          <w:rPr>
            <w:color w:val="0071BB"/>
            <w:w w:val="125"/>
            <w:sz w:val="16"/>
            <w:u w:val="single" w:color="0071BB"/>
          </w:rPr>
          <w:t>Praw</w:t>
        </w:r>
        <w:proofErr w:type="spellEnd"/>
        <w:r w:rsidR="009B5FFA">
          <w:rPr>
            <w:color w:val="0071BB"/>
            <w:w w:val="125"/>
            <w:sz w:val="16"/>
            <w:u w:val="single" w:color="0071BB"/>
          </w:rPr>
          <w:t xml:space="preserve"> C</w:t>
        </w:r>
        <w:r w:rsidR="0039779E">
          <w:rPr>
            <w:color w:val="0071BB"/>
            <w:w w:val="125"/>
            <w:sz w:val="16"/>
            <w:u w:val="single" w:color="0071BB"/>
          </w:rPr>
          <w:t>złowieka</w:t>
        </w:r>
      </w:hyperlink>
      <w:r>
        <w:rPr>
          <w:w w:val="125"/>
          <w:sz w:val="16"/>
        </w:rPr>
        <w:t>.</w:t>
      </w:r>
    </w:p>
    <w:p w14:paraId="1A9648C3" w14:textId="77777777" w:rsidR="0039779E" w:rsidRDefault="0039779E">
      <w:pPr>
        <w:rPr>
          <w:sz w:val="16"/>
        </w:rPr>
        <w:sectPr w:rsidR="0039779E">
          <w:pgSz w:w="11910" w:h="16840"/>
          <w:pgMar w:top="1460" w:right="708" w:bottom="680" w:left="566" w:header="730" w:footer="497" w:gutter="0"/>
          <w:cols w:space="708"/>
        </w:sectPr>
      </w:pPr>
    </w:p>
    <w:p w14:paraId="1272227B" w14:textId="1328BADF" w:rsidR="0039779E" w:rsidRDefault="00F712A0">
      <w:pPr>
        <w:pStyle w:val="Tekstpodstawowy"/>
        <w:spacing w:before="240"/>
        <w:ind w:right="729"/>
      </w:pPr>
      <w:proofErr w:type="spellStart"/>
      <w:r>
        <w:rPr>
          <w:color w:val="0071BB"/>
          <w:w w:val="120"/>
        </w:rPr>
        <w:lastRenderedPageBreak/>
        <w:t>uwzględniono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uczuć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jakie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żywić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wobec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rodziny</w:t>
      </w:r>
      <w:proofErr w:type="spellEnd"/>
      <w:r>
        <w:rPr>
          <w:color w:val="0071BB"/>
          <w:w w:val="120"/>
        </w:rPr>
        <w:t>.</w:t>
      </w:r>
    </w:p>
    <w:p w14:paraId="3FA180A8" w14:textId="77777777" w:rsidR="0039779E" w:rsidRDefault="0039779E">
      <w:pPr>
        <w:pStyle w:val="Nagwek2"/>
        <w:spacing w:before="119"/>
        <w:ind w:left="873"/>
        <w:rPr>
          <w:u w:val="none"/>
        </w:rPr>
      </w:pPr>
      <w:hyperlink r:id="rId49">
        <w:r>
          <w:rPr>
            <w:color w:val="0071BB"/>
            <w:w w:val="135"/>
            <w:u w:color="0071BB"/>
          </w:rPr>
          <w:t xml:space="preserve">W.W.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Polsce</w:t>
        </w:r>
        <w:proofErr w:type="spellEnd"/>
        <w:r>
          <w:rPr>
            <w:color w:val="0071BB"/>
            <w:w w:val="135"/>
            <w:u w:color="0071BB"/>
          </w:rPr>
          <w:t xml:space="preserve"> (nr</w:t>
        </w:r>
        <w:r>
          <w:rPr>
            <w:color w:val="0071BB"/>
            <w:spacing w:val="-2"/>
            <w:w w:val="135"/>
            <w:u w:color="0071BB"/>
          </w:rPr>
          <w:t xml:space="preserve"> 31842/20)</w:t>
        </w:r>
      </w:hyperlink>
    </w:p>
    <w:p w14:paraId="31D17ACF" w14:textId="77777777" w:rsidR="0039779E" w:rsidRDefault="00F712A0">
      <w:pPr>
        <w:spacing w:before="53"/>
        <w:ind w:left="874"/>
        <w:jc w:val="both"/>
        <w:rPr>
          <w:position w:val="6"/>
          <w:sz w:val="12"/>
        </w:rPr>
      </w:pPr>
      <w:r>
        <w:rPr>
          <w:color w:val="808080"/>
          <w:w w:val="125"/>
          <w:sz w:val="18"/>
        </w:rPr>
        <w:t xml:space="preserve">11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spacing w:val="-2"/>
          <w:w w:val="125"/>
          <w:sz w:val="18"/>
        </w:rPr>
        <w:t xml:space="preserve"> 2024</w:t>
      </w:r>
      <w:r>
        <w:rPr>
          <w:color w:val="808080"/>
          <w:spacing w:val="14"/>
          <w:w w:val="125"/>
          <w:sz w:val="18"/>
        </w:rPr>
        <w:t xml:space="preserve"> r</w:t>
      </w:r>
      <w:hyperlink w:anchor="_bookmark4" w:history="1">
        <w:r w:rsidR="0039779E">
          <w:rPr>
            <w:color w:val="808080"/>
            <w:spacing w:val="-2"/>
            <w:w w:val="125"/>
            <w:position w:val="6"/>
            <w:sz w:val="12"/>
          </w:rPr>
          <w:t>.(5)</w:t>
        </w:r>
      </w:hyperlink>
    </w:p>
    <w:p w14:paraId="4C611F81" w14:textId="1C95B609" w:rsidR="0039779E" w:rsidRDefault="003B776A">
      <w:pPr>
        <w:pStyle w:val="Tekstpodstawowy"/>
        <w:spacing w:before="1"/>
        <w:ind w:left="874" w:right="728"/>
      </w:pPr>
      <w:proofErr w:type="spellStart"/>
      <w:r>
        <w:rPr>
          <w:w w:val="120"/>
        </w:rPr>
        <w:t>Skarżącą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kobieta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transpłciowa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momencie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składania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wniosku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Trybunału</w:t>
      </w:r>
      <w:proofErr w:type="spellEnd"/>
      <w:r>
        <w:rPr>
          <w:w w:val="120"/>
        </w:rPr>
        <w:t xml:space="preserve"> w 2020 r.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prawnie </w:t>
      </w:r>
      <w:proofErr w:type="spellStart"/>
      <w:r>
        <w:rPr>
          <w:w w:val="120"/>
        </w:rPr>
        <w:t>uznana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mężczyznę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wniosek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uznanie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rozpatrzony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pozytywnie</w:t>
      </w:r>
      <w:proofErr w:type="spellEnd"/>
      <w:r>
        <w:rPr>
          <w:w w:val="120"/>
        </w:rPr>
        <w:t xml:space="preserve"> w 2023 r. </w:t>
      </w: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zezwolenia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kontynuowanie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przepisanej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terapii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hormonalnej</w:t>
      </w:r>
      <w:proofErr w:type="spellEnd"/>
      <w:r>
        <w:rPr>
          <w:w w:val="120"/>
        </w:rPr>
        <w:t xml:space="preserve"> po </w:t>
      </w:r>
      <w:proofErr w:type="spellStart"/>
      <w:r>
        <w:rPr>
          <w:w w:val="120"/>
        </w:rPr>
        <w:t>przeniesieniu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nowego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zakładu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karnego</w:t>
      </w:r>
      <w:proofErr w:type="spellEnd"/>
      <w:r>
        <w:rPr>
          <w:w w:val="120"/>
        </w:rPr>
        <w:t>.</w:t>
      </w:r>
    </w:p>
    <w:p w14:paraId="45027C91" w14:textId="77777777" w:rsidR="0039779E" w:rsidRDefault="00F712A0">
      <w:pPr>
        <w:pStyle w:val="Tekstpodstawowy"/>
        <w:spacing w:line="237" w:lineRule="auto"/>
        <w:ind w:left="874" w:right="727" w:hanging="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b/>
          <w:color w:val="0071BB"/>
          <w:w w:val="120"/>
        </w:rPr>
        <w:t xml:space="preserve">do </w:t>
      </w:r>
      <w:proofErr w:type="spellStart"/>
      <w:r>
        <w:rPr>
          <w:b/>
          <w:color w:val="0071BB"/>
          <w:w w:val="120"/>
        </w:rPr>
        <w:t>naruszenia</w:t>
      </w:r>
      <w:proofErr w:type="spellEnd"/>
      <w:r>
        <w:rPr>
          <w:b/>
          <w:color w:val="0071BB"/>
          <w:w w:val="120"/>
        </w:rPr>
        <w:t xml:space="preserve"> art. 8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poszanowania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prywatnego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sprawiedliwej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równowagi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konkurującymi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interesami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ochroną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zdrowia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interesem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kontynuowaniu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terapii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hormonalnej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związanej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zmianą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Wynikając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powyższego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wziął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wrażliwość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transseksualnej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przebywającej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więzieniu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przechodzącej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procedurę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płci</w:t>
      </w:r>
      <w:proofErr w:type="spellEnd"/>
      <w:r>
        <w:rPr>
          <w:color w:val="0071BB"/>
          <w:w w:val="120"/>
        </w:rPr>
        <w:t xml:space="preserve">, co </w:t>
      </w:r>
      <w:proofErr w:type="spellStart"/>
      <w:r>
        <w:rPr>
          <w:color w:val="0071BB"/>
          <w:w w:val="120"/>
        </w:rPr>
        <w:t>wymagało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zwiększonej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ochrony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strony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spacing w:val="-2"/>
          <w:w w:val="120"/>
        </w:rPr>
        <w:t>władz</w:t>
      </w:r>
      <w:proofErr w:type="spellEnd"/>
      <w:r>
        <w:rPr>
          <w:color w:val="0071BB"/>
          <w:spacing w:val="-2"/>
          <w:w w:val="120"/>
        </w:rPr>
        <w:t>.</w:t>
      </w:r>
    </w:p>
    <w:p w14:paraId="0B71A550" w14:textId="36753383" w:rsidR="0039779E" w:rsidRDefault="00F712A0">
      <w:pPr>
        <w:spacing w:before="129"/>
        <w:ind w:left="874"/>
        <w:rPr>
          <w:sz w:val="20"/>
        </w:rPr>
      </w:pPr>
      <w:r>
        <w:rPr>
          <w:i/>
          <w:color w:val="404040"/>
          <w:w w:val="125"/>
          <w:sz w:val="20"/>
        </w:rPr>
        <w:t xml:space="preserve">Inne </w:t>
      </w:r>
      <w:proofErr w:type="spellStart"/>
      <w:r>
        <w:rPr>
          <w:i/>
          <w:color w:val="404040"/>
          <w:w w:val="125"/>
          <w:sz w:val="20"/>
        </w:rPr>
        <w:t>istotne</w:t>
      </w:r>
      <w:proofErr w:type="spellEnd"/>
      <w:r>
        <w:rPr>
          <w:i/>
          <w:color w:val="404040"/>
          <w:w w:val="125"/>
          <w:sz w:val="20"/>
        </w:rPr>
        <w:t xml:space="preserve"> </w:t>
      </w:r>
      <w:proofErr w:type="spellStart"/>
      <w:r>
        <w:rPr>
          <w:i/>
          <w:color w:val="404040"/>
          <w:w w:val="125"/>
          <w:sz w:val="20"/>
        </w:rPr>
        <w:t>wyroki</w:t>
      </w:r>
      <w:proofErr w:type="spellEnd"/>
      <w:r>
        <w:rPr>
          <w:i/>
          <w:color w:val="404040"/>
          <w:w w:val="125"/>
          <w:sz w:val="20"/>
        </w:rPr>
        <w:t xml:space="preserve"> </w:t>
      </w:r>
      <w:proofErr w:type="spellStart"/>
      <w:r>
        <w:rPr>
          <w:i/>
          <w:color w:val="404040"/>
          <w:w w:val="125"/>
          <w:sz w:val="20"/>
        </w:rPr>
        <w:t>i</w:t>
      </w:r>
      <w:proofErr w:type="spellEnd"/>
      <w:r>
        <w:rPr>
          <w:i/>
          <w:color w:val="404040"/>
          <w:w w:val="125"/>
          <w:sz w:val="20"/>
        </w:rPr>
        <w:t xml:space="preserve"> </w:t>
      </w:r>
      <w:proofErr w:type="spellStart"/>
      <w:r w:rsidR="003B776A">
        <w:rPr>
          <w:i/>
          <w:color w:val="404040"/>
          <w:w w:val="125"/>
          <w:sz w:val="20"/>
        </w:rPr>
        <w:t>decyzje</w:t>
      </w:r>
      <w:proofErr w:type="spellEnd"/>
      <w:r w:rsidR="003B776A">
        <w:rPr>
          <w:i/>
          <w:color w:val="404040"/>
          <w:w w:val="125"/>
          <w:sz w:val="20"/>
        </w:rPr>
        <w:t xml:space="preserve"> </w:t>
      </w:r>
      <w:proofErr w:type="spellStart"/>
      <w:r>
        <w:rPr>
          <w:i/>
          <w:color w:val="404040"/>
          <w:spacing w:val="-2"/>
          <w:w w:val="125"/>
          <w:sz w:val="20"/>
        </w:rPr>
        <w:t>Trybunału</w:t>
      </w:r>
      <w:proofErr w:type="spellEnd"/>
      <w:r>
        <w:rPr>
          <w:color w:val="404040"/>
          <w:spacing w:val="-2"/>
          <w:w w:val="125"/>
          <w:sz w:val="20"/>
        </w:rPr>
        <w:t>:</w:t>
      </w:r>
    </w:p>
    <w:p w14:paraId="21DFB15A" w14:textId="2129F10E" w:rsidR="0039779E" w:rsidRDefault="0039779E">
      <w:pPr>
        <w:pStyle w:val="Nagwek2"/>
        <w:spacing w:before="118"/>
        <w:jc w:val="left"/>
        <w:rPr>
          <w:u w:val="none"/>
        </w:rPr>
      </w:pPr>
      <w:hyperlink r:id="rId50">
        <w:r>
          <w:rPr>
            <w:color w:val="0071BB"/>
            <w:w w:val="130"/>
            <w:u w:color="0071BB"/>
          </w:rPr>
          <w:t xml:space="preserve">X </w:t>
        </w:r>
        <w:proofErr w:type="spellStart"/>
        <w:r>
          <w:rPr>
            <w:color w:val="0071BB"/>
            <w:w w:val="130"/>
            <w:u w:color="0071BB"/>
          </w:rPr>
          <w:t>przeciwko</w:t>
        </w:r>
        <w:proofErr w:type="spellEnd"/>
        <w:r>
          <w:rPr>
            <w:color w:val="0071BB"/>
            <w:w w:val="130"/>
            <w:u w:color="0071BB"/>
          </w:rPr>
          <w:t xml:space="preserve"> „</w:t>
        </w:r>
        <w:proofErr w:type="spellStart"/>
        <w:r w:rsidR="003B776A">
          <w:rPr>
            <w:color w:val="0071BB"/>
            <w:w w:val="130"/>
            <w:u w:color="0071BB"/>
          </w:rPr>
          <w:t>Byłej</w:t>
        </w:r>
        <w:proofErr w:type="spellEnd"/>
        <w:r w:rsidR="003B776A">
          <w:rPr>
            <w:color w:val="0071BB"/>
            <w:w w:val="130"/>
            <w:u w:color="0071BB"/>
          </w:rPr>
          <w:t xml:space="preserve"> </w:t>
        </w:r>
        <w:proofErr w:type="spellStart"/>
        <w:r w:rsidR="003B776A">
          <w:rPr>
            <w:color w:val="0071BB"/>
            <w:w w:val="130"/>
            <w:u w:color="0071BB"/>
          </w:rPr>
          <w:t>Jugosłowiańskiej</w:t>
        </w:r>
        <w:proofErr w:type="spellEnd"/>
        <w:r w:rsidR="003B776A">
          <w:rPr>
            <w:color w:val="0071BB"/>
            <w:w w:val="130"/>
            <w:u w:color="0071BB"/>
          </w:rPr>
          <w:t xml:space="preserve"> </w:t>
        </w:r>
        <w:proofErr w:type="spellStart"/>
        <w:r w:rsidR="003B776A">
          <w:rPr>
            <w:color w:val="0071BB"/>
            <w:w w:val="130"/>
            <w:u w:color="0071BB"/>
          </w:rPr>
          <w:t>Republice</w:t>
        </w:r>
        <w:proofErr w:type="spellEnd"/>
        <w:r w:rsidR="003B776A">
          <w:rPr>
            <w:color w:val="0071BB"/>
            <w:w w:val="130"/>
            <w:u w:color="0071BB"/>
          </w:rPr>
          <w:t xml:space="preserve"> </w:t>
        </w:r>
        <w:proofErr w:type="spellStart"/>
        <w:r>
          <w:rPr>
            <w:color w:val="0071BB"/>
            <w:w w:val="130"/>
            <w:u w:color="0071BB"/>
          </w:rPr>
          <w:t>Macedonii</w:t>
        </w:r>
        <w:proofErr w:type="spellEnd"/>
        <w:r>
          <w:rPr>
            <w:color w:val="0071BB"/>
            <w:w w:val="130"/>
            <w:u w:color="0071BB"/>
          </w:rPr>
          <w:t>” (nr</w:t>
        </w:r>
        <w:r>
          <w:rPr>
            <w:color w:val="0071BB"/>
            <w:spacing w:val="-2"/>
            <w:w w:val="130"/>
            <w:u w:color="0071BB"/>
          </w:rPr>
          <w:t xml:space="preserve"> 29683/16)</w:t>
        </w:r>
      </w:hyperlink>
    </w:p>
    <w:p w14:paraId="1DA38185" w14:textId="77777777" w:rsidR="0039779E" w:rsidRDefault="00F712A0">
      <w:pPr>
        <w:spacing w:before="55"/>
        <w:ind w:left="874"/>
        <w:rPr>
          <w:sz w:val="18"/>
        </w:rPr>
      </w:pPr>
      <w:r>
        <w:rPr>
          <w:color w:val="808080"/>
          <w:w w:val="125"/>
          <w:sz w:val="18"/>
        </w:rPr>
        <w:t xml:space="preserve">17 </w:t>
      </w:r>
      <w:proofErr w:type="spellStart"/>
      <w:r>
        <w:rPr>
          <w:color w:val="808080"/>
          <w:w w:val="125"/>
          <w:sz w:val="18"/>
        </w:rPr>
        <w:t>stycznia</w:t>
      </w:r>
      <w:proofErr w:type="spellEnd"/>
      <w:r>
        <w:rPr>
          <w:color w:val="808080"/>
          <w:spacing w:val="-4"/>
          <w:w w:val="125"/>
          <w:sz w:val="18"/>
        </w:rPr>
        <w:t xml:space="preserve"> 2019 r.</w:t>
      </w:r>
    </w:p>
    <w:p w14:paraId="24AC8B28" w14:textId="77777777" w:rsidR="0039779E" w:rsidRDefault="0039779E">
      <w:pPr>
        <w:pStyle w:val="Nagwek2"/>
        <w:spacing w:before="122"/>
        <w:jc w:val="left"/>
        <w:rPr>
          <w:u w:val="none"/>
        </w:rPr>
      </w:pPr>
      <w:hyperlink r:id="rId51">
        <w:r>
          <w:rPr>
            <w:color w:val="0071BB"/>
            <w:w w:val="140"/>
            <w:u w:color="0071BB"/>
          </w:rPr>
          <w:t xml:space="preserve">P.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Ukrainie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40296/16)</w:t>
        </w:r>
      </w:hyperlink>
    </w:p>
    <w:p w14:paraId="0A634E15" w14:textId="77777777" w:rsidR="0039779E" w:rsidRDefault="00F712A0">
      <w:pPr>
        <w:spacing w:before="58"/>
        <w:ind w:left="874"/>
        <w:rPr>
          <w:sz w:val="18"/>
        </w:rPr>
      </w:pPr>
      <w:r>
        <w:rPr>
          <w:color w:val="808080"/>
          <w:w w:val="125"/>
          <w:sz w:val="18"/>
        </w:rPr>
        <w:t xml:space="preserve">11 </w:t>
      </w:r>
      <w:proofErr w:type="spellStart"/>
      <w:r>
        <w:rPr>
          <w:color w:val="808080"/>
          <w:w w:val="125"/>
          <w:sz w:val="18"/>
        </w:rPr>
        <w:t>czerwca</w:t>
      </w:r>
      <w:proofErr w:type="spellEnd"/>
      <w:r>
        <w:rPr>
          <w:color w:val="808080"/>
          <w:w w:val="125"/>
          <w:sz w:val="18"/>
        </w:rPr>
        <w:t xml:space="preserve"> 2019 r.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w </w:t>
      </w:r>
      <w:proofErr w:type="spellStart"/>
      <w:r>
        <w:rPr>
          <w:color w:val="808080"/>
          <w:w w:val="125"/>
          <w:sz w:val="18"/>
        </w:rPr>
        <w:t>sprawie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1EB73939" w14:textId="77777777" w:rsidR="0039779E" w:rsidRDefault="0039779E">
      <w:pPr>
        <w:pStyle w:val="Nagwek2"/>
        <w:spacing w:before="121"/>
        <w:jc w:val="left"/>
        <w:rPr>
          <w:u w:val="none"/>
        </w:rPr>
      </w:pPr>
      <w:hyperlink r:id="rId52">
        <w:r>
          <w:rPr>
            <w:color w:val="0071BB"/>
            <w:w w:val="135"/>
            <w:u w:color="0071BB"/>
          </w:rPr>
          <w:t xml:space="preserve">Solmaz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u w:color="0071BB"/>
          </w:rPr>
          <w:t>Turcji</w:t>
        </w:r>
        <w:proofErr w:type="spellEnd"/>
      </w:hyperlink>
    </w:p>
    <w:p w14:paraId="761AFF05" w14:textId="77777777" w:rsidR="0039779E" w:rsidRDefault="00F712A0">
      <w:pPr>
        <w:spacing w:before="56"/>
        <w:ind w:left="874"/>
        <w:rPr>
          <w:sz w:val="18"/>
        </w:rPr>
      </w:pPr>
      <w:r>
        <w:rPr>
          <w:color w:val="808080"/>
          <w:w w:val="125"/>
          <w:sz w:val="18"/>
        </w:rPr>
        <w:t xml:space="preserve">24 </w:t>
      </w:r>
      <w:proofErr w:type="spellStart"/>
      <w:r>
        <w:rPr>
          <w:color w:val="808080"/>
          <w:w w:val="125"/>
          <w:sz w:val="18"/>
        </w:rPr>
        <w:t>września</w:t>
      </w:r>
      <w:proofErr w:type="spellEnd"/>
      <w:r>
        <w:rPr>
          <w:color w:val="808080"/>
          <w:w w:val="125"/>
          <w:sz w:val="18"/>
        </w:rPr>
        <w:t xml:space="preserve"> 2019 r. (Komitet)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w </w:t>
      </w:r>
      <w:proofErr w:type="spellStart"/>
      <w:r>
        <w:rPr>
          <w:color w:val="808080"/>
          <w:w w:val="125"/>
          <w:sz w:val="18"/>
        </w:rPr>
        <w:t>sprawie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04B64F51" w14:textId="77777777" w:rsidR="0039779E" w:rsidRDefault="0039779E">
      <w:pPr>
        <w:pStyle w:val="Nagwek2"/>
        <w:spacing w:before="121"/>
        <w:jc w:val="left"/>
        <w:rPr>
          <w:u w:val="none"/>
        </w:rPr>
      </w:pPr>
      <w:hyperlink r:id="rId53">
        <w:r>
          <w:rPr>
            <w:color w:val="0071BB"/>
            <w:w w:val="140"/>
            <w:u w:color="0071BB"/>
          </w:rPr>
          <w:t xml:space="preserve">L.B. </w:t>
        </w:r>
        <w:proofErr w:type="spellStart"/>
        <w:r>
          <w:rPr>
            <w:color w:val="0071BB"/>
            <w:w w:val="140"/>
            <w:u w:color="0071BB"/>
          </w:rPr>
          <w:t>przeciwko</w:t>
        </w:r>
        <w:proofErr w:type="spellEnd"/>
        <w:r>
          <w:rPr>
            <w:color w:val="0071BB"/>
            <w:w w:val="140"/>
            <w:u w:color="0071BB"/>
          </w:rPr>
          <w:t xml:space="preserve"> </w:t>
        </w:r>
        <w:proofErr w:type="spellStart"/>
        <w:r>
          <w:rPr>
            <w:color w:val="0071BB"/>
            <w:w w:val="140"/>
            <w:u w:color="0071BB"/>
          </w:rPr>
          <w:t>Francji</w:t>
        </w:r>
        <w:proofErr w:type="spellEnd"/>
        <w:r>
          <w:rPr>
            <w:color w:val="0071BB"/>
            <w:w w:val="140"/>
            <w:u w:color="0071BB"/>
          </w:rPr>
          <w:t xml:space="preserve"> (nr</w:t>
        </w:r>
        <w:r>
          <w:rPr>
            <w:color w:val="0071BB"/>
            <w:spacing w:val="-2"/>
            <w:w w:val="140"/>
            <w:u w:color="0071BB"/>
          </w:rPr>
          <w:t xml:space="preserve"> 67839/17)</w:t>
        </w:r>
      </w:hyperlink>
    </w:p>
    <w:p w14:paraId="610D8A80" w14:textId="77777777" w:rsidR="0039779E" w:rsidRDefault="00F712A0">
      <w:pPr>
        <w:spacing w:before="58"/>
        <w:ind w:left="874"/>
        <w:rPr>
          <w:sz w:val="18"/>
        </w:rPr>
      </w:pPr>
      <w:r>
        <w:rPr>
          <w:color w:val="808080"/>
          <w:w w:val="125"/>
          <w:sz w:val="18"/>
        </w:rPr>
        <w:t xml:space="preserve">28 </w:t>
      </w:r>
      <w:proofErr w:type="spellStart"/>
      <w:r>
        <w:rPr>
          <w:color w:val="808080"/>
          <w:w w:val="125"/>
          <w:sz w:val="18"/>
        </w:rPr>
        <w:t>września</w:t>
      </w:r>
      <w:proofErr w:type="spellEnd"/>
      <w:r>
        <w:rPr>
          <w:color w:val="808080"/>
          <w:w w:val="125"/>
          <w:sz w:val="18"/>
        </w:rPr>
        <w:t xml:space="preserve"> 2023 r. (Komitet)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 w </w:t>
      </w:r>
      <w:proofErr w:type="spellStart"/>
      <w:r>
        <w:rPr>
          <w:color w:val="808080"/>
          <w:w w:val="125"/>
          <w:sz w:val="18"/>
        </w:rPr>
        <w:t>sprawie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spacing w:val="-2"/>
          <w:w w:val="125"/>
          <w:sz w:val="18"/>
        </w:rPr>
        <w:t>dopuszczalności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5F87338E" w14:textId="61117BCD" w:rsidR="0039779E" w:rsidRDefault="0039779E">
      <w:pPr>
        <w:pStyle w:val="Nagwek2"/>
        <w:spacing w:before="121"/>
        <w:jc w:val="left"/>
        <w:rPr>
          <w:u w:val="none"/>
        </w:rPr>
      </w:pPr>
      <w:hyperlink r:id="rId54">
        <w:r>
          <w:rPr>
            <w:color w:val="0071BB"/>
            <w:w w:val="135"/>
            <w:u w:color="0071BB"/>
          </w:rPr>
          <w:t xml:space="preserve">Á.C.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r w:rsidR="003A1FC8">
          <w:rPr>
            <w:color w:val="0071BB"/>
            <w:w w:val="135"/>
            <w:u w:color="0071BB"/>
          </w:rPr>
          <w:t>Inni</w:t>
        </w:r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przeciwko</w:t>
        </w:r>
        <w:proofErr w:type="spellEnd"/>
        <w:r>
          <w:rPr>
            <w:color w:val="0071BB"/>
            <w:w w:val="135"/>
            <w:u w:color="0071BB"/>
          </w:rPr>
          <w:t xml:space="preserve"> </w:t>
        </w:r>
        <w:proofErr w:type="spellStart"/>
        <w:r>
          <w:rPr>
            <w:color w:val="0071BB"/>
            <w:w w:val="135"/>
            <w:u w:color="0071BB"/>
          </w:rPr>
          <w:t>Węgrom</w:t>
        </w:r>
        <w:proofErr w:type="spellEnd"/>
        <w:r>
          <w:rPr>
            <w:color w:val="0071BB"/>
            <w:w w:val="135"/>
            <w:u w:color="0071BB"/>
          </w:rPr>
          <w:t xml:space="preserve"> (nr 66078/17 </w:t>
        </w:r>
        <w:proofErr w:type="spellStart"/>
        <w:r>
          <w:rPr>
            <w:color w:val="0071BB"/>
            <w:w w:val="135"/>
            <w:u w:color="0071BB"/>
          </w:rPr>
          <w:t>i</w:t>
        </w:r>
        <w:proofErr w:type="spellEnd"/>
        <w:r>
          <w:rPr>
            <w:color w:val="0071BB"/>
            <w:spacing w:val="-2"/>
            <w:w w:val="135"/>
            <w:u w:color="0071BB"/>
          </w:rPr>
          <w:t xml:space="preserve"> 12918/19)</w:t>
        </w:r>
      </w:hyperlink>
    </w:p>
    <w:p w14:paraId="60D1AD5E" w14:textId="76C75FE1" w:rsidR="0039779E" w:rsidRDefault="00F712A0">
      <w:pPr>
        <w:spacing w:before="56"/>
        <w:ind w:left="874"/>
        <w:rPr>
          <w:sz w:val="18"/>
        </w:rPr>
      </w:pPr>
      <w:r>
        <w:rPr>
          <w:color w:val="808080"/>
          <w:w w:val="125"/>
          <w:sz w:val="18"/>
        </w:rPr>
        <w:t xml:space="preserve">13 </w:t>
      </w:r>
      <w:proofErr w:type="spellStart"/>
      <w:r>
        <w:rPr>
          <w:color w:val="808080"/>
          <w:w w:val="125"/>
          <w:sz w:val="18"/>
        </w:rPr>
        <w:t>lutego</w:t>
      </w:r>
      <w:proofErr w:type="spellEnd"/>
      <w:r>
        <w:rPr>
          <w:color w:val="808080"/>
          <w:w w:val="125"/>
          <w:sz w:val="18"/>
        </w:rPr>
        <w:t xml:space="preserve"> 2024 r. (Komitet) (</w:t>
      </w:r>
      <w:proofErr w:type="spellStart"/>
      <w:r>
        <w:rPr>
          <w:color w:val="808080"/>
          <w:w w:val="125"/>
          <w:sz w:val="18"/>
        </w:rPr>
        <w:t>decyzja</w:t>
      </w:r>
      <w:proofErr w:type="spellEnd"/>
      <w:r>
        <w:rPr>
          <w:color w:val="808080"/>
          <w:w w:val="125"/>
          <w:sz w:val="18"/>
        </w:rPr>
        <w:t xml:space="preserve">; </w:t>
      </w:r>
      <w:proofErr w:type="spellStart"/>
      <w:r>
        <w:rPr>
          <w:color w:val="808080"/>
          <w:w w:val="125"/>
          <w:sz w:val="18"/>
        </w:rPr>
        <w:t>częściowo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 w:rsidR="003A1FC8">
        <w:rPr>
          <w:color w:val="808080"/>
          <w:w w:val="125"/>
          <w:sz w:val="18"/>
        </w:rPr>
        <w:t>skreślone</w:t>
      </w:r>
      <w:proofErr w:type="spellEnd"/>
      <w:r w:rsidR="003A1FC8">
        <w:rPr>
          <w:color w:val="808080"/>
          <w:w w:val="125"/>
          <w:sz w:val="18"/>
        </w:rPr>
        <w:t xml:space="preserve"> </w:t>
      </w:r>
      <w:r>
        <w:rPr>
          <w:color w:val="808080"/>
          <w:w w:val="125"/>
          <w:sz w:val="18"/>
        </w:rPr>
        <w:t xml:space="preserve">z </w:t>
      </w:r>
      <w:proofErr w:type="spellStart"/>
      <w:r>
        <w:rPr>
          <w:color w:val="808080"/>
          <w:w w:val="125"/>
          <w:sz w:val="18"/>
        </w:rPr>
        <w:t>listy</w:t>
      </w:r>
      <w:proofErr w:type="spellEnd"/>
      <w:r>
        <w:rPr>
          <w:color w:val="808080"/>
          <w:w w:val="125"/>
          <w:sz w:val="18"/>
        </w:rPr>
        <w:t>/</w:t>
      </w:r>
      <w:proofErr w:type="spellStart"/>
      <w:r>
        <w:rPr>
          <w:color w:val="808080"/>
          <w:w w:val="125"/>
          <w:sz w:val="18"/>
        </w:rPr>
        <w:t>częściowo</w:t>
      </w:r>
      <w:proofErr w:type="spellEnd"/>
      <w:r>
        <w:rPr>
          <w:color w:val="808080"/>
          <w:w w:val="125"/>
          <w:sz w:val="18"/>
        </w:rPr>
        <w:t xml:space="preserve"> </w:t>
      </w:r>
      <w:proofErr w:type="spellStart"/>
      <w:r>
        <w:rPr>
          <w:color w:val="808080"/>
          <w:spacing w:val="-2"/>
          <w:w w:val="125"/>
          <w:sz w:val="18"/>
        </w:rPr>
        <w:t>niedopuszczalne</w:t>
      </w:r>
      <w:proofErr w:type="spellEnd"/>
      <w:r>
        <w:rPr>
          <w:color w:val="808080"/>
          <w:spacing w:val="-2"/>
          <w:w w:val="125"/>
          <w:sz w:val="18"/>
        </w:rPr>
        <w:t>)</w:t>
      </w:r>
    </w:p>
    <w:p w14:paraId="66F4E6BB" w14:textId="77777777" w:rsidR="0039779E" w:rsidRDefault="0039779E">
      <w:pPr>
        <w:pStyle w:val="Tekstpodstawowy"/>
        <w:spacing w:before="27"/>
        <w:ind w:left="0"/>
        <w:jc w:val="left"/>
        <w:rPr>
          <w:sz w:val="18"/>
        </w:rPr>
      </w:pPr>
    </w:p>
    <w:p w14:paraId="5C44903D" w14:textId="77777777" w:rsidR="0039779E" w:rsidRDefault="00F712A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0082642" wp14:editId="03B09DCD">
                <wp:simplePos x="0" y="0"/>
                <wp:positionH relativeFrom="page">
                  <wp:posOffset>896111</wp:posOffset>
                </wp:positionH>
                <wp:positionV relativeFrom="paragraph">
                  <wp:posOffset>256235</wp:posOffset>
                </wp:positionV>
                <wp:extent cx="5768340" cy="18415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58E2D" id="Graphic 20" o:spid="_x0000_s1026" style="position:absolute;margin-left:70.55pt;margin-top:20.2pt;width:454.2pt;height:1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5"/>
          <w:sz w:val="29"/>
        </w:rPr>
        <w:t>Teksty</w:t>
      </w:r>
      <w:proofErr w:type="spellEnd"/>
      <w:r>
        <w:rPr>
          <w:color w:val="0071BB"/>
          <w:w w:val="125"/>
          <w:sz w:val="29"/>
        </w:rPr>
        <w:t xml:space="preserve"> </w:t>
      </w:r>
      <w:proofErr w:type="spellStart"/>
      <w:r>
        <w:rPr>
          <w:color w:val="0071BB"/>
          <w:w w:val="125"/>
          <w:sz w:val="29"/>
        </w:rPr>
        <w:t>i</w:t>
      </w:r>
      <w:proofErr w:type="spellEnd"/>
      <w:r>
        <w:rPr>
          <w:color w:val="0071BB"/>
          <w:w w:val="125"/>
          <w:sz w:val="29"/>
        </w:rPr>
        <w:t xml:space="preserve"> </w:t>
      </w:r>
      <w:proofErr w:type="spellStart"/>
      <w:r>
        <w:rPr>
          <w:color w:val="0071BB"/>
          <w:spacing w:val="-2"/>
          <w:w w:val="125"/>
          <w:sz w:val="29"/>
        </w:rPr>
        <w:t>dokumenty</w:t>
      </w:r>
      <w:proofErr w:type="spellEnd"/>
    </w:p>
    <w:p w14:paraId="4D5E5B1C" w14:textId="77777777" w:rsidR="0039779E" w:rsidRDefault="0039779E">
      <w:pPr>
        <w:pStyle w:val="Tekstpodstawowy"/>
        <w:spacing w:before="9"/>
        <w:ind w:left="0"/>
        <w:jc w:val="left"/>
      </w:pPr>
    </w:p>
    <w:p w14:paraId="37DA310A" w14:textId="77777777" w:rsidR="0039779E" w:rsidRDefault="00F712A0">
      <w:pPr>
        <w:pStyle w:val="Tekstpodstawowy"/>
        <w:ind w:left="874"/>
        <w:jc w:val="left"/>
      </w:pPr>
      <w:proofErr w:type="spellStart"/>
      <w:r>
        <w:rPr>
          <w:w w:val="125"/>
        </w:rPr>
        <w:t>Zobacz</w:t>
      </w:r>
      <w:proofErr w:type="spellEnd"/>
      <w:r>
        <w:rPr>
          <w:w w:val="125"/>
        </w:rPr>
        <w:t xml:space="preserve"> w </w:t>
      </w:r>
      <w:proofErr w:type="spellStart"/>
      <w:r>
        <w:rPr>
          <w:spacing w:val="-2"/>
          <w:w w:val="125"/>
        </w:rPr>
        <w:t>szczególności</w:t>
      </w:r>
      <w:proofErr w:type="spellEnd"/>
      <w:r>
        <w:rPr>
          <w:spacing w:val="-2"/>
          <w:w w:val="125"/>
        </w:rPr>
        <w:t>:</w:t>
      </w:r>
    </w:p>
    <w:p w14:paraId="48982DBD" w14:textId="032BE359" w:rsidR="0039779E" w:rsidRDefault="00F712A0">
      <w:pPr>
        <w:pStyle w:val="Akapitzlist"/>
        <w:numPr>
          <w:ilvl w:val="0"/>
          <w:numId w:val="1"/>
        </w:numPr>
        <w:tabs>
          <w:tab w:val="left" w:pos="1301"/>
        </w:tabs>
        <w:ind w:right="732"/>
        <w:rPr>
          <w:b/>
          <w:sz w:val="20"/>
        </w:rPr>
      </w:pPr>
      <w:proofErr w:type="spellStart"/>
      <w:r>
        <w:rPr>
          <w:w w:val="130"/>
          <w:sz w:val="20"/>
        </w:rPr>
        <w:t>Platforma</w:t>
      </w:r>
      <w:proofErr w:type="spellEnd"/>
      <w:r>
        <w:rPr>
          <w:w w:val="130"/>
          <w:sz w:val="20"/>
        </w:rPr>
        <w:t xml:space="preserve"> </w:t>
      </w:r>
      <w:proofErr w:type="spellStart"/>
      <w:r>
        <w:rPr>
          <w:w w:val="130"/>
          <w:sz w:val="20"/>
        </w:rPr>
        <w:t>wymiany</w:t>
      </w:r>
      <w:proofErr w:type="spellEnd"/>
      <w:r>
        <w:rPr>
          <w:w w:val="130"/>
          <w:sz w:val="20"/>
        </w:rPr>
        <w:t xml:space="preserve"> </w:t>
      </w:r>
      <w:proofErr w:type="spellStart"/>
      <w:r>
        <w:rPr>
          <w:w w:val="130"/>
          <w:sz w:val="20"/>
        </w:rPr>
        <w:t>wiedzy</w:t>
      </w:r>
      <w:proofErr w:type="spellEnd"/>
      <w:r>
        <w:rPr>
          <w:w w:val="130"/>
          <w:sz w:val="20"/>
        </w:rPr>
        <w:t xml:space="preserve"> ECHR (ECHR-KS), </w:t>
      </w:r>
      <w:proofErr w:type="spellStart"/>
      <w:r>
        <w:rPr>
          <w:w w:val="130"/>
          <w:sz w:val="20"/>
        </w:rPr>
        <w:t>temat</w:t>
      </w:r>
      <w:proofErr w:type="spellEnd"/>
      <w:r>
        <w:rPr>
          <w:w w:val="130"/>
          <w:sz w:val="20"/>
        </w:rPr>
        <w:t xml:space="preserve"> </w:t>
      </w:r>
      <w:proofErr w:type="spellStart"/>
      <w:r>
        <w:rPr>
          <w:w w:val="130"/>
          <w:sz w:val="20"/>
        </w:rPr>
        <w:t>przekrojowy</w:t>
      </w:r>
      <w:proofErr w:type="spellEnd"/>
      <w:r>
        <w:rPr>
          <w:w w:val="130"/>
          <w:sz w:val="20"/>
        </w:rPr>
        <w:t xml:space="preserve">, </w:t>
      </w:r>
      <w:hyperlink r:id="rId55">
        <w:r w:rsidR="003A1FC8">
          <w:rPr>
            <w:b/>
            <w:color w:val="0071BB"/>
            <w:w w:val="130"/>
            <w:sz w:val="20"/>
            <w:u w:val="single" w:color="0071BB"/>
          </w:rPr>
          <w:t xml:space="preserve">Prawa </w:t>
        </w:r>
      </w:hyperlink>
      <w:hyperlink r:id="rId56">
        <w:proofErr w:type="spellStart"/>
        <w:r w:rsidR="003A1FC8">
          <w:rPr>
            <w:b/>
            <w:color w:val="0071BB"/>
            <w:w w:val="130"/>
            <w:sz w:val="20"/>
            <w:u w:val="single" w:color="0071BB"/>
          </w:rPr>
          <w:t>Osób</w:t>
        </w:r>
        <w:proofErr w:type="spellEnd"/>
        <w:r w:rsidR="003A1FC8">
          <w:rPr>
            <w:b/>
            <w:color w:val="0071BB"/>
            <w:w w:val="130"/>
            <w:sz w:val="20"/>
            <w:u w:val="single" w:color="0071BB"/>
          </w:rPr>
          <w:t xml:space="preserve"> LGBTI</w:t>
        </w:r>
      </w:hyperlink>
    </w:p>
    <w:p w14:paraId="111F9516" w14:textId="77777777" w:rsidR="0039779E" w:rsidRDefault="00F712A0">
      <w:pPr>
        <w:pStyle w:val="Akapitzlist"/>
        <w:numPr>
          <w:ilvl w:val="0"/>
          <w:numId w:val="1"/>
        </w:numPr>
        <w:tabs>
          <w:tab w:val="left" w:pos="1300"/>
        </w:tabs>
        <w:spacing w:before="119"/>
        <w:ind w:left="1300" w:hanging="285"/>
        <w:rPr>
          <w:b/>
          <w:sz w:val="20"/>
        </w:rPr>
      </w:pPr>
      <w:r>
        <w:rPr>
          <w:w w:val="130"/>
          <w:sz w:val="20"/>
        </w:rPr>
        <w:t xml:space="preserve">Strona </w:t>
      </w:r>
      <w:proofErr w:type="spellStart"/>
      <w:r>
        <w:rPr>
          <w:w w:val="130"/>
          <w:sz w:val="20"/>
        </w:rPr>
        <w:t>internetowa</w:t>
      </w:r>
      <w:proofErr w:type="spellEnd"/>
      <w:r>
        <w:rPr>
          <w:w w:val="130"/>
          <w:sz w:val="20"/>
        </w:rPr>
        <w:t xml:space="preserve"> Rady </w:t>
      </w:r>
      <w:proofErr w:type="spellStart"/>
      <w:r>
        <w:rPr>
          <w:w w:val="130"/>
          <w:sz w:val="20"/>
        </w:rPr>
        <w:t>Europy</w:t>
      </w:r>
      <w:proofErr w:type="spellEnd"/>
      <w:r>
        <w:rPr>
          <w:w w:val="130"/>
          <w:sz w:val="20"/>
        </w:rPr>
        <w:t xml:space="preserve"> </w:t>
      </w:r>
      <w:proofErr w:type="spellStart"/>
      <w:r>
        <w:rPr>
          <w:w w:val="130"/>
          <w:sz w:val="20"/>
        </w:rPr>
        <w:t>poświęcona</w:t>
      </w:r>
      <w:proofErr w:type="spellEnd"/>
      <w:r>
        <w:rPr>
          <w:w w:val="130"/>
          <w:sz w:val="20"/>
        </w:rPr>
        <w:t xml:space="preserve"> </w:t>
      </w:r>
      <w:hyperlink r:id="rId57">
        <w:r w:rsidR="0039779E">
          <w:rPr>
            <w:b/>
            <w:color w:val="0071BB"/>
            <w:w w:val="130"/>
            <w:sz w:val="20"/>
            <w:u w:val="single" w:color="0071BB"/>
          </w:rPr>
          <w:t>„</w:t>
        </w:r>
        <w:proofErr w:type="spellStart"/>
        <w:r w:rsidR="0039779E">
          <w:rPr>
            <w:b/>
            <w:color w:val="0071BB"/>
            <w:w w:val="130"/>
            <w:sz w:val="20"/>
            <w:u w:val="single" w:color="0071BB"/>
          </w:rPr>
          <w:t>Orientacji</w:t>
        </w:r>
        <w:proofErr w:type="spellEnd"/>
        <w:r w:rsidR="0039779E">
          <w:rPr>
            <w:b/>
            <w:color w:val="0071BB"/>
            <w:w w:val="130"/>
            <w:sz w:val="20"/>
            <w:u w:val="single" w:color="0071BB"/>
          </w:rPr>
          <w:t xml:space="preserve"> </w:t>
        </w:r>
        <w:proofErr w:type="spellStart"/>
        <w:r w:rsidR="0039779E">
          <w:rPr>
            <w:b/>
            <w:color w:val="0071BB"/>
            <w:w w:val="130"/>
            <w:sz w:val="20"/>
            <w:u w:val="single" w:color="0071BB"/>
          </w:rPr>
          <w:t>seksualnej</w:t>
        </w:r>
        <w:proofErr w:type="spellEnd"/>
        <w:r w:rsidR="0039779E">
          <w:rPr>
            <w:b/>
            <w:color w:val="0071BB"/>
            <w:w w:val="130"/>
            <w:sz w:val="20"/>
            <w:u w:val="single" w:color="0071BB"/>
          </w:rPr>
          <w:t xml:space="preserve"> </w:t>
        </w:r>
        <w:proofErr w:type="spellStart"/>
        <w:r w:rsidR="0039779E">
          <w:rPr>
            <w:b/>
            <w:color w:val="0071BB"/>
            <w:w w:val="130"/>
            <w:sz w:val="20"/>
            <w:u w:val="single" w:color="0071BB"/>
          </w:rPr>
          <w:t>lub</w:t>
        </w:r>
        <w:proofErr w:type="spellEnd"/>
        <w:r w:rsidR="0039779E">
          <w:rPr>
            <w:b/>
            <w:color w:val="0071BB"/>
            <w:w w:val="130"/>
            <w:sz w:val="20"/>
            <w:u w:val="single" w:color="0071BB"/>
          </w:rPr>
          <w:t xml:space="preserve"> </w:t>
        </w:r>
        <w:proofErr w:type="spellStart"/>
        <w:r w:rsidR="0039779E">
          <w:rPr>
            <w:b/>
            <w:color w:val="0071BB"/>
            <w:w w:val="130"/>
            <w:sz w:val="20"/>
            <w:u w:val="single" w:color="0071BB"/>
          </w:rPr>
          <w:t>tożsamości</w:t>
        </w:r>
        <w:proofErr w:type="spellEnd"/>
        <w:r w:rsidR="0039779E">
          <w:rPr>
            <w:b/>
            <w:color w:val="0071BB"/>
            <w:w w:val="130"/>
            <w:sz w:val="20"/>
            <w:u w:val="single" w:color="0071BB"/>
          </w:rPr>
          <w:t xml:space="preserve"> </w:t>
        </w:r>
        <w:proofErr w:type="spellStart"/>
        <w:r w:rsidR="0039779E">
          <w:rPr>
            <w:b/>
            <w:color w:val="0071BB"/>
            <w:spacing w:val="-2"/>
            <w:w w:val="130"/>
            <w:sz w:val="20"/>
            <w:u w:val="single" w:color="0071BB"/>
          </w:rPr>
          <w:t>płciowej</w:t>
        </w:r>
        <w:proofErr w:type="spellEnd"/>
        <w:r w:rsidR="0039779E">
          <w:rPr>
            <w:b/>
            <w:color w:val="0071BB"/>
            <w:spacing w:val="-2"/>
            <w:w w:val="130"/>
            <w:sz w:val="20"/>
            <w:u w:val="single" w:color="0071BB"/>
          </w:rPr>
          <w:t>”</w:t>
        </w:r>
      </w:hyperlink>
    </w:p>
    <w:p w14:paraId="03A73647" w14:textId="77777777" w:rsidR="0039779E" w:rsidRDefault="00F712A0">
      <w:pPr>
        <w:pStyle w:val="Tekstpodstawowy"/>
        <w:spacing w:before="5"/>
        <w:ind w:left="0"/>
        <w:jc w:val="left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9A283A3" wp14:editId="5AA0C69A">
                <wp:simplePos x="0" y="0"/>
                <wp:positionH relativeFrom="page">
                  <wp:posOffset>896111</wp:posOffset>
                </wp:positionH>
                <wp:positionV relativeFrom="paragraph">
                  <wp:posOffset>158316</wp:posOffset>
                </wp:positionV>
                <wp:extent cx="5768340" cy="1270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270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768340" y="12179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09FEC" id="Graphic 21" o:spid="_x0000_s1026" style="position:absolute;margin-left:70.55pt;margin-top:12.45pt;width:454.2pt;height: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" path="m5768340,l,,,12179r5768340,l5768340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40D9E7A2" w14:textId="77777777" w:rsidR="0039779E" w:rsidRDefault="0039779E">
      <w:pPr>
        <w:pStyle w:val="Tekstpodstawowy"/>
        <w:spacing w:before="129"/>
        <w:ind w:left="0"/>
        <w:jc w:val="left"/>
        <w:rPr>
          <w:b/>
        </w:rPr>
      </w:pPr>
    </w:p>
    <w:p w14:paraId="02980148" w14:textId="77777777" w:rsidR="0039779E" w:rsidRDefault="00F712A0">
      <w:pPr>
        <w:spacing w:line="243" w:lineRule="exact"/>
        <w:ind w:left="141" w:right="3"/>
        <w:jc w:val="center"/>
        <w:rPr>
          <w:b/>
          <w:sz w:val="20"/>
        </w:rPr>
      </w:pPr>
      <w:proofErr w:type="spellStart"/>
      <w:r>
        <w:rPr>
          <w:b/>
          <w:color w:val="808080"/>
          <w:spacing w:val="-2"/>
          <w:w w:val="130"/>
          <w:sz w:val="20"/>
        </w:rPr>
        <w:t>Kontakt</w:t>
      </w:r>
      <w:proofErr w:type="spellEnd"/>
      <w:r>
        <w:rPr>
          <w:b/>
          <w:color w:val="808080"/>
          <w:spacing w:val="-2"/>
          <w:w w:val="130"/>
          <w:sz w:val="20"/>
        </w:rPr>
        <w:t xml:space="preserve"> </w:t>
      </w:r>
      <w:proofErr w:type="spellStart"/>
      <w:r>
        <w:rPr>
          <w:b/>
          <w:color w:val="808080"/>
          <w:w w:val="125"/>
          <w:sz w:val="20"/>
        </w:rPr>
        <w:t>dla</w:t>
      </w:r>
      <w:proofErr w:type="spellEnd"/>
      <w:r>
        <w:rPr>
          <w:b/>
          <w:color w:val="808080"/>
          <w:w w:val="125"/>
          <w:sz w:val="20"/>
        </w:rPr>
        <w:t xml:space="preserve"> </w:t>
      </w:r>
      <w:proofErr w:type="spellStart"/>
      <w:r>
        <w:rPr>
          <w:b/>
          <w:color w:val="808080"/>
          <w:w w:val="125"/>
          <w:sz w:val="20"/>
        </w:rPr>
        <w:t>mediów</w:t>
      </w:r>
      <w:proofErr w:type="spellEnd"/>
      <w:r>
        <w:rPr>
          <w:b/>
          <w:color w:val="808080"/>
          <w:spacing w:val="-2"/>
          <w:w w:val="130"/>
          <w:sz w:val="20"/>
        </w:rPr>
        <w:t>:</w:t>
      </w:r>
    </w:p>
    <w:p w14:paraId="1C75C8F4" w14:textId="77777777" w:rsidR="0039779E" w:rsidRDefault="00F712A0">
      <w:pPr>
        <w:pStyle w:val="Tekstpodstawowy"/>
        <w:spacing w:line="243" w:lineRule="exact"/>
        <w:ind w:left="141"/>
        <w:jc w:val="center"/>
      </w:pPr>
      <w:r>
        <w:rPr>
          <w:color w:val="808080"/>
          <w:w w:val="130"/>
        </w:rPr>
        <w:t>Tel.: +33 (0)3 90 21 42</w:t>
      </w:r>
      <w:r>
        <w:rPr>
          <w:color w:val="808080"/>
          <w:spacing w:val="-5"/>
          <w:w w:val="130"/>
        </w:rPr>
        <w:t xml:space="preserve"> 08</w:t>
      </w:r>
    </w:p>
    <w:p w14:paraId="6DAAE90B" w14:textId="77777777" w:rsidR="0039779E" w:rsidRDefault="0039779E">
      <w:pPr>
        <w:pStyle w:val="Tekstpodstawowy"/>
        <w:ind w:left="0"/>
        <w:jc w:val="left"/>
      </w:pPr>
    </w:p>
    <w:p w14:paraId="50BB48E0" w14:textId="77777777" w:rsidR="0039779E" w:rsidRDefault="0039779E">
      <w:pPr>
        <w:pStyle w:val="Tekstpodstawowy"/>
        <w:ind w:left="0"/>
        <w:jc w:val="left"/>
      </w:pPr>
    </w:p>
    <w:p w14:paraId="3BE79935" w14:textId="77777777" w:rsidR="0039779E" w:rsidRDefault="0039779E">
      <w:pPr>
        <w:pStyle w:val="Tekstpodstawowy"/>
        <w:ind w:left="0"/>
        <w:jc w:val="left"/>
      </w:pPr>
    </w:p>
    <w:p w14:paraId="3EED6C4E" w14:textId="77777777" w:rsidR="0039779E" w:rsidRDefault="0039779E">
      <w:pPr>
        <w:pStyle w:val="Tekstpodstawowy"/>
        <w:ind w:left="0"/>
        <w:jc w:val="left"/>
      </w:pPr>
    </w:p>
    <w:p w14:paraId="3560D550" w14:textId="77777777" w:rsidR="0039779E" w:rsidRDefault="0039779E">
      <w:pPr>
        <w:pStyle w:val="Tekstpodstawowy"/>
        <w:ind w:left="0"/>
        <w:jc w:val="left"/>
      </w:pPr>
    </w:p>
    <w:p w14:paraId="5EE423E5" w14:textId="77777777" w:rsidR="0039779E" w:rsidRDefault="0039779E">
      <w:pPr>
        <w:pStyle w:val="Tekstpodstawowy"/>
        <w:ind w:left="0"/>
        <w:jc w:val="left"/>
      </w:pPr>
    </w:p>
    <w:p w14:paraId="7141ED1E" w14:textId="77777777" w:rsidR="0039779E" w:rsidRDefault="0039779E">
      <w:pPr>
        <w:pStyle w:val="Tekstpodstawowy"/>
        <w:ind w:left="0"/>
        <w:jc w:val="left"/>
      </w:pPr>
    </w:p>
    <w:p w14:paraId="09328B71" w14:textId="77777777" w:rsidR="0039779E" w:rsidRDefault="0039779E">
      <w:pPr>
        <w:pStyle w:val="Tekstpodstawowy"/>
        <w:ind w:left="0"/>
        <w:jc w:val="left"/>
      </w:pPr>
    </w:p>
    <w:p w14:paraId="731C251F" w14:textId="77777777" w:rsidR="0039779E" w:rsidRDefault="0039779E">
      <w:pPr>
        <w:pStyle w:val="Tekstpodstawowy"/>
        <w:ind w:left="0"/>
        <w:jc w:val="left"/>
      </w:pPr>
    </w:p>
    <w:p w14:paraId="19C90383" w14:textId="77777777" w:rsidR="0039779E" w:rsidRDefault="00F712A0">
      <w:pPr>
        <w:pStyle w:val="Tekstpodstawowy"/>
        <w:spacing w:before="20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4EFD93C" wp14:editId="606DC416">
                <wp:simplePos x="0" y="0"/>
                <wp:positionH relativeFrom="page">
                  <wp:posOffset>914400</wp:posOffset>
                </wp:positionH>
                <wp:positionV relativeFrom="paragraph">
                  <wp:posOffset>183277</wp:posOffset>
                </wp:positionV>
                <wp:extent cx="1828800" cy="762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CCA0E" id="Graphic 22" o:spid="_x0000_s1026" style="position:absolute;margin-left:1in;margin-top:14.45pt;width:2in;height:.6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9865C5" w14:textId="085F5082" w:rsidR="0039779E" w:rsidRDefault="00F712A0">
      <w:pPr>
        <w:spacing w:before="104"/>
        <w:ind w:left="874"/>
        <w:rPr>
          <w:sz w:val="16"/>
        </w:rPr>
      </w:pPr>
      <w:bookmarkStart w:id="4" w:name="_bookmark4"/>
      <w:bookmarkEnd w:id="4"/>
      <w:r>
        <w:rPr>
          <w:w w:val="125"/>
          <w:sz w:val="16"/>
          <w:vertAlign w:val="superscript"/>
        </w:rPr>
        <w:t>5</w:t>
      </w:r>
      <w:r>
        <w:rPr>
          <w:w w:val="125"/>
          <w:sz w:val="16"/>
        </w:rPr>
        <w:t xml:space="preserve">. Wyrok ten </w:t>
      </w:r>
      <w:proofErr w:type="spellStart"/>
      <w:r>
        <w:rPr>
          <w:w w:val="125"/>
          <w:sz w:val="16"/>
        </w:rPr>
        <w:t>stanie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się</w:t>
      </w:r>
      <w:proofErr w:type="spellEnd"/>
      <w:r>
        <w:rPr>
          <w:w w:val="125"/>
          <w:sz w:val="16"/>
        </w:rPr>
        <w:t xml:space="preserve"> </w:t>
      </w:r>
      <w:proofErr w:type="spellStart"/>
      <w:r w:rsidR="003B79B4">
        <w:rPr>
          <w:w w:val="125"/>
          <w:sz w:val="16"/>
        </w:rPr>
        <w:t>ostateczny</w:t>
      </w:r>
      <w:proofErr w:type="spellEnd"/>
      <w:r w:rsidR="003B79B4">
        <w:rPr>
          <w:w w:val="125"/>
          <w:sz w:val="16"/>
        </w:rPr>
        <w:t xml:space="preserve"> </w:t>
      </w:r>
      <w:r>
        <w:rPr>
          <w:w w:val="125"/>
          <w:sz w:val="16"/>
        </w:rPr>
        <w:t xml:space="preserve">w </w:t>
      </w:r>
      <w:proofErr w:type="spellStart"/>
      <w:r>
        <w:rPr>
          <w:w w:val="125"/>
          <w:sz w:val="16"/>
        </w:rPr>
        <w:t>okolicznościach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określonych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w art</w:t>
      </w:r>
      <w:proofErr w:type="spellEnd"/>
      <w:r>
        <w:rPr>
          <w:w w:val="125"/>
          <w:sz w:val="16"/>
        </w:rPr>
        <w:t xml:space="preserve">. 44 § 2 </w:t>
      </w:r>
      <w:hyperlink r:id="rId58">
        <w:proofErr w:type="spellStart"/>
        <w:r w:rsidR="0039779E">
          <w:rPr>
            <w:color w:val="0071BB"/>
            <w:spacing w:val="-2"/>
            <w:w w:val="125"/>
            <w:sz w:val="16"/>
            <w:u w:val="single" w:color="0071BB"/>
          </w:rPr>
          <w:t>Konwencji</w:t>
        </w:r>
        <w:proofErr w:type="spellEnd"/>
      </w:hyperlink>
      <w:r>
        <w:rPr>
          <w:spacing w:val="-2"/>
          <w:w w:val="125"/>
          <w:sz w:val="16"/>
        </w:rPr>
        <w:t>.</w:t>
      </w:r>
    </w:p>
    <w:sectPr w:rsidR="0039779E">
      <w:pgSz w:w="11910" w:h="16840"/>
      <w:pgMar w:top="1460" w:right="708" w:bottom="680" w:left="566" w:header="730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3BE1" w14:textId="77777777" w:rsidR="00272AE3" w:rsidRDefault="00272AE3">
      <w:r>
        <w:separator/>
      </w:r>
    </w:p>
  </w:endnote>
  <w:endnote w:type="continuationSeparator" w:id="0">
    <w:p w14:paraId="0AE73129" w14:textId="77777777" w:rsidR="00272AE3" w:rsidRDefault="0027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1727" w14:textId="77777777" w:rsidR="0039779E" w:rsidRDefault="00F712A0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EBB9221" wp14:editId="7CE1F871">
              <wp:simplePos x="0" y="0"/>
              <wp:positionH relativeFrom="page">
                <wp:posOffset>3686047</wp:posOffset>
              </wp:positionH>
              <wp:positionV relativeFrom="page">
                <wp:posOffset>10237044</wp:posOffset>
              </wp:positionV>
              <wp:extent cx="186690" cy="17970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EE4B2" w14:textId="77777777" w:rsidR="0039779E" w:rsidRDefault="00F712A0">
                          <w:pPr>
                            <w:pStyle w:val="Tekstpodstawowy"/>
                            <w:spacing w:before="3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  <w:w w:val="1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5"/>
                            </w:rPr>
                            <w:t>12</w:t>
                          </w:r>
                          <w:r>
                            <w:rPr>
                              <w:spacing w:val="-5"/>
                              <w:w w:val="1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EBB922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290.25pt;margin-top:806.05pt;width:14.7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" filled="f" stroked="f">
              <v:textbox inset="0,0,0,0">
                <w:txbxContent>
                  <w:p w14:paraId="245EE4B2" w14:textId="77777777" w:rsidR="0039779E" w:rsidRDefault="00F712A0">
                    <w:pPr>
                      <w:pStyle w:val="Tekstpodstawowy"/>
                      <w:spacing w:before="30"/>
                      <w:ind w:left="20"/>
                      <w:jc w:val="left"/>
                    </w:pPr>
                    <w:r>
                      <w:rPr>
                        <w:spacing w:val="-5"/>
                        <w:w w:val="125"/>
                      </w:rPr>
                      <w:fldChar w:fldCharType="begin"/>
                    </w:r>
                    <w:r>
                      <w:rPr>
                        <w:spacing w:val="-5"/>
                        <w:w w:val="12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5"/>
                      </w:rPr>
                      <w:fldChar w:fldCharType="separate"/>
                    </w:r>
                    <w:r>
                      <w:rPr>
                        <w:spacing w:val="-5"/>
                        <w:w w:val="125"/>
                      </w:rPr>
                      <w:t>12</w:t>
                    </w:r>
                    <w:r>
                      <w:rPr>
                        <w:spacing w:val="-5"/>
                        <w:w w:val="1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527B" w14:textId="77777777" w:rsidR="00272AE3" w:rsidRDefault="00272AE3">
      <w:r>
        <w:separator/>
      </w:r>
    </w:p>
  </w:footnote>
  <w:footnote w:type="continuationSeparator" w:id="0">
    <w:p w14:paraId="653495C9" w14:textId="77777777" w:rsidR="00272AE3" w:rsidRDefault="0027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FF77" w14:textId="1CC85AFC" w:rsidR="0039779E" w:rsidRDefault="0025343C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2FCC3B" wp14:editId="067F012D">
              <wp:simplePos x="0" y="0"/>
              <wp:positionH relativeFrom="page">
                <wp:posOffset>432079</wp:posOffset>
              </wp:positionH>
              <wp:positionV relativeFrom="page">
                <wp:posOffset>743578</wp:posOffset>
              </wp:positionV>
              <wp:extent cx="3034602" cy="154417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4602" cy="1544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25435" w14:textId="77777777" w:rsidR="0039779E" w:rsidRDefault="00F712A0">
                          <w:pPr>
                            <w:spacing w:before="29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25"/>
                              <w:sz w:val="18"/>
                            </w:rPr>
                            <w:t>Arkusz</w:t>
                          </w:r>
                          <w:proofErr w:type="spellEnd"/>
                          <w:r>
                            <w:rPr>
                              <w:w w:val="12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5"/>
                              <w:sz w:val="18"/>
                            </w:rPr>
                            <w:t>informacyjny</w:t>
                          </w:r>
                          <w:proofErr w:type="spellEnd"/>
                          <w:r>
                            <w:rPr>
                              <w:w w:val="125"/>
                              <w:sz w:val="18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spacing w:val="-2"/>
                              <w:w w:val="125"/>
                              <w:sz w:val="18"/>
                            </w:rPr>
                            <w:t>Kwestie</w:t>
                          </w:r>
                          <w:proofErr w:type="spellEnd"/>
                          <w:r>
                            <w:rPr>
                              <w:spacing w:val="-2"/>
                              <w:w w:val="12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5"/>
                              <w:sz w:val="18"/>
                            </w:rPr>
                            <w:t>tożsamości</w:t>
                          </w:r>
                          <w:proofErr w:type="spellEnd"/>
                          <w:r>
                            <w:rPr>
                              <w:w w:val="12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5"/>
                              <w:sz w:val="18"/>
                            </w:rPr>
                            <w:t>płciowej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CC3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4pt;margin-top:58.55pt;width:238.95pt;height:1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" filled="f" stroked="f">
              <v:textbox inset="0,0,0,0">
                <w:txbxContent>
                  <w:p w14:paraId="7E925435" w14:textId="77777777" w:rsidR="0039779E" w:rsidRDefault="00F712A0">
                    <w:pPr>
                      <w:spacing w:before="29"/>
                      <w:ind w:left="20"/>
                      <w:rPr>
                        <w:sz w:val="18"/>
                      </w:rPr>
                    </w:pPr>
                    <w:r>
                      <w:rPr>
                        <w:w w:val="125"/>
                        <w:sz w:val="18"/>
                      </w:rPr>
                      <w:t xml:space="preserve">Arkusz informacyjny – </w:t>
                    </w:r>
                    <w:r>
                      <w:rPr>
                        <w:spacing w:val="-2"/>
                        <w:w w:val="125"/>
                        <w:sz w:val="18"/>
                      </w:rPr>
                      <w:t xml:space="preserve">Kwestie </w:t>
                    </w:r>
                    <w:r>
                      <w:rPr>
                        <w:w w:val="125"/>
                        <w:sz w:val="18"/>
                      </w:rPr>
                      <w:t>tożsamości płciowej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772FE50F" wp14:editId="0F61EA4E">
          <wp:simplePos x="0" y="0"/>
          <wp:positionH relativeFrom="page">
            <wp:posOffset>5683248</wp:posOffset>
          </wp:positionH>
          <wp:positionV relativeFrom="page">
            <wp:posOffset>463550</wp:posOffset>
          </wp:positionV>
          <wp:extent cx="1410969" cy="368299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0969" cy="368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C5703A0" wp14:editId="3A666D61">
              <wp:simplePos x="0" y="0"/>
              <wp:positionH relativeFrom="page">
                <wp:posOffset>465455</wp:posOffset>
              </wp:positionH>
              <wp:positionV relativeFrom="page">
                <wp:posOffset>934719</wp:posOffset>
              </wp:positionV>
              <wp:extent cx="6629400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>
                            <a:moveTo>
                              <a:pt x="0" y="0"/>
                            </a:moveTo>
                            <a:lnTo>
                              <a:pt x="6629400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248E20A" id="Graphic 9" o:spid="_x0000_s1026" style="position:absolute;margin-left:36.65pt;margin-top:73.6pt;width:52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" path="m,l6629400,e" filled="f" strokecolor="gray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8AF2"/>
    <w:multiLevelType w:val="hybridMultilevel"/>
    <w:tmpl w:val="00000000"/>
    <w:lvl w:ilvl="0" w:tplc="6804FB26">
      <w:numFmt w:val="bullet"/>
      <w:lvlText w:val="-"/>
      <w:lvlJc w:val="left"/>
      <w:pPr>
        <w:ind w:left="130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47"/>
        <w:sz w:val="20"/>
        <w:szCs w:val="20"/>
        <w:lang w:val="en-US" w:eastAsia="en-US" w:bidi="ar-SA"/>
      </w:rPr>
    </w:lvl>
    <w:lvl w:ilvl="1" w:tplc="8ACACEC8">
      <w:numFmt w:val="bullet"/>
      <w:lvlText w:val="•"/>
      <w:lvlJc w:val="left"/>
      <w:pPr>
        <w:ind w:left="2233" w:hanging="286"/>
      </w:pPr>
      <w:rPr>
        <w:rFonts w:hint="default"/>
        <w:lang w:val="en-US" w:eastAsia="en-US" w:bidi="ar-SA"/>
      </w:rPr>
    </w:lvl>
    <w:lvl w:ilvl="2" w:tplc="7CDC90C2">
      <w:numFmt w:val="bullet"/>
      <w:lvlText w:val="•"/>
      <w:lvlJc w:val="left"/>
      <w:pPr>
        <w:ind w:left="3166" w:hanging="286"/>
      </w:pPr>
      <w:rPr>
        <w:rFonts w:hint="default"/>
        <w:lang w:val="en-US" w:eastAsia="en-US" w:bidi="ar-SA"/>
      </w:rPr>
    </w:lvl>
    <w:lvl w:ilvl="3" w:tplc="D6C4B06C">
      <w:numFmt w:val="bullet"/>
      <w:lvlText w:val="•"/>
      <w:lvlJc w:val="left"/>
      <w:pPr>
        <w:ind w:left="4099" w:hanging="286"/>
      </w:pPr>
      <w:rPr>
        <w:rFonts w:hint="default"/>
        <w:lang w:val="en-US" w:eastAsia="en-US" w:bidi="ar-SA"/>
      </w:rPr>
    </w:lvl>
    <w:lvl w:ilvl="4" w:tplc="B2F4C694">
      <w:numFmt w:val="bullet"/>
      <w:lvlText w:val="•"/>
      <w:lvlJc w:val="left"/>
      <w:pPr>
        <w:ind w:left="5032" w:hanging="286"/>
      </w:pPr>
      <w:rPr>
        <w:rFonts w:hint="default"/>
        <w:lang w:val="en-US" w:eastAsia="en-US" w:bidi="ar-SA"/>
      </w:rPr>
    </w:lvl>
    <w:lvl w:ilvl="5" w:tplc="B7E45CFA">
      <w:numFmt w:val="bullet"/>
      <w:lvlText w:val="•"/>
      <w:lvlJc w:val="left"/>
      <w:pPr>
        <w:ind w:left="5966" w:hanging="286"/>
      </w:pPr>
      <w:rPr>
        <w:rFonts w:hint="default"/>
        <w:lang w:val="en-US" w:eastAsia="en-US" w:bidi="ar-SA"/>
      </w:rPr>
    </w:lvl>
    <w:lvl w:ilvl="6" w:tplc="60CE2548">
      <w:numFmt w:val="bullet"/>
      <w:lvlText w:val="•"/>
      <w:lvlJc w:val="left"/>
      <w:pPr>
        <w:ind w:left="6899" w:hanging="286"/>
      </w:pPr>
      <w:rPr>
        <w:rFonts w:hint="default"/>
        <w:lang w:val="en-US" w:eastAsia="en-US" w:bidi="ar-SA"/>
      </w:rPr>
    </w:lvl>
    <w:lvl w:ilvl="7" w:tplc="8F5C33DC">
      <w:numFmt w:val="bullet"/>
      <w:lvlText w:val="•"/>
      <w:lvlJc w:val="left"/>
      <w:pPr>
        <w:ind w:left="7832" w:hanging="286"/>
      </w:pPr>
      <w:rPr>
        <w:rFonts w:hint="default"/>
        <w:lang w:val="en-US" w:eastAsia="en-US" w:bidi="ar-SA"/>
      </w:rPr>
    </w:lvl>
    <w:lvl w:ilvl="8" w:tplc="D2688EF0">
      <w:numFmt w:val="bullet"/>
      <w:lvlText w:val="•"/>
      <w:lvlJc w:val="left"/>
      <w:pPr>
        <w:ind w:left="8765" w:hanging="286"/>
      </w:pPr>
      <w:rPr>
        <w:rFonts w:hint="default"/>
        <w:lang w:val="en-US" w:eastAsia="en-US" w:bidi="ar-SA"/>
      </w:rPr>
    </w:lvl>
  </w:abstractNum>
  <w:num w:numId="1" w16cid:durableId="144850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9E"/>
    <w:rsid w:val="000932C4"/>
    <w:rsid w:val="001477A5"/>
    <w:rsid w:val="00153681"/>
    <w:rsid w:val="001675A4"/>
    <w:rsid w:val="001E0171"/>
    <w:rsid w:val="00246BF5"/>
    <w:rsid w:val="0025343C"/>
    <w:rsid w:val="00272AE3"/>
    <w:rsid w:val="002D50FC"/>
    <w:rsid w:val="002E0B09"/>
    <w:rsid w:val="003547F6"/>
    <w:rsid w:val="00377895"/>
    <w:rsid w:val="0039779E"/>
    <w:rsid w:val="003A1FC8"/>
    <w:rsid w:val="003B776A"/>
    <w:rsid w:val="003B79B4"/>
    <w:rsid w:val="003F486F"/>
    <w:rsid w:val="004013E2"/>
    <w:rsid w:val="004437D8"/>
    <w:rsid w:val="004E3038"/>
    <w:rsid w:val="0054359B"/>
    <w:rsid w:val="00582BA6"/>
    <w:rsid w:val="005D5F75"/>
    <w:rsid w:val="006125E9"/>
    <w:rsid w:val="00620852"/>
    <w:rsid w:val="00624668"/>
    <w:rsid w:val="006E2BC8"/>
    <w:rsid w:val="006E4BC8"/>
    <w:rsid w:val="006F1DAF"/>
    <w:rsid w:val="006F3F96"/>
    <w:rsid w:val="00780679"/>
    <w:rsid w:val="007F00A1"/>
    <w:rsid w:val="007F3ADC"/>
    <w:rsid w:val="008539E0"/>
    <w:rsid w:val="00862607"/>
    <w:rsid w:val="008867A5"/>
    <w:rsid w:val="008C33A1"/>
    <w:rsid w:val="008C78DE"/>
    <w:rsid w:val="0092251A"/>
    <w:rsid w:val="00993CF5"/>
    <w:rsid w:val="00995147"/>
    <w:rsid w:val="009B5FFA"/>
    <w:rsid w:val="00A24F1E"/>
    <w:rsid w:val="00A96C12"/>
    <w:rsid w:val="00AA5AE6"/>
    <w:rsid w:val="00AC4915"/>
    <w:rsid w:val="00AE1AC7"/>
    <w:rsid w:val="00B123A3"/>
    <w:rsid w:val="00B332EE"/>
    <w:rsid w:val="00BD3061"/>
    <w:rsid w:val="00BD3398"/>
    <w:rsid w:val="00BD6C30"/>
    <w:rsid w:val="00BD6D6C"/>
    <w:rsid w:val="00C84D3B"/>
    <w:rsid w:val="00D829B1"/>
    <w:rsid w:val="00D87FAD"/>
    <w:rsid w:val="00DE14D6"/>
    <w:rsid w:val="00E6110F"/>
    <w:rsid w:val="00ED0ACC"/>
    <w:rsid w:val="00ED2A17"/>
    <w:rsid w:val="00EE3DE2"/>
    <w:rsid w:val="00F56B31"/>
    <w:rsid w:val="00F712A0"/>
    <w:rsid w:val="00FA3BDE"/>
    <w:rsid w:val="00FA66DB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09B0"/>
  <w15:docId w15:val="{A1E0782C-24F0-4788-93ED-EF022EB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87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12"/>
      <w:ind w:left="874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73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874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118"/>
      <w:ind w:left="1300" w:hanging="28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53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43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53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43C"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25343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eng?i=001-57641" TargetMode="External"/><Relationship Id="rId18" Type="http://schemas.openxmlformats.org/officeDocument/2006/relationships/footer" Target="footer1.xml"/><Relationship Id="rId26" Type="http://schemas.openxmlformats.org/officeDocument/2006/relationships/hyperlink" Target="http://hudoc.echr.coe.int/sites/eng/pages/search.aspx?i=003-1674922-1755206" TargetMode="External"/><Relationship Id="rId39" Type="http://schemas.openxmlformats.org/officeDocument/2006/relationships/hyperlink" Target="http://hudoc.echr.coe.int/eng-press?i=003-6910029-9279612" TargetMode="External"/><Relationship Id="rId21" Type="http://schemas.openxmlformats.org/officeDocument/2006/relationships/hyperlink" Target="http://cmiskp.echr.coe.int/tkp197/view.asp?action=html&amp;documentId=812230&amp;portal=hbkm&amp;source=externalbydocnumber&amp;table=F69A27FD8FB86142BF01C1166DEA398649" TargetMode="External"/><Relationship Id="rId34" Type="http://schemas.openxmlformats.org/officeDocument/2006/relationships/hyperlink" Target="http://hudoc.echr.coe.int/eng?i=001-172142" TargetMode="External"/><Relationship Id="rId42" Type="http://schemas.openxmlformats.org/officeDocument/2006/relationships/hyperlink" Target="https://hudoc.echr.coe.int/eng?i=002-13664" TargetMode="External"/><Relationship Id="rId47" Type="http://schemas.openxmlformats.org/officeDocument/2006/relationships/hyperlink" Target="https://hudoc.echr.coe.int/fre-press?i=003-7996501-11157203" TargetMode="External"/><Relationship Id="rId50" Type="http://schemas.openxmlformats.org/officeDocument/2006/relationships/hyperlink" Target="http://hudoc.echr.coe.int/fre?i=001-189096" TargetMode="External"/><Relationship Id="rId55" Type="http://schemas.openxmlformats.org/officeDocument/2006/relationships/hyperlink" Target="https://ks.echr.coe.int/web/echr-ks/rights-of-lgbti-persons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hudoc.echr.coe.int/sites/eng-press/pages/search.aspx?i=003-585597-589247" TargetMode="External"/><Relationship Id="rId29" Type="http://schemas.openxmlformats.org/officeDocument/2006/relationships/hyperlink" Target="http://hudoc.echr.coe.int/sites/eng/pages/search.aspx?i=003-3353755-3754421" TargetMode="External"/><Relationship Id="rId11" Type="http://schemas.openxmlformats.org/officeDocument/2006/relationships/hyperlink" Target="http://www.echr.coe.int/Documents/Convention_ENG.pdf" TargetMode="External"/><Relationship Id="rId24" Type="http://schemas.openxmlformats.org/officeDocument/2006/relationships/hyperlink" Target="http://cmiskp.echr.coe.int/tkp197/view.asp?action=html&amp;documentId=812230&amp;portal=hbkm&amp;source=externalbydocnumber&amp;table=F69A27FD8FB86142BF01C1166DEA398649" TargetMode="External"/><Relationship Id="rId32" Type="http://schemas.openxmlformats.org/officeDocument/2006/relationships/hyperlink" Target="http://hudoc.echr.coe.int/sites/eng-press/pages/search.aspx?i=003-4821870-5880860" TargetMode="External"/><Relationship Id="rId37" Type="http://schemas.openxmlformats.org/officeDocument/2006/relationships/hyperlink" Target="http://hudoc.echr.coe.int/eng-press?i=003-6744721-8998303" TargetMode="External"/><Relationship Id="rId40" Type="http://schemas.openxmlformats.org/officeDocument/2006/relationships/hyperlink" Target="http://hudoc.echr.coe.int/eng-press?i=003-7071799-9557322" TargetMode="External"/><Relationship Id="rId45" Type="http://schemas.openxmlformats.org/officeDocument/2006/relationships/hyperlink" Target="https://hudoc.echr.coe.int/fre?i=003-7615815-10480497" TargetMode="External"/><Relationship Id="rId53" Type="http://schemas.openxmlformats.org/officeDocument/2006/relationships/hyperlink" Target="https://hudoc.echr.coe.int/fre?i=001-228566" TargetMode="External"/><Relationship Id="rId58" Type="http://schemas.openxmlformats.org/officeDocument/2006/relationships/hyperlink" Target="http://www.echr.coe.int/Documents/Convention_ENG.pdf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cmiskp.echr.coe.int/tkp197/view.asp?action=html&amp;documentId=812256&amp;portal=hbkm&amp;source=externalbydocnumber&amp;table=F69A27FD8FB86142BF01C1166DEA3986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hr.coe.int/Documents/FS_Sexual_orientation_ENG.pdf" TargetMode="External"/><Relationship Id="rId14" Type="http://schemas.openxmlformats.org/officeDocument/2006/relationships/hyperlink" Target="http://hudoc.echr.coe.int/eng?i=001-58032" TargetMode="External"/><Relationship Id="rId22" Type="http://schemas.openxmlformats.org/officeDocument/2006/relationships/hyperlink" Target="http://cmiskp.echr.coe.int/tkp197/view.asp?action=html&amp;documentId=812256&amp;portal=hbkm&amp;source=externalbydocnumber&amp;table=F69A27FD8FB86142BF01C1166DEA398649" TargetMode="External"/><Relationship Id="rId27" Type="http://schemas.openxmlformats.org/officeDocument/2006/relationships/hyperlink" Target="http://court3/sites/eng/pages/search.aspx?i=003-2081500-2204459" TargetMode="External"/><Relationship Id="rId30" Type="http://schemas.openxmlformats.org/officeDocument/2006/relationships/hyperlink" Target="http://cmiskp.echr.coe.int/tkp197/view.asp?action=html&amp;documentId=892251&amp;portal=hbkm&amp;source=externalbydocnumber&amp;table=F69A27FD8FB86142BF01C1166DEA398649" TargetMode="External"/><Relationship Id="rId35" Type="http://schemas.openxmlformats.org/officeDocument/2006/relationships/hyperlink" Target="http://hudoc.echr.coe.int/eng-press?i=003-5677681-7200217" TargetMode="External"/><Relationship Id="rId43" Type="http://schemas.openxmlformats.org/officeDocument/2006/relationships/hyperlink" Target="https://hudoc.echr.coe.int/eng-press?i=003-7507605-10303692" TargetMode="External"/><Relationship Id="rId48" Type="http://schemas.openxmlformats.org/officeDocument/2006/relationships/hyperlink" Target="http://www.echr.coe.int/Documents/Convention_ENG.pdf" TargetMode="External"/><Relationship Id="rId56" Type="http://schemas.openxmlformats.org/officeDocument/2006/relationships/hyperlink" Target="https://ks.echr.coe.int/web/echr-ks/rights-of-lgbti-persons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hudoc.echr.coe.int/eng?i=001-1945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chr.coe.int/Documents/Convention_ENG.pdf" TargetMode="External"/><Relationship Id="rId17" Type="http://schemas.openxmlformats.org/officeDocument/2006/relationships/header" Target="header1.xml"/><Relationship Id="rId25" Type="http://schemas.openxmlformats.org/officeDocument/2006/relationships/hyperlink" Target="http://hudoc.echr.coe.int/sites/eng/pages/search.aspx?i=001-61142" TargetMode="External"/><Relationship Id="rId33" Type="http://schemas.openxmlformats.org/officeDocument/2006/relationships/hyperlink" Target="http://hudoc.echr.coe.int/sites/eng-press/pages/search.aspx?i=003-5032376-6183620" TargetMode="External"/><Relationship Id="rId38" Type="http://schemas.openxmlformats.org/officeDocument/2006/relationships/hyperlink" Target="http://hudoc.echr.coe.int/eng-press?i=003-6748328-9004672" TargetMode="External"/><Relationship Id="rId46" Type="http://schemas.openxmlformats.org/officeDocument/2006/relationships/hyperlink" Target="https://hudoc.echr.coe.int/fre?i=003-7615829-10480516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cmiskp.echr.coe.int/tkp197/view.asp?action=html&amp;documentId=812230&amp;portal=hbkm&amp;source=externalbydocnumber&amp;table=F69A27FD8FB86142BF01C1166DEA398649" TargetMode="External"/><Relationship Id="rId41" Type="http://schemas.openxmlformats.org/officeDocument/2006/relationships/hyperlink" Target="https://hudoc.echr.coe.int/eng-press?i=003-7262566-9889216" TargetMode="External"/><Relationship Id="rId54" Type="http://schemas.openxmlformats.org/officeDocument/2006/relationships/hyperlink" Target="https://hudoc.echr.coe.int/fre?i=001-2316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chr.coe.int/eng?i=001-58212" TargetMode="External"/><Relationship Id="rId23" Type="http://schemas.openxmlformats.org/officeDocument/2006/relationships/hyperlink" Target="http://cmiskp.echr.coe.int/tkp197/view.asp?action=html&amp;documentId=812230&amp;portal=hbkm&amp;source=externalbydocnumber&amp;table=F69A27FD8FB86142BF01C1166DEA398649" TargetMode="External"/><Relationship Id="rId28" Type="http://schemas.openxmlformats.org/officeDocument/2006/relationships/hyperlink" Target="http://hudoc.echr.coe.int/sites/eng-press/pages/search.aspx?i=003-2594809-2825605" TargetMode="External"/><Relationship Id="rId36" Type="http://schemas.openxmlformats.org/officeDocument/2006/relationships/hyperlink" Target="http://hudoc.echr.coe.int/eng-press?i=003-6220020-8079332" TargetMode="External"/><Relationship Id="rId49" Type="http://schemas.openxmlformats.org/officeDocument/2006/relationships/hyperlink" Target="https://hudoc.echr.coe.int/fre?i=002-14358" TargetMode="External"/><Relationship Id="rId57" Type="http://schemas.openxmlformats.org/officeDocument/2006/relationships/hyperlink" Target="http://www.coe.int/en/web/sogi" TargetMode="External"/><Relationship Id="rId10" Type="http://schemas.openxmlformats.org/officeDocument/2006/relationships/hyperlink" Target="http://cmiskp.echr.coe.int/tkp197/view.asp?action=html&amp;documentId=695441&amp;portal=hbkm&amp;source=externalbydocnumber&amp;table=F69A27FD8FB86142BF01C1166DEA398649" TargetMode="External"/><Relationship Id="rId31" Type="http://schemas.openxmlformats.org/officeDocument/2006/relationships/hyperlink" Target="http://hudoc.echr.coe.int/sites/eng/pages/search.aspx?i=001-123392" TargetMode="External"/><Relationship Id="rId44" Type="http://schemas.openxmlformats.org/officeDocument/2006/relationships/hyperlink" Target="https://hudoc.echr.coe.int/eng-press?i=003-7555188-10380613" TargetMode="External"/><Relationship Id="rId52" Type="http://schemas.openxmlformats.org/officeDocument/2006/relationships/hyperlink" Target="http://hudoc.echr.coe.int/eng?i=001-197135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6250</Words>
  <Characters>37505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FS_Gender_identity_ENG</vt:lpstr>
    </vt:vector>
  </TitlesOfParts>
  <Company/>
  <LinksUpToDate>false</LinksUpToDate>
  <CharactersWithSpaces>43668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FS_Gender_identity_ENG</dc:title>
  <dc:subject>FS_Gender_identity_ENG</dc:subject>
  <dc:creator>Dębski Bartosz  (DWMPC)</dc:creator>
  <cp:keywords>, docId:2DB8B838EB62AA6ED012831B2632FE1D</cp:keywords>
  <cp:lastModifiedBy>Szponar Paweł  (DWMPC)</cp:lastModifiedBy>
  <cp:revision>7</cp:revision>
  <dcterms:created xsi:type="dcterms:W3CDTF">2026-05-20T13:00:00Z</dcterms:created>
  <dcterms:modified xsi:type="dcterms:W3CDTF">2026-05-22T11:49:00Z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eDOCS AutoSave">
    <vt:lpwstr>20240827150940890</vt:lpwstr>
  </property>
  <property fmtid="{D5CDD505-2E9C-101B-9397-08002B2CF9AE}" pid="5" name="LastSaved">
    <vt:filetime>2025-08-27T00:00:00Z</vt:filetime>
  </property>
  <property fmtid="{D5CDD505-2E9C-101B-9397-08002B2CF9AE}" pid="6" name="OrigTemp">
    <vt:lpwstr>NEW_ Press_Country_Files.dot</vt:lpwstr>
  </property>
  <property fmtid="{D5CDD505-2E9C-101B-9397-08002B2CF9AE}" pid="7" name="Producer">
    <vt:lpwstr>Adobe PDF Library 24.2.121</vt:lpwstr>
  </property>
  <property fmtid="{D5CDD505-2E9C-101B-9397-08002B2CF9AE}" pid="8" name="SourceModified">
    <vt:lpwstr>D:20240827145806</vt:lpwstr>
  </property>
</Properties>
</file>