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3953" w14:textId="1F555A37" w:rsidR="00CA1DD0" w:rsidRDefault="00CA1DD0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 xml:space="preserve">14 maja 2024 </w:t>
      </w:r>
    </w:p>
    <w:p w14:paraId="3C290CD8" w14:textId="70A7A5C4" w:rsidR="0043531D" w:rsidRDefault="00000000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Ś.420.17.2023.JB.9</w:t>
      </w:r>
    </w:p>
    <w:p w14:paraId="0DDE98A8" w14:textId="77777777" w:rsidR="0043531D" w:rsidRPr="00CA1DD0" w:rsidRDefault="00000000" w:rsidP="00CA1DD0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Cs/>
          <w:smallCaps/>
        </w:rPr>
      </w:pPr>
      <w:r w:rsidRPr="00CA1DD0">
        <w:rPr>
          <w:rFonts w:ascii="Arial" w:hAnsi="Arial" w:cs="Arial"/>
          <w:bCs/>
          <w:smallCaps/>
        </w:rPr>
        <w:t>OBWIESZCZENIE</w:t>
      </w:r>
    </w:p>
    <w:p w14:paraId="2F9324DF" w14:textId="77777777" w:rsidR="0043531D" w:rsidRDefault="00000000" w:rsidP="00FB7A5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(t.j. Dz. U. z 2024</w:t>
      </w:r>
      <w:r w:rsidRPr="00F75C47">
        <w:rPr>
          <w:rFonts w:ascii="Arial" w:hAnsi="Arial" w:cs="Arial"/>
          <w:sz w:val="22"/>
          <w:szCs w:val="22"/>
        </w:rPr>
        <w:t xml:space="preserve"> r. poz</w:t>
      </w:r>
      <w:r>
        <w:rPr>
          <w:rFonts w:ascii="Arial" w:hAnsi="Arial" w:cs="Arial"/>
          <w:sz w:val="22"/>
          <w:szCs w:val="22"/>
        </w:rPr>
        <w:t>. 572 – cyt. dalej jako k.p.a.), w związku z art. 74 ust. 3 ustawy z dnia 3 października 2008 r. o udostępnianiu informacji o środowisku i 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2023 r. poz. 1094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14:paraId="3AFA4F8F" w14:textId="77777777" w:rsidR="0043531D" w:rsidRPr="00CA1DD0" w:rsidRDefault="00000000" w:rsidP="00CA1DD0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Cs/>
          <w:sz w:val="22"/>
          <w:szCs w:val="22"/>
        </w:rPr>
      </w:pPr>
      <w:r w:rsidRPr="00CA1DD0">
        <w:rPr>
          <w:rFonts w:ascii="Arial" w:hAnsi="Arial" w:cs="Arial"/>
          <w:bCs/>
          <w:sz w:val="22"/>
          <w:szCs w:val="22"/>
        </w:rPr>
        <w:t>zawiadamiam strony postępowania,</w:t>
      </w:r>
    </w:p>
    <w:p w14:paraId="2FCB04E8" w14:textId="77777777" w:rsidR="0043531D" w:rsidRDefault="00000000" w:rsidP="00394323">
      <w:pPr>
        <w:tabs>
          <w:tab w:val="left" w:pos="42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>iach dla przedsięwzięcia pn.: „</w:t>
      </w:r>
      <w:r w:rsidRPr="00394323">
        <w:rPr>
          <w:rFonts w:ascii="Arial" w:hAnsi="Arial" w:cs="Arial"/>
        </w:rPr>
        <w:t>Przebudowa i modernizacja infrastruktury stacji "Radlin Marcel" oraz przebudowa przyległej do niej infrastruktury bocznicy kolejowej JSW KOKS S.A. wraz z wybranymi elementami infrastruktury kolejowej</w:t>
      </w:r>
      <w:r w:rsidRPr="00347AE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 materiałów oraz zgłoszonych żądań.</w:t>
      </w:r>
    </w:p>
    <w:p w14:paraId="1A87F799" w14:textId="77777777" w:rsidR="0043531D" w:rsidRDefault="00000000" w:rsidP="00871644">
      <w:pPr>
        <w:spacing w:before="120"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</w:t>
      </w:r>
      <w:r>
        <w:rPr>
          <w:rFonts w:ascii="Arial" w:hAnsi="Arial" w:cs="Arial"/>
        </w:rPr>
        <w:t xml:space="preserve"> zost</w:t>
      </w:r>
      <w:r w:rsidRPr="00FB7A50">
        <w:rPr>
          <w:rFonts w:ascii="Arial" w:hAnsi="Arial" w:cs="Arial"/>
        </w:rPr>
        <w:t>anie wydana nie wcześniej niż po upływie 7 dni od dnia doręczenia niniejszego zawiadomienia.</w:t>
      </w:r>
    </w:p>
    <w:p w14:paraId="6D326EB6" w14:textId="77777777" w:rsidR="0043531D" w:rsidRPr="00552E61" w:rsidRDefault="00000000" w:rsidP="00552E61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opinią </w:t>
      </w:r>
      <w:r w:rsidRPr="002E7D6A">
        <w:rPr>
          <w:rFonts w:ascii="Arial" w:hAnsi="Arial" w:cs="Arial"/>
          <w:bCs/>
        </w:rPr>
        <w:t>Śląski</w:t>
      </w:r>
      <w:r>
        <w:rPr>
          <w:rFonts w:ascii="Arial" w:hAnsi="Arial" w:cs="Arial"/>
          <w:bCs/>
        </w:rPr>
        <w:t>ego</w:t>
      </w:r>
      <w:r w:rsidRPr="002E7D6A">
        <w:rPr>
          <w:rFonts w:ascii="Arial" w:hAnsi="Arial" w:cs="Arial"/>
          <w:bCs/>
        </w:rPr>
        <w:t xml:space="preserve"> Państwow</w:t>
      </w:r>
      <w:r>
        <w:rPr>
          <w:rFonts w:ascii="Arial" w:hAnsi="Arial" w:cs="Arial"/>
          <w:bCs/>
        </w:rPr>
        <w:t>ego</w:t>
      </w:r>
      <w:r w:rsidRPr="002E7D6A">
        <w:rPr>
          <w:rFonts w:ascii="Arial" w:hAnsi="Arial" w:cs="Arial"/>
          <w:bCs/>
        </w:rPr>
        <w:t xml:space="preserve"> Wojewódzki</w:t>
      </w:r>
      <w:r>
        <w:rPr>
          <w:rFonts w:ascii="Arial" w:hAnsi="Arial" w:cs="Arial"/>
          <w:bCs/>
        </w:rPr>
        <w:t>ego</w:t>
      </w:r>
      <w:r w:rsidRPr="002E7D6A">
        <w:rPr>
          <w:rFonts w:ascii="Arial" w:hAnsi="Arial" w:cs="Arial"/>
          <w:bCs/>
        </w:rPr>
        <w:t xml:space="preserve"> Inspektor</w:t>
      </w:r>
      <w:r>
        <w:rPr>
          <w:rFonts w:ascii="Arial" w:hAnsi="Arial" w:cs="Arial"/>
          <w:bCs/>
        </w:rPr>
        <w:t>a</w:t>
      </w:r>
      <w:r w:rsidRPr="002E7D6A">
        <w:rPr>
          <w:rFonts w:ascii="Arial" w:hAnsi="Arial" w:cs="Arial"/>
          <w:bCs/>
        </w:rPr>
        <w:t xml:space="preserve"> Sanitarn</w:t>
      </w:r>
      <w:r>
        <w:rPr>
          <w:rFonts w:ascii="Arial" w:hAnsi="Arial" w:cs="Arial"/>
          <w:bCs/>
        </w:rPr>
        <w:t>ego z 6 lutego 2024 r. znak NS-NZ.9022.26.2.2024</w:t>
      </w:r>
      <w:r>
        <w:rPr>
          <w:rFonts w:ascii="Arial" w:hAnsi="Arial" w:cs="Arial"/>
        </w:rPr>
        <w:t xml:space="preserve"> oraz opinią Dyrektora Zarządu Zlewni Wód Polskich w Gliwicach z 29 kwietnia 2024 r. znak CG.ZZŚ.4901.18.2024.MS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Wydziale Ocen Oddziaływania na </w:t>
      </w:r>
      <w:r w:rsidRPr="00536531">
        <w:rPr>
          <w:rFonts w:ascii="Arial" w:hAnsi="Arial" w:cs="Arial"/>
        </w:rPr>
        <w:t>Środowisko Regionalnej Dyrekcji Ochrony Środowiska w</w:t>
      </w:r>
      <w:r>
        <w:rPr>
          <w:rFonts w:ascii="Arial" w:hAnsi="Arial" w:cs="Arial"/>
        </w:rPr>
        <w:t> 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 lub (032) 42 06 801</w:t>
      </w:r>
      <w:r w:rsidRPr="00536531">
        <w:rPr>
          <w:rFonts w:ascii="Arial" w:hAnsi="Arial" w:cs="Arial"/>
        </w:rPr>
        <w:t>).</w:t>
      </w:r>
    </w:p>
    <w:p w14:paraId="42CE3CEB" w14:textId="77777777" w:rsidR="0043531D" w:rsidRDefault="00000000" w:rsidP="00552E61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7D03E67F" w14:textId="77777777" w:rsidR="0043531D" w:rsidRDefault="00000000" w:rsidP="0055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19AEA241" w14:textId="77777777" w:rsidR="0043531D" w:rsidRDefault="00000000" w:rsidP="0055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5B9364DD" w14:textId="77777777" w:rsidR="0043531D" w:rsidRPr="00552E61" w:rsidRDefault="00000000" w:rsidP="00552E61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4091568A" w14:textId="4D41C8AD" w:rsidR="0043531D" w:rsidRPr="00552E61" w:rsidRDefault="00000000" w:rsidP="001057EC">
      <w:pPr>
        <w:tabs>
          <w:tab w:val="left" w:pos="360"/>
        </w:tabs>
        <w:spacing w:before="72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CA1DD0">
        <w:rPr>
          <w:rFonts w:ascii="Arial" w:eastAsia="Times New Roman" w:hAnsi="Arial" w:cs="Arial"/>
        </w:rPr>
        <w:t>15.05.2024</w:t>
      </w:r>
      <w:r w:rsidRPr="002959F3">
        <w:rPr>
          <w:rFonts w:ascii="Arial" w:eastAsia="Times New Roman" w:hAnsi="Arial" w:cs="Arial"/>
        </w:rPr>
        <w:t xml:space="preserve"> </w:t>
      </w:r>
      <w:r w:rsidR="00CA1DD0">
        <w:rPr>
          <w:rFonts w:ascii="Arial" w:eastAsia="Times New Roman" w:hAnsi="Arial" w:cs="Arial"/>
        </w:rPr>
        <w:t xml:space="preserve">r. </w:t>
      </w:r>
      <w:r w:rsidRPr="002959F3">
        <w:rPr>
          <w:rFonts w:ascii="Arial" w:eastAsia="Times New Roman" w:hAnsi="Arial" w:cs="Arial"/>
        </w:rPr>
        <w:t>do</w:t>
      </w:r>
      <w:r w:rsidR="00CA1DD0">
        <w:rPr>
          <w:rFonts w:ascii="Arial" w:eastAsia="Times New Roman" w:hAnsi="Arial" w:cs="Arial"/>
        </w:rPr>
        <w:t xml:space="preserve"> 29.05.2024 r.</w:t>
      </w:r>
    </w:p>
    <w:p w14:paraId="22B1C753" w14:textId="77777777" w:rsidR="0043531D" w:rsidRPr="00552E61" w:rsidRDefault="00000000" w:rsidP="001057EC">
      <w:pPr>
        <w:spacing w:before="228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14:paraId="193870CE" w14:textId="77777777" w:rsidR="0043531D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Inwestora</w:t>
      </w:r>
    </w:p>
    <w:p w14:paraId="254C4469" w14:textId="77777777" w:rsidR="0043531D" w:rsidRPr="001057EC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60BC116E" w14:textId="77777777" w:rsidR="00CA1DD0" w:rsidRPr="00CA1DD0" w:rsidRDefault="00000000" w:rsidP="00552E61">
      <w:pPr>
        <w:pStyle w:val="Akapitzlist"/>
        <w:numPr>
          <w:ilvl w:val="0"/>
          <w:numId w:val="4"/>
        </w:numPr>
        <w:spacing w:before="120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A1DD0">
        <w:rPr>
          <w:rFonts w:ascii="Arial" w:hAnsi="Arial" w:cs="Arial"/>
          <w:sz w:val="20"/>
          <w:szCs w:val="20"/>
        </w:rPr>
        <w:t>WOOŚ a/a</w:t>
      </w:r>
    </w:p>
    <w:p w14:paraId="050D42A1" w14:textId="46EBD7A1" w:rsidR="0043531D" w:rsidRPr="00CA1DD0" w:rsidRDefault="00000000" w:rsidP="00CA1DD0">
      <w:pPr>
        <w:spacing w:before="120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A1DD0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CA1DD0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 49 Kodeksu postępowania administracyjnego”</w:t>
      </w:r>
      <w:r w:rsidRPr="00CA1DD0">
        <w:rPr>
          <w:rFonts w:ascii="Arial" w:hAnsi="Arial" w:cs="Arial"/>
          <w:bCs/>
          <w:sz w:val="20"/>
          <w:szCs w:val="20"/>
        </w:rPr>
        <w:t>.</w:t>
      </w:r>
    </w:p>
    <w:p w14:paraId="68C1CCEA" w14:textId="77777777" w:rsidR="0043531D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6DDF1036" w14:textId="77777777" w:rsidR="0043531D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217DD457" w14:textId="77777777" w:rsidR="0043531D" w:rsidRPr="00054C80" w:rsidRDefault="00000000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43531D" w:rsidRPr="00054C80" w:rsidSect="003472B2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97FE7" w14:textId="77777777" w:rsidR="006A4358" w:rsidRDefault="006A4358">
      <w:pPr>
        <w:spacing w:after="0" w:line="240" w:lineRule="auto"/>
      </w:pPr>
      <w:r>
        <w:separator/>
      </w:r>
    </w:p>
  </w:endnote>
  <w:endnote w:type="continuationSeparator" w:id="0">
    <w:p w14:paraId="45394B1E" w14:textId="77777777" w:rsidR="006A4358" w:rsidRDefault="006A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CEDD" w14:textId="77777777" w:rsidR="0043531D" w:rsidRPr="001125F4" w:rsidRDefault="0043531D" w:rsidP="00037978">
    <w:pPr>
      <w:pStyle w:val="Stopka"/>
      <w:jc w:val="center"/>
      <w:rPr>
        <w:b/>
        <w:sz w:val="18"/>
      </w:rPr>
    </w:pPr>
  </w:p>
  <w:p w14:paraId="7E833BD0" w14:textId="77777777" w:rsidR="0043531D" w:rsidRPr="00037978" w:rsidRDefault="0043531D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CD01B" w14:textId="77777777" w:rsidR="006A4358" w:rsidRDefault="006A4358">
      <w:pPr>
        <w:spacing w:after="0" w:line="240" w:lineRule="auto"/>
      </w:pPr>
      <w:r>
        <w:separator/>
      </w:r>
    </w:p>
  </w:footnote>
  <w:footnote w:type="continuationSeparator" w:id="0">
    <w:p w14:paraId="48DFEC74" w14:textId="77777777" w:rsidR="006A4358" w:rsidRDefault="006A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74657"/>
    <w:multiLevelType w:val="hybridMultilevel"/>
    <w:tmpl w:val="8E34C342"/>
    <w:lvl w:ilvl="0" w:tplc="8DC40850">
      <w:start w:val="1"/>
      <w:numFmt w:val="decimal"/>
      <w:lvlText w:val="%1."/>
      <w:lvlJc w:val="left"/>
      <w:pPr>
        <w:ind w:left="720" w:hanging="360"/>
      </w:pPr>
    </w:lvl>
    <w:lvl w:ilvl="1" w:tplc="21E0F9EA" w:tentative="1">
      <w:start w:val="1"/>
      <w:numFmt w:val="lowerLetter"/>
      <w:lvlText w:val="%2."/>
      <w:lvlJc w:val="left"/>
      <w:pPr>
        <w:ind w:left="1440" w:hanging="360"/>
      </w:pPr>
    </w:lvl>
    <w:lvl w:ilvl="2" w:tplc="14C63DD6" w:tentative="1">
      <w:start w:val="1"/>
      <w:numFmt w:val="lowerRoman"/>
      <w:lvlText w:val="%3."/>
      <w:lvlJc w:val="right"/>
      <w:pPr>
        <w:ind w:left="2160" w:hanging="180"/>
      </w:pPr>
    </w:lvl>
    <w:lvl w:ilvl="3" w:tplc="B48260BC" w:tentative="1">
      <w:start w:val="1"/>
      <w:numFmt w:val="decimal"/>
      <w:lvlText w:val="%4."/>
      <w:lvlJc w:val="left"/>
      <w:pPr>
        <w:ind w:left="2880" w:hanging="360"/>
      </w:pPr>
    </w:lvl>
    <w:lvl w:ilvl="4" w:tplc="77CC44CA" w:tentative="1">
      <w:start w:val="1"/>
      <w:numFmt w:val="lowerLetter"/>
      <w:lvlText w:val="%5."/>
      <w:lvlJc w:val="left"/>
      <w:pPr>
        <w:ind w:left="3600" w:hanging="360"/>
      </w:pPr>
    </w:lvl>
    <w:lvl w:ilvl="5" w:tplc="4928E256" w:tentative="1">
      <w:start w:val="1"/>
      <w:numFmt w:val="lowerRoman"/>
      <w:lvlText w:val="%6."/>
      <w:lvlJc w:val="right"/>
      <w:pPr>
        <w:ind w:left="4320" w:hanging="180"/>
      </w:pPr>
    </w:lvl>
    <w:lvl w:ilvl="6" w:tplc="8F8458E8" w:tentative="1">
      <w:start w:val="1"/>
      <w:numFmt w:val="decimal"/>
      <w:lvlText w:val="%7."/>
      <w:lvlJc w:val="left"/>
      <w:pPr>
        <w:ind w:left="5040" w:hanging="360"/>
      </w:pPr>
    </w:lvl>
    <w:lvl w:ilvl="7" w:tplc="3446BBF4" w:tentative="1">
      <w:start w:val="1"/>
      <w:numFmt w:val="lowerLetter"/>
      <w:lvlText w:val="%8."/>
      <w:lvlJc w:val="left"/>
      <w:pPr>
        <w:ind w:left="5760" w:hanging="360"/>
      </w:pPr>
    </w:lvl>
    <w:lvl w:ilvl="8" w:tplc="1F264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F1ACE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454799A" w:tentative="1">
      <w:start w:val="1"/>
      <w:numFmt w:val="lowerLetter"/>
      <w:lvlText w:val="%2."/>
      <w:lvlJc w:val="left"/>
      <w:pPr>
        <w:ind w:left="1440" w:hanging="360"/>
      </w:pPr>
    </w:lvl>
    <w:lvl w:ilvl="2" w:tplc="81201B50" w:tentative="1">
      <w:start w:val="1"/>
      <w:numFmt w:val="lowerRoman"/>
      <w:lvlText w:val="%3."/>
      <w:lvlJc w:val="right"/>
      <w:pPr>
        <w:ind w:left="2160" w:hanging="180"/>
      </w:pPr>
    </w:lvl>
    <w:lvl w:ilvl="3" w:tplc="0E2C1D8C" w:tentative="1">
      <w:start w:val="1"/>
      <w:numFmt w:val="decimal"/>
      <w:lvlText w:val="%4."/>
      <w:lvlJc w:val="left"/>
      <w:pPr>
        <w:ind w:left="2880" w:hanging="360"/>
      </w:pPr>
    </w:lvl>
    <w:lvl w:ilvl="4" w:tplc="E7401074" w:tentative="1">
      <w:start w:val="1"/>
      <w:numFmt w:val="lowerLetter"/>
      <w:lvlText w:val="%5."/>
      <w:lvlJc w:val="left"/>
      <w:pPr>
        <w:ind w:left="3600" w:hanging="360"/>
      </w:pPr>
    </w:lvl>
    <w:lvl w:ilvl="5" w:tplc="AE22D086" w:tentative="1">
      <w:start w:val="1"/>
      <w:numFmt w:val="lowerRoman"/>
      <w:lvlText w:val="%6."/>
      <w:lvlJc w:val="right"/>
      <w:pPr>
        <w:ind w:left="4320" w:hanging="180"/>
      </w:pPr>
    </w:lvl>
    <w:lvl w:ilvl="6" w:tplc="592A19BE" w:tentative="1">
      <w:start w:val="1"/>
      <w:numFmt w:val="decimal"/>
      <w:lvlText w:val="%7."/>
      <w:lvlJc w:val="left"/>
      <w:pPr>
        <w:ind w:left="5040" w:hanging="360"/>
      </w:pPr>
    </w:lvl>
    <w:lvl w:ilvl="7" w:tplc="0AC445D0" w:tentative="1">
      <w:start w:val="1"/>
      <w:numFmt w:val="lowerLetter"/>
      <w:lvlText w:val="%8."/>
      <w:lvlJc w:val="left"/>
      <w:pPr>
        <w:ind w:left="5760" w:hanging="360"/>
      </w:pPr>
    </w:lvl>
    <w:lvl w:ilvl="8" w:tplc="B2DA0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2113550353">
    <w:abstractNumId w:val="2"/>
  </w:num>
  <w:num w:numId="2" w16cid:durableId="1242715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250680">
    <w:abstractNumId w:val="1"/>
  </w:num>
  <w:num w:numId="4" w16cid:durableId="127667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0"/>
    <w:rsid w:val="0043531D"/>
    <w:rsid w:val="00497670"/>
    <w:rsid w:val="006A4358"/>
    <w:rsid w:val="007C71A0"/>
    <w:rsid w:val="00A3353B"/>
    <w:rsid w:val="00C85C9F"/>
    <w:rsid w:val="00CA1DD0"/>
    <w:rsid w:val="00F1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40A1"/>
  <w15:docId w15:val="{E375875F-017D-4421-BFD4-60813EA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4</cp:revision>
  <dcterms:created xsi:type="dcterms:W3CDTF">2024-05-15T07:06:00Z</dcterms:created>
  <dcterms:modified xsi:type="dcterms:W3CDTF">2024-05-15T07:09:00Z</dcterms:modified>
</cp:coreProperties>
</file>