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91EE" w14:textId="257D94CF" w:rsidR="00742946" w:rsidRPr="006C3201" w:rsidRDefault="0090025E" w:rsidP="00F93B7D">
      <w:pPr>
        <w:pStyle w:val="Pagedecouverture"/>
        <w:rPr>
          <w:noProof/>
        </w:rPr>
      </w:pPr>
      <w:r>
        <w:rPr>
          <w:noProof/>
        </w:rPr>
        <w:drawing>
          <wp:inline distT="0" distB="0" distL="0" distR="0" wp14:anchorId="399F0C2C" wp14:editId="2FF6ADFD">
            <wp:extent cx="5778500" cy="5067300"/>
            <wp:effectExtent l="0" t="0" r="0" b="0"/>
            <wp:docPr id="1" name="Obraz 1" descr="8547DE40-624B-442B-8209-143640177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547DE40-624B-442B-8209-1436401776A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8500" cy="5067300"/>
                    </a:xfrm>
                    <a:prstGeom prst="rect">
                      <a:avLst/>
                    </a:prstGeom>
                    <a:noFill/>
                    <a:ln>
                      <a:noFill/>
                    </a:ln>
                  </pic:spPr>
                </pic:pic>
              </a:graphicData>
            </a:graphic>
          </wp:inline>
        </w:drawing>
      </w:r>
    </w:p>
    <w:p w14:paraId="7FB30E15" w14:textId="77777777" w:rsidR="00742946" w:rsidRPr="006C3201" w:rsidRDefault="00742946" w:rsidP="00914D12">
      <w:pPr>
        <w:rPr>
          <w:noProof/>
        </w:rPr>
        <w:sectPr w:rsidR="00742946" w:rsidRPr="006C3201" w:rsidSect="00F93B7D">
          <w:footerReference w:type="even" r:id="rId12"/>
          <w:footerReference w:type="default" r:id="rId13"/>
          <w:pgSz w:w="11907" w:h="16839"/>
          <w:pgMar w:top="1134" w:right="1417" w:bottom="1134" w:left="1417" w:header="709" w:footer="709" w:gutter="0"/>
          <w:pgNumType w:start="0"/>
          <w:cols w:space="720"/>
          <w:docGrid w:linePitch="360"/>
        </w:sectPr>
      </w:pPr>
    </w:p>
    <w:p w14:paraId="1330256E" w14:textId="77777777" w:rsidR="00604861" w:rsidRPr="006C3201" w:rsidRDefault="00604861">
      <w:pPr>
        <w:pStyle w:val="Exposdesmotifstitre"/>
        <w:rPr>
          <w:noProof/>
        </w:rPr>
      </w:pPr>
      <w:r w:rsidRPr="006C3201">
        <w:rPr>
          <w:noProof/>
        </w:rPr>
        <w:lastRenderedPageBreak/>
        <w:t>UZASADNIENIE</w:t>
      </w:r>
    </w:p>
    <w:p w14:paraId="3918B2B8" w14:textId="77777777" w:rsidR="00604861" w:rsidRPr="006C3201" w:rsidRDefault="00604861">
      <w:pPr>
        <w:widowControl w:val="0"/>
        <w:shd w:val="clear" w:color="auto" w:fill="FFFFFF"/>
        <w:autoSpaceDE w:val="0"/>
        <w:autoSpaceDN w:val="0"/>
        <w:adjustRightInd w:val="0"/>
        <w:spacing w:before="230" w:after="0" w:line="269" w:lineRule="exact"/>
        <w:ind w:right="86"/>
        <w:rPr>
          <w:noProof/>
          <w:color w:val="008000"/>
        </w:rPr>
      </w:pPr>
    </w:p>
    <w:p w14:paraId="038D1ACF" w14:textId="77777777" w:rsidR="00604861" w:rsidRPr="006C3201" w:rsidRDefault="00604861">
      <w:pPr>
        <w:pStyle w:val="ManualHeading1"/>
        <w:rPr>
          <w:noProof/>
        </w:rPr>
      </w:pPr>
      <w:bookmarkStart w:id="0" w:name="_Toc214887188"/>
      <w:r w:rsidRPr="006C3201">
        <w:rPr>
          <w:noProof/>
        </w:rPr>
        <w:t>1.</w:t>
      </w:r>
      <w:r w:rsidRPr="006C3201">
        <w:rPr>
          <w:noProof/>
        </w:rPr>
        <w:tab/>
        <w:t>KONTEKST WNIOSKU</w:t>
      </w:r>
      <w:bookmarkEnd w:id="0"/>
    </w:p>
    <w:p w14:paraId="574A2222" w14:textId="77777777" w:rsidR="00604861" w:rsidRPr="006C3201" w:rsidRDefault="00604861">
      <w:pPr>
        <w:pStyle w:val="ManualHeading2"/>
        <w:rPr>
          <w:rFonts w:eastAsia="Arial Unicode MS"/>
          <w:noProof/>
        </w:rPr>
      </w:pPr>
      <w:bookmarkStart w:id="1" w:name="_Toc214887189"/>
      <w:r w:rsidRPr="006C3201">
        <w:rPr>
          <w:noProof/>
          <w:u w:color="000000"/>
          <w:bdr w:val="nil"/>
        </w:rPr>
        <w:t>•</w:t>
      </w:r>
      <w:r w:rsidRPr="006C3201">
        <w:rPr>
          <w:noProof/>
        </w:rPr>
        <w:tab/>
        <w:t>Przyczyny</w:t>
      </w:r>
      <w:r w:rsidR="00110A93" w:rsidRPr="006C3201">
        <w:rPr>
          <w:noProof/>
        </w:rPr>
        <w:t xml:space="preserve"> i</w:t>
      </w:r>
      <w:r w:rsidR="00110A93">
        <w:rPr>
          <w:noProof/>
        </w:rPr>
        <w:t> </w:t>
      </w:r>
      <w:r w:rsidR="00110A93" w:rsidRPr="006C3201">
        <w:rPr>
          <w:noProof/>
        </w:rPr>
        <w:t>cel</w:t>
      </w:r>
      <w:r w:rsidRPr="006C3201">
        <w:rPr>
          <w:noProof/>
        </w:rPr>
        <w:t>e wniosku</w:t>
      </w:r>
      <w:bookmarkEnd w:id="1"/>
    </w:p>
    <w:p w14:paraId="520C4F43" w14:textId="77777777" w:rsidR="00627DEE" w:rsidRPr="006C3201" w:rsidRDefault="00B82399">
      <w:pPr>
        <w:pBdr>
          <w:top w:val="nil"/>
          <w:left w:val="nil"/>
          <w:bottom w:val="nil"/>
          <w:right w:val="nil"/>
          <w:between w:val="nil"/>
          <w:bar w:val="nil"/>
        </w:pBdr>
        <w:spacing w:before="0" w:after="240"/>
        <w:rPr>
          <w:noProof/>
        </w:rPr>
      </w:pPr>
      <w:r w:rsidRPr="006C3201">
        <w:rPr>
          <w:noProof/>
        </w:rPr>
        <w:t>Dyrektywą (UE) 2023/959</w:t>
      </w:r>
      <w:r w:rsidRPr="006C3201">
        <w:rPr>
          <w:rStyle w:val="Odwoanieprzypisudolnego"/>
          <w:noProof/>
        </w:rPr>
        <w:footnoteReference w:id="2"/>
      </w:r>
      <w:r w:rsidRPr="006C3201">
        <w:rPr>
          <w:noProof/>
        </w:rPr>
        <w:t xml:space="preserve"> zmieniono decyzję (UE) 2015/1814</w:t>
      </w:r>
      <w:r w:rsidR="00110A93" w:rsidRPr="006C3201">
        <w:rPr>
          <w:noProof/>
        </w:rPr>
        <w:t xml:space="preserve"> w</w:t>
      </w:r>
      <w:r w:rsidR="00110A93">
        <w:rPr>
          <w:noProof/>
        </w:rPr>
        <w:t> </w:t>
      </w:r>
      <w:r w:rsidR="00110A93" w:rsidRPr="006C3201">
        <w:rPr>
          <w:noProof/>
        </w:rPr>
        <w:t>spr</w:t>
      </w:r>
      <w:r w:rsidRPr="006C3201">
        <w:rPr>
          <w:noProof/>
        </w:rPr>
        <w:t>awie ustanowienia</w:t>
      </w:r>
      <w:r w:rsidR="00110A93" w:rsidRPr="006C3201">
        <w:rPr>
          <w:noProof/>
        </w:rPr>
        <w:t xml:space="preserve"> i</w:t>
      </w:r>
      <w:r w:rsidR="00110A93">
        <w:rPr>
          <w:noProof/>
        </w:rPr>
        <w:t> </w:t>
      </w:r>
      <w:r w:rsidR="00110A93" w:rsidRPr="006C3201">
        <w:rPr>
          <w:noProof/>
        </w:rPr>
        <w:t>fun</w:t>
      </w:r>
      <w:r w:rsidRPr="006C3201">
        <w:rPr>
          <w:noProof/>
        </w:rPr>
        <w:t>kcjonowania rezerwy stabilności rynkowej dla unijnego systemu handlu uprawnieniami do emisji gazów cieplarnianych oraz ustanowiono rezerwę stabilności rynkowej dla systemu handlu uprawnieniami do emisji</w:t>
      </w:r>
      <w:r w:rsidR="00110A93" w:rsidRPr="006C3201">
        <w:rPr>
          <w:noProof/>
        </w:rPr>
        <w:t xml:space="preserve"> w</w:t>
      </w:r>
      <w:r w:rsidR="00110A93">
        <w:rPr>
          <w:noProof/>
        </w:rPr>
        <w:t> </w:t>
      </w:r>
      <w:r w:rsidR="00110A93" w:rsidRPr="006C3201">
        <w:rPr>
          <w:noProof/>
        </w:rPr>
        <w:t>odn</w:t>
      </w:r>
      <w:r w:rsidRPr="006C3201">
        <w:rPr>
          <w:noProof/>
        </w:rPr>
        <w:t>iesieniu do sektora budowlanego, sektora transportu drogowego</w:t>
      </w:r>
      <w:r w:rsidR="00110A93" w:rsidRPr="006C3201">
        <w:rPr>
          <w:noProof/>
        </w:rPr>
        <w:t xml:space="preserve"> i</w:t>
      </w:r>
      <w:r w:rsidR="00110A93">
        <w:rPr>
          <w:noProof/>
        </w:rPr>
        <w:t> </w:t>
      </w:r>
      <w:r w:rsidR="00110A93" w:rsidRPr="006C3201">
        <w:rPr>
          <w:noProof/>
        </w:rPr>
        <w:t>sek</w:t>
      </w:r>
      <w:r w:rsidRPr="006C3201">
        <w:rPr>
          <w:noProof/>
        </w:rPr>
        <w:t>torów dodatkowych (ETS2). Rezerwa stabilności rynkowej ma na celu ograniczenie ryzyka nierównowagi podaży</w:t>
      </w:r>
      <w:r w:rsidR="00110A93" w:rsidRPr="006C3201">
        <w:rPr>
          <w:noProof/>
        </w:rPr>
        <w:t xml:space="preserve"> i</w:t>
      </w:r>
      <w:r w:rsidR="00110A93">
        <w:rPr>
          <w:noProof/>
        </w:rPr>
        <w:t> </w:t>
      </w:r>
      <w:r w:rsidR="00110A93" w:rsidRPr="006C3201">
        <w:rPr>
          <w:noProof/>
        </w:rPr>
        <w:t>pop</w:t>
      </w:r>
      <w:r w:rsidRPr="006C3201">
        <w:rPr>
          <w:noProof/>
        </w:rPr>
        <w:t>ytu związanego</w:t>
      </w:r>
      <w:r w:rsidR="00110A93" w:rsidRPr="006C3201">
        <w:rPr>
          <w:noProof/>
        </w:rPr>
        <w:t xml:space="preserve"> z</w:t>
      </w:r>
      <w:r w:rsidR="00110A93">
        <w:rPr>
          <w:noProof/>
        </w:rPr>
        <w:t> </w:t>
      </w:r>
      <w:r w:rsidR="00110A93" w:rsidRPr="006C3201">
        <w:rPr>
          <w:noProof/>
        </w:rPr>
        <w:t>uru</w:t>
      </w:r>
      <w:r w:rsidRPr="006C3201">
        <w:rPr>
          <w:noProof/>
        </w:rPr>
        <w:t>chomieniem ETS2 oraz zwiększenie odporności systemu na wstrząsy rynkowe. Stabilność rynku ma zasadnicze znaczenie dla prawidłowego funkcjonowania ETS2, aby system ten mógł osiągnąć swoje cele polegające na zapewnianiu zachęt ekonomicznych do redukcji emisji we wszystkich objętych nim sektorach, przy jednoczesnym unikaniu niepożądanych wpływów na ceny.</w:t>
      </w:r>
    </w:p>
    <w:p w14:paraId="3D49A02C" w14:textId="77777777" w:rsidR="00FA1215" w:rsidRPr="006C3201" w:rsidRDefault="00507683">
      <w:pPr>
        <w:pBdr>
          <w:top w:val="nil"/>
          <w:left w:val="nil"/>
          <w:bottom w:val="nil"/>
          <w:right w:val="nil"/>
          <w:between w:val="nil"/>
          <w:bar w:val="nil"/>
        </w:pBdr>
        <w:spacing w:before="0" w:after="240"/>
        <w:rPr>
          <w:noProof/>
        </w:rPr>
      </w:pPr>
      <w:r w:rsidRPr="006C3201">
        <w:rPr>
          <w:noProof/>
        </w:rPr>
        <w:t>W decyzji (UE) 2015/1814 Komisję zobowiązano do stałego monitorowania funkcjonowania rezerwy</w:t>
      </w:r>
      <w:r w:rsidR="00110A93" w:rsidRPr="006C3201">
        <w:rPr>
          <w:noProof/>
        </w:rPr>
        <w:t xml:space="preserve"> i</w:t>
      </w:r>
      <w:r w:rsidR="00110A93">
        <w:rPr>
          <w:noProof/>
        </w:rPr>
        <w:t> </w:t>
      </w:r>
      <w:r w:rsidR="00110A93" w:rsidRPr="006C3201">
        <w:rPr>
          <w:noProof/>
        </w:rPr>
        <w:t>zap</w:t>
      </w:r>
      <w:r w:rsidRPr="006C3201">
        <w:rPr>
          <w:noProof/>
        </w:rPr>
        <w:t>ewnienia jej adekwatności do zakładanych celów</w:t>
      </w:r>
      <w:r w:rsidR="00110A93" w:rsidRPr="006C3201">
        <w:rPr>
          <w:noProof/>
        </w:rPr>
        <w:t>. W</w:t>
      </w:r>
      <w:r w:rsidR="00110A93">
        <w:rPr>
          <w:noProof/>
        </w:rPr>
        <w:t> </w:t>
      </w:r>
      <w:r w:rsidR="00110A93" w:rsidRPr="006C3201">
        <w:rPr>
          <w:noProof/>
        </w:rPr>
        <w:t>raz</w:t>
      </w:r>
      <w:r w:rsidRPr="006C3201">
        <w:rPr>
          <w:noProof/>
        </w:rPr>
        <w:t>ie potrzeby, na podstawie tego monitorowania, Komisja powinna przedstawić wniosek mający na celu poprawę skuteczności systemu handlu uprawnieniami do emisji, zarządzania nim</w:t>
      </w:r>
      <w:r w:rsidR="00110A93" w:rsidRPr="006C3201">
        <w:rPr>
          <w:noProof/>
        </w:rPr>
        <w:t xml:space="preserve"> i</w:t>
      </w:r>
      <w:r w:rsidR="00110A93">
        <w:rPr>
          <w:noProof/>
        </w:rPr>
        <w:t> </w:t>
      </w:r>
      <w:r w:rsidR="00110A93" w:rsidRPr="006C3201">
        <w:rPr>
          <w:noProof/>
        </w:rPr>
        <w:t>jeg</w:t>
      </w:r>
      <w:r w:rsidRPr="006C3201">
        <w:rPr>
          <w:noProof/>
        </w:rPr>
        <w:t>o praktycznego stosowania</w:t>
      </w:r>
      <w:r w:rsidR="00110A93" w:rsidRPr="006C3201">
        <w:rPr>
          <w:noProof/>
        </w:rPr>
        <w:t xml:space="preserve"> w</w:t>
      </w:r>
      <w:r w:rsidR="00110A93">
        <w:rPr>
          <w:noProof/>
        </w:rPr>
        <w:t> </w:t>
      </w:r>
      <w:r w:rsidR="00110A93" w:rsidRPr="006C3201">
        <w:rPr>
          <w:noProof/>
        </w:rPr>
        <w:t>tyc</w:t>
      </w:r>
      <w:r w:rsidRPr="006C3201">
        <w:rPr>
          <w:noProof/>
        </w:rPr>
        <w:t>h sektorach.</w:t>
      </w:r>
    </w:p>
    <w:p w14:paraId="4C9281DD" w14:textId="77777777" w:rsidR="006A566E" w:rsidRPr="006C3201" w:rsidRDefault="007B056E" w:rsidP="55E00356">
      <w:pPr>
        <w:pBdr>
          <w:bar w:val="nil"/>
        </w:pBdr>
        <w:spacing w:before="0" w:after="240"/>
        <w:rPr>
          <w:noProof/>
        </w:rPr>
      </w:pPr>
      <w:r w:rsidRPr="006C3201">
        <w:rPr>
          <w:noProof/>
        </w:rPr>
        <w:t>Od czasu wejścia</w:t>
      </w:r>
      <w:r w:rsidR="00110A93" w:rsidRPr="006C3201">
        <w:rPr>
          <w:noProof/>
        </w:rPr>
        <w:t xml:space="preserve"> w</w:t>
      </w:r>
      <w:r w:rsidR="00110A93">
        <w:rPr>
          <w:noProof/>
        </w:rPr>
        <w:t> </w:t>
      </w:r>
      <w:r w:rsidR="00110A93" w:rsidRPr="006C3201">
        <w:rPr>
          <w:noProof/>
        </w:rPr>
        <w:t>życ</w:t>
      </w:r>
      <w:r w:rsidRPr="006C3201">
        <w:rPr>
          <w:noProof/>
        </w:rPr>
        <w:t>ie ETS2</w:t>
      </w:r>
      <w:r w:rsidR="00110A93" w:rsidRPr="006C3201">
        <w:rPr>
          <w:noProof/>
        </w:rPr>
        <w:t xml:space="preserve"> w</w:t>
      </w:r>
      <w:r w:rsidR="00110A93">
        <w:rPr>
          <w:noProof/>
        </w:rPr>
        <w:t> </w:t>
      </w:r>
      <w:r w:rsidR="00110A93" w:rsidRPr="006C3201">
        <w:rPr>
          <w:noProof/>
        </w:rPr>
        <w:t>cze</w:t>
      </w:r>
      <w:r w:rsidRPr="006C3201">
        <w:rPr>
          <w:noProof/>
        </w:rPr>
        <w:t>rwcu 2023 r.</w:t>
      </w:r>
      <w:r w:rsidR="00110A93" w:rsidRPr="006C3201">
        <w:rPr>
          <w:noProof/>
        </w:rPr>
        <w:t xml:space="preserve"> w</w:t>
      </w:r>
      <w:r w:rsidR="00110A93">
        <w:rPr>
          <w:noProof/>
        </w:rPr>
        <w:t> </w:t>
      </w:r>
      <w:r w:rsidR="00110A93" w:rsidRPr="006C3201">
        <w:rPr>
          <w:noProof/>
        </w:rPr>
        <w:t>wyn</w:t>
      </w:r>
      <w:r w:rsidRPr="006C3201">
        <w:rPr>
          <w:noProof/>
        </w:rPr>
        <w:t>iku szeregu wydarzeń zgromadzono dodatkowe wskazówki</w:t>
      </w:r>
      <w:r w:rsidR="00110A93" w:rsidRPr="006C3201">
        <w:rPr>
          <w:noProof/>
        </w:rPr>
        <w:t xml:space="preserve"> i</w:t>
      </w:r>
      <w:r w:rsidR="00110A93">
        <w:rPr>
          <w:noProof/>
        </w:rPr>
        <w:t> </w:t>
      </w:r>
      <w:r w:rsidR="00110A93" w:rsidRPr="006C3201">
        <w:rPr>
          <w:noProof/>
        </w:rPr>
        <w:t>inf</w:t>
      </w:r>
      <w:r w:rsidRPr="006C3201">
        <w:rPr>
          <w:noProof/>
        </w:rPr>
        <w:t>ormacje na temat oczekiwanej przyszłej płynności rynku, poziomów cen oraz zmienności na rynku ETS2. Chodzi m. in.</w:t>
      </w:r>
      <w:r w:rsidR="00110A93" w:rsidRPr="006C3201">
        <w:rPr>
          <w:noProof/>
        </w:rPr>
        <w:t xml:space="preserve"> o</w:t>
      </w:r>
      <w:r w:rsidR="00110A93">
        <w:rPr>
          <w:noProof/>
        </w:rPr>
        <w:t> </w:t>
      </w:r>
      <w:r w:rsidR="00110A93" w:rsidRPr="006C3201">
        <w:rPr>
          <w:noProof/>
        </w:rPr>
        <w:t>doś</w:t>
      </w:r>
      <w:r w:rsidRPr="006C3201">
        <w:rPr>
          <w:noProof/>
        </w:rPr>
        <w:t>wiadczenia zdobyte podczas wdrażania ETS2 przez Komisję</w:t>
      </w:r>
      <w:r w:rsidR="00110A93" w:rsidRPr="006C3201">
        <w:rPr>
          <w:noProof/>
        </w:rPr>
        <w:t xml:space="preserve"> i</w:t>
      </w:r>
      <w:r w:rsidR="00110A93">
        <w:rPr>
          <w:noProof/>
        </w:rPr>
        <w:t> </w:t>
      </w:r>
      <w:r w:rsidR="00110A93" w:rsidRPr="006C3201">
        <w:rPr>
          <w:noProof/>
        </w:rPr>
        <w:t>org</w:t>
      </w:r>
      <w:r w:rsidRPr="006C3201">
        <w:rPr>
          <w:noProof/>
        </w:rPr>
        <w:t>any krajowe, rozpoczęcie monitorowania</w:t>
      </w:r>
      <w:r w:rsidR="00110A93" w:rsidRPr="006C3201">
        <w:rPr>
          <w:noProof/>
        </w:rPr>
        <w:t xml:space="preserve"> i</w:t>
      </w:r>
      <w:r w:rsidR="00110A93">
        <w:rPr>
          <w:noProof/>
        </w:rPr>
        <w:t> </w:t>
      </w:r>
      <w:r w:rsidR="00110A93" w:rsidRPr="006C3201">
        <w:rPr>
          <w:noProof/>
        </w:rPr>
        <w:t>spr</w:t>
      </w:r>
      <w:r w:rsidRPr="006C3201">
        <w:rPr>
          <w:noProof/>
        </w:rPr>
        <w:t>awozdawczości</w:t>
      </w:r>
      <w:r w:rsidR="00110A93" w:rsidRPr="006C3201">
        <w:rPr>
          <w:noProof/>
        </w:rPr>
        <w:t xml:space="preserve"> w</w:t>
      </w:r>
      <w:r w:rsidR="00110A93">
        <w:rPr>
          <w:noProof/>
        </w:rPr>
        <w:t> </w:t>
      </w:r>
      <w:r w:rsidR="00110A93" w:rsidRPr="006C3201">
        <w:rPr>
          <w:noProof/>
        </w:rPr>
        <w:t>zak</w:t>
      </w:r>
      <w:r w:rsidRPr="006C3201">
        <w:rPr>
          <w:noProof/>
        </w:rPr>
        <w:t>resie emisji, szeroki zakres prognoz dotyczących przyszłych cen uprawnień</w:t>
      </w:r>
      <w:r w:rsidR="00110A93" w:rsidRPr="006C3201">
        <w:rPr>
          <w:noProof/>
        </w:rPr>
        <w:t xml:space="preserve"> w</w:t>
      </w:r>
      <w:r w:rsidR="00110A93">
        <w:rPr>
          <w:noProof/>
        </w:rPr>
        <w:t> </w:t>
      </w:r>
      <w:r w:rsidR="00110A93" w:rsidRPr="006C3201">
        <w:rPr>
          <w:noProof/>
        </w:rPr>
        <w:t>ram</w:t>
      </w:r>
      <w:r w:rsidRPr="006C3201">
        <w:rPr>
          <w:noProof/>
        </w:rPr>
        <w:t>ach ETS2 oraz złożoność prognoz dotyczących wskaźników rynkowych po stronie popytu. Rzucają one również światło na podstawowe czynniki, co do których oczekuje się, że będą miały wpływ na stabilność rynku</w:t>
      </w:r>
      <w:r w:rsidR="00110A93" w:rsidRPr="006C3201">
        <w:rPr>
          <w:noProof/>
        </w:rPr>
        <w:t xml:space="preserve"> i</w:t>
      </w:r>
      <w:r w:rsidR="00110A93">
        <w:rPr>
          <w:noProof/>
        </w:rPr>
        <w:t> </w:t>
      </w:r>
      <w:r w:rsidR="00110A93" w:rsidRPr="006C3201">
        <w:rPr>
          <w:noProof/>
        </w:rPr>
        <w:t>dłu</w:t>
      </w:r>
      <w:r w:rsidRPr="006C3201">
        <w:rPr>
          <w:noProof/>
        </w:rPr>
        <w:t>goterminową przewidywalność. Czynniki te obejmują szybkość wdrażania przez państwa członkowskie uzupełniających polityk</w:t>
      </w:r>
      <w:r w:rsidR="00110A93" w:rsidRPr="006C3201">
        <w:rPr>
          <w:noProof/>
        </w:rPr>
        <w:t xml:space="preserve"> i</w:t>
      </w:r>
      <w:r w:rsidR="00110A93">
        <w:rPr>
          <w:noProof/>
        </w:rPr>
        <w:t> </w:t>
      </w:r>
      <w:r w:rsidR="00110A93" w:rsidRPr="006C3201">
        <w:rPr>
          <w:noProof/>
        </w:rPr>
        <w:t>śro</w:t>
      </w:r>
      <w:r w:rsidRPr="006C3201">
        <w:rPr>
          <w:noProof/>
        </w:rPr>
        <w:t xml:space="preserve">dków służących osiągnięciu celów na </w:t>
      </w:r>
      <w:r w:rsidRPr="00110A93">
        <w:rPr>
          <w:noProof/>
        </w:rPr>
        <w:t>rok</w:t>
      </w:r>
      <w:r w:rsidR="00110A93" w:rsidRPr="00110A93">
        <w:rPr>
          <w:noProof/>
        </w:rPr>
        <w:t> </w:t>
      </w:r>
      <w:r w:rsidRPr="00110A93">
        <w:rPr>
          <w:noProof/>
        </w:rPr>
        <w:t>2</w:t>
      </w:r>
      <w:r w:rsidRPr="006C3201">
        <w:rPr>
          <w:noProof/>
        </w:rPr>
        <w:t>030</w:t>
      </w:r>
      <w:r w:rsidR="00110A93" w:rsidRPr="006C3201">
        <w:rPr>
          <w:noProof/>
        </w:rPr>
        <w:t xml:space="preserve"> w</w:t>
      </w:r>
      <w:r w:rsidR="00110A93">
        <w:rPr>
          <w:noProof/>
        </w:rPr>
        <w:t> </w:t>
      </w:r>
      <w:r w:rsidR="00110A93" w:rsidRPr="006C3201">
        <w:rPr>
          <w:noProof/>
        </w:rPr>
        <w:t>dzi</w:t>
      </w:r>
      <w:r w:rsidRPr="006C3201">
        <w:rPr>
          <w:noProof/>
        </w:rPr>
        <w:t>edzinie energii</w:t>
      </w:r>
      <w:r w:rsidR="00110A93" w:rsidRPr="006C3201">
        <w:rPr>
          <w:noProof/>
        </w:rPr>
        <w:t xml:space="preserve"> i</w:t>
      </w:r>
      <w:r w:rsidR="00110A93">
        <w:rPr>
          <w:noProof/>
        </w:rPr>
        <w:t> </w:t>
      </w:r>
      <w:r w:rsidR="00110A93" w:rsidRPr="006C3201">
        <w:rPr>
          <w:noProof/>
        </w:rPr>
        <w:t>kli</w:t>
      </w:r>
      <w:r w:rsidRPr="006C3201">
        <w:rPr>
          <w:noProof/>
        </w:rPr>
        <w:t>matu oraz unieważnienie uprawnień, które nie zostały uwolnione</w:t>
      </w:r>
      <w:r w:rsidR="00110A93" w:rsidRPr="006C3201">
        <w:rPr>
          <w:noProof/>
        </w:rPr>
        <w:t xml:space="preserve"> z</w:t>
      </w:r>
      <w:r w:rsidR="00110A93">
        <w:rPr>
          <w:noProof/>
        </w:rPr>
        <w:t> </w:t>
      </w:r>
      <w:r w:rsidR="00110A93" w:rsidRPr="006C3201">
        <w:rPr>
          <w:noProof/>
        </w:rPr>
        <w:t>rez</w:t>
      </w:r>
      <w:r w:rsidRPr="006C3201">
        <w:rPr>
          <w:noProof/>
        </w:rPr>
        <w:t>erwy do dnia 31 grudnia 2030 r. – przyczynia się to do niepewności co do długoterminowej zdolności interwencyjnej rezerwy stabilności rynkowej.</w:t>
      </w:r>
    </w:p>
    <w:p w14:paraId="2B8CD8DF" w14:textId="77777777" w:rsidR="00804A06" w:rsidRPr="006C3201" w:rsidRDefault="00ED40DD" w:rsidP="55E00356">
      <w:pPr>
        <w:pBdr>
          <w:bar w:val="nil"/>
        </w:pBdr>
        <w:spacing w:before="0" w:after="240"/>
        <w:rPr>
          <w:noProof/>
        </w:rPr>
      </w:pPr>
      <w:r w:rsidRPr="006C3201">
        <w:rPr>
          <w:noProof/>
        </w:rPr>
        <w:t>Ponadto 5 listopada 20</w:t>
      </w:r>
      <w:r w:rsidRPr="00110A93">
        <w:rPr>
          <w:noProof/>
        </w:rPr>
        <w:t>25</w:t>
      </w:r>
      <w:r w:rsidR="00110A93" w:rsidRPr="00110A93">
        <w:rPr>
          <w:noProof/>
        </w:rPr>
        <w:t> </w:t>
      </w:r>
      <w:r w:rsidRPr="00110A93">
        <w:rPr>
          <w:noProof/>
        </w:rPr>
        <w:t>r.</w:t>
      </w:r>
      <w:r w:rsidRPr="006C3201">
        <w:rPr>
          <w:noProof/>
        </w:rPr>
        <w:t xml:space="preserve"> Rada osiągnęła porozumienie</w:t>
      </w:r>
      <w:r w:rsidR="00110A93" w:rsidRPr="006C3201">
        <w:rPr>
          <w:noProof/>
        </w:rPr>
        <w:t xml:space="preserve"> w</w:t>
      </w:r>
      <w:r w:rsidR="00110A93">
        <w:rPr>
          <w:noProof/>
        </w:rPr>
        <w:t> </w:t>
      </w:r>
      <w:r w:rsidR="00110A93" w:rsidRPr="006C3201">
        <w:rPr>
          <w:noProof/>
        </w:rPr>
        <w:t>spr</w:t>
      </w:r>
      <w:r w:rsidRPr="006C3201">
        <w:rPr>
          <w:noProof/>
        </w:rPr>
        <w:t>awie ogólnego podejścia do Europejskiego prawa</w:t>
      </w:r>
      <w:r w:rsidR="00110A93" w:rsidRPr="006C3201">
        <w:rPr>
          <w:noProof/>
        </w:rPr>
        <w:t xml:space="preserve"> o</w:t>
      </w:r>
      <w:r w:rsidR="00110A93">
        <w:rPr>
          <w:noProof/>
        </w:rPr>
        <w:t> </w:t>
      </w:r>
      <w:r w:rsidR="00110A93" w:rsidRPr="006C3201">
        <w:rPr>
          <w:noProof/>
        </w:rPr>
        <w:t>kli</w:t>
      </w:r>
      <w:r w:rsidRPr="006C3201">
        <w:rPr>
          <w:noProof/>
        </w:rPr>
        <w:t>macie, które wprowadziło przepis odraczający stosowanie ETS2</w:t>
      </w:r>
      <w:r w:rsidR="00110A93" w:rsidRPr="006C3201">
        <w:rPr>
          <w:noProof/>
        </w:rPr>
        <w:t xml:space="preserve"> o</w:t>
      </w:r>
      <w:r w:rsidR="00110A93">
        <w:rPr>
          <w:noProof/>
        </w:rPr>
        <w:t> </w:t>
      </w:r>
      <w:r w:rsidR="00110A93" w:rsidRPr="006C3201">
        <w:rPr>
          <w:noProof/>
        </w:rPr>
        <w:t>jed</w:t>
      </w:r>
      <w:r w:rsidRPr="006C3201">
        <w:rPr>
          <w:noProof/>
        </w:rPr>
        <w:t xml:space="preserve">en rok </w:t>
      </w:r>
      <w:r w:rsidRPr="00110A93">
        <w:rPr>
          <w:noProof/>
        </w:rPr>
        <w:t>do</w:t>
      </w:r>
      <w:r w:rsidR="00110A93" w:rsidRPr="00110A93">
        <w:rPr>
          <w:noProof/>
        </w:rPr>
        <w:t> </w:t>
      </w:r>
      <w:r w:rsidRPr="00110A93">
        <w:rPr>
          <w:noProof/>
        </w:rPr>
        <w:t>2</w:t>
      </w:r>
      <w:r w:rsidRPr="006C3201">
        <w:rPr>
          <w:noProof/>
        </w:rPr>
        <w:t>0</w:t>
      </w:r>
      <w:r w:rsidRPr="00110A93">
        <w:rPr>
          <w:noProof/>
        </w:rPr>
        <w:t>28</w:t>
      </w:r>
      <w:r w:rsidR="00110A93" w:rsidRPr="00110A93">
        <w:rPr>
          <w:noProof/>
        </w:rPr>
        <w:t> </w:t>
      </w:r>
      <w:r w:rsidRPr="00110A93">
        <w:rPr>
          <w:noProof/>
        </w:rPr>
        <w:t>r.</w:t>
      </w:r>
      <w:r w:rsidRPr="006C3201">
        <w:rPr>
          <w:noProof/>
        </w:rPr>
        <w:t xml:space="preserve"> 13 listopada 20</w:t>
      </w:r>
      <w:r w:rsidRPr="00110A93">
        <w:rPr>
          <w:noProof/>
        </w:rPr>
        <w:t>25</w:t>
      </w:r>
      <w:r w:rsidR="00110A93" w:rsidRPr="00110A93">
        <w:rPr>
          <w:noProof/>
        </w:rPr>
        <w:t> </w:t>
      </w:r>
      <w:r w:rsidRPr="00110A93">
        <w:rPr>
          <w:noProof/>
        </w:rPr>
        <w:t>r.</w:t>
      </w:r>
      <w:r w:rsidRPr="006C3201">
        <w:rPr>
          <w:noProof/>
        </w:rPr>
        <w:t xml:space="preserve"> Parlament Europejski przyjął podobne stanowisko</w:t>
      </w:r>
      <w:r w:rsidR="00110A93" w:rsidRPr="006C3201">
        <w:rPr>
          <w:noProof/>
        </w:rPr>
        <w:t xml:space="preserve"> w</w:t>
      </w:r>
      <w:r w:rsidR="00110A93">
        <w:rPr>
          <w:noProof/>
        </w:rPr>
        <w:t> </w:t>
      </w:r>
      <w:r w:rsidR="00110A93" w:rsidRPr="006C3201">
        <w:rPr>
          <w:noProof/>
        </w:rPr>
        <w:t>spr</w:t>
      </w:r>
      <w:r w:rsidRPr="006C3201">
        <w:rPr>
          <w:noProof/>
        </w:rPr>
        <w:t>awie odroczenia ETS2</w:t>
      </w:r>
      <w:r w:rsidR="00110A93" w:rsidRPr="006C3201">
        <w:rPr>
          <w:noProof/>
        </w:rPr>
        <w:t xml:space="preserve"> o</w:t>
      </w:r>
      <w:r w:rsidR="00110A93">
        <w:rPr>
          <w:noProof/>
        </w:rPr>
        <w:t> </w:t>
      </w:r>
      <w:r w:rsidR="00110A93" w:rsidRPr="006C3201">
        <w:rPr>
          <w:noProof/>
        </w:rPr>
        <w:t>rok</w:t>
      </w:r>
      <w:r w:rsidRPr="006C3201">
        <w:rPr>
          <w:noProof/>
        </w:rPr>
        <w:t>. Oprócz tego,</w:t>
      </w:r>
      <w:r w:rsidR="00110A93" w:rsidRPr="006C3201">
        <w:rPr>
          <w:noProof/>
        </w:rPr>
        <w:t xml:space="preserve"> w</w:t>
      </w:r>
      <w:r w:rsidR="00110A93">
        <w:rPr>
          <w:noProof/>
        </w:rPr>
        <w:t> </w:t>
      </w:r>
      <w:r w:rsidR="00110A93" w:rsidRPr="006C3201">
        <w:rPr>
          <w:noProof/>
        </w:rPr>
        <w:t>zwi</w:t>
      </w:r>
      <w:r w:rsidRPr="006C3201">
        <w:rPr>
          <w:noProof/>
        </w:rPr>
        <w:t>ązku</w:t>
      </w:r>
      <w:r w:rsidR="00110A93" w:rsidRPr="006C3201">
        <w:rPr>
          <w:noProof/>
        </w:rPr>
        <w:t xml:space="preserve"> z</w:t>
      </w:r>
      <w:r w:rsidR="00110A93">
        <w:rPr>
          <w:noProof/>
        </w:rPr>
        <w:t> </w:t>
      </w:r>
      <w:r w:rsidR="00110A93" w:rsidRPr="006C3201">
        <w:rPr>
          <w:noProof/>
        </w:rPr>
        <w:t>pro</w:t>
      </w:r>
      <w:r w:rsidRPr="006C3201">
        <w:rPr>
          <w:noProof/>
        </w:rPr>
        <w:t>pozycjami znacznej większości państw członkowskich</w:t>
      </w:r>
      <w:r w:rsidR="00110A93" w:rsidRPr="006C3201">
        <w:rPr>
          <w:noProof/>
        </w:rPr>
        <w:t xml:space="preserve"> i</w:t>
      </w:r>
      <w:r w:rsidR="00110A93">
        <w:rPr>
          <w:noProof/>
        </w:rPr>
        <w:t> </w:t>
      </w:r>
      <w:r w:rsidR="00110A93" w:rsidRPr="006C3201">
        <w:rPr>
          <w:noProof/>
        </w:rPr>
        <w:t>wie</w:t>
      </w:r>
      <w:r w:rsidRPr="006C3201">
        <w:rPr>
          <w:noProof/>
        </w:rPr>
        <w:t>lu posłów do Parlamentu Europejskiego, dotyczącymi usprawnienia uruchamiania inwestycji</w:t>
      </w:r>
      <w:r w:rsidR="00110A93" w:rsidRPr="006C3201">
        <w:rPr>
          <w:noProof/>
        </w:rPr>
        <w:t xml:space="preserve"> i</w:t>
      </w:r>
      <w:r w:rsidR="00110A93">
        <w:rPr>
          <w:noProof/>
        </w:rPr>
        <w:t> </w:t>
      </w:r>
      <w:r w:rsidR="00110A93" w:rsidRPr="006C3201">
        <w:rPr>
          <w:noProof/>
        </w:rPr>
        <w:t>ich</w:t>
      </w:r>
      <w:r w:rsidRPr="006C3201">
        <w:rPr>
          <w:noProof/>
        </w:rPr>
        <w:t xml:space="preserve"> przyspieszenia przed wprowadzeniem ETS2, Komisja potwierdziła swój zamiar zaproponowania do końca 20</w:t>
      </w:r>
      <w:r w:rsidRPr="00110A93">
        <w:rPr>
          <w:noProof/>
        </w:rPr>
        <w:t>25</w:t>
      </w:r>
      <w:r w:rsidR="00110A93" w:rsidRPr="00110A93">
        <w:rPr>
          <w:noProof/>
        </w:rPr>
        <w:t> </w:t>
      </w:r>
      <w:r w:rsidRPr="00110A93">
        <w:rPr>
          <w:noProof/>
        </w:rPr>
        <w:t>r.</w:t>
      </w:r>
      <w:r w:rsidRPr="006C3201">
        <w:rPr>
          <w:noProof/>
        </w:rPr>
        <w:t xml:space="preserve"> środków dotyczących ram wdrażania ETS2. Niniejszy wniosek stanowi element zapowiedzianych środków.</w:t>
      </w:r>
    </w:p>
    <w:p w14:paraId="5568B7D4" w14:textId="77777777" w:rsidR="00604861" w:rsidRPr="006C3201" w:rsidRDefault="00295AE2">
      <w:pPr>
        <w:pBdr>
          <w:top w:val="nil"/>
          <w:left w:val="nil"/>
          <w:bottom w:val="nil"/>
          <w:right w:val="nil"/>
          <w:between w:val="nil"/>
          <w:bar w:val="nil"/>
        </w:pBdr>
        <w:spacing w:before="0" w:after="240"/>
        <w:rPr>
          <w:rFonts w:eastAsia="Arial Unicode MS"/>
          <w:noProof/>
          <w:sz w:val="28"/>
          <w:szCs w:val="24"/>
        </w:rPr>
      </w:pPr>
      <w:r w:rsidRPr="006C3201">
        <w:rPr>
          <w:noProof/>
        </w:rPr>
        <w:lastRenderedPageBreak/>
        <w:t>W niniejszym wniosku dostosowano niektóre parametry rezerwy stabilności rynkowej dla ETS2 na podstawie zaktualizowanych informacji rynkowych oraz wniosków większości państw członkowskich</w:t>
      </w:r>
      <w:r w:rsidR="00110A93" w:rsidRPr="006C3201">
        <w:rPr>
          <w:noProof/>
        </w:rPr>
        <w:t xml:space="preserve"> i</w:t>
      </w:r>
      <w:r w:rsidR="00110A93">
        <w:rPr>
          <w:noProof/>
        </w:rPr>
        <w:t> </w:t>
      </w:r>
      <w:r w:rsidR="00110A93" w:rsidRPr="006C3201">
        <w:rPr>
          <w:noProof/>
        </w:rPr>
        <w:t>zai</w:t>
      </w:r>
      <w:r w:rsidRPr="006C3201">
        <w:rPr>
          <w:noProof/>
        </w:rPr>
        <w:t>nteresowanych stron</w:t>
      </w:r>
      <w:r w:rsidR="00110A93" w:rsidRPr="006C3201">
        <w:rPr>
          <w:noProof/>
        </w:rPr>
        <w:t xml:space="preserve"> w</w:t>
      </w:r>
      <w:r w:rsidR="00110A93">
        <w:rPr>
          <w:noProof/>
        </w:rPr>
        <w:t> </w:t>
      </w:r>
      <w:r w:rsidR="00110A93" w:rsidRPr="006C3201">
        <w:rPr>
          <w:noProof/>
        </w:rPr>
        <w:t>cel</w:t>
      </w:r>
      <w:r w:rsidRPr="006C3201">
        <w:rPr>
          <w:noProof/>
        </w:rPr>
        <w:t>u poprawy płynności osiągania równowagi między podażą</w:t>
      </w:r>
      <w:r w:rsidR="00110A93" w:rsidRPr="006C3201">
        <w:rPr>
          <w:noProof/>
        </w:rPr>
        <w:t xml:space="preserve"> a</w:t>
      </w:r>
      <w:r w:rsidR="00110A93">
        <w:rPr>
          <w:noProof/>
        </w:rPr>
        <w:t> </w:t>
      </w:r>
      <w:r w:rsidR="00110A93" w:rsidRPr="006C3201">
        <w:rPr>
          <w:noProof/>
        </w:rPr>
        <w:t>pop</w:t>
      </w:r>
      <w:r w:rsidRPr="006C3201">
        <w:rPr>
          <w:noProof/>
        </w:rPr>
        <w:t>ytem</w:t>
      </w:r>
      <w:r w:rsidR="00110A93" w:rsidRPr="006C3201">
        <w:rPr>
          <w:noProof/>
        </w:rPr>
        <w:t xml:space="preserve"> i</w:t>
      </w:r>
      <w:r w:rsidR="00110A93">
        <w:rPr>
          <w:noProof/>
        </w:rPr>
        <w:t> </w:t>
      </w:r>
      <w:r w:rsidR="00110A93" w:rsidRPr="006C3201">
        <w:rPr>
          <w:noProof/>
        </w:rPr>
        <w:t>zwi</w:t>
      </w:r>
      <w:r w:rsidRPr="006C3201">
        <w:rPr>
          <w:noProof/>
        </w:rPr>
        <w:t>ększenia przewidywalności początkowych poziomów cen, bez wpływu na ogólną strukturę rezerwy stabilności rynkowej. Ukierunkowane zmiany przyczyniają się do zapewnienia uporządkowanego, sprawnego</w:t>
      </w:r>
      <w:r w:rsidR="00110A93" w:rsidRPr="006C3201">
        <w:rPr>
          <w:noProof/>
        </w:rPr>
        <w:t xml:space="preserve"> i</w:t>
      </w:r>
      <w:r w:rsidR="00110A93">
        <w:rPr>
          <w:noProof/>
        </w:rPr>
        <w:t> </w:t>
      </w:r>
      <w:r w:rsidR="00110A93" w:rsidRPr="006C3201">
        <w:rPr>
          <w:noProof/>
        </w:rPr>
        <w:t>sku</w:t>
      </w:r>
      <w:r w:rsidRPr="006C3201">
        <w:rPr>
          <w:noProof/>
        </w:rPr>
        <w:t>tecznego uruchomienia rynku oraz stabilnego rozwoju cen dla podmiotów objętych regulacją oraz umożliwiają organom krajowym</w:t>
      </w:r>
      <w:r w:rsidR="00110A93" w:rsidRPr="006C3201">
        <w:rPr>
          <w:noProof/>
        </w:rPr>
        <w:t xml:space="preserve"> i</w:t>
      </w:r>
      <w:r w:rsidR="00110A93">
        <w:rPr>
          <w:noProof/>
        </w:rPr>
        <w:t> </w:t>
      </w:r>
      <w:r w:rsidR="00110A93" w:rsidRPr="006C3201">
        <w:rPr>
          <w:noProof/>
        </w:rPr>
        <w:t>kon</w:t>
      </w:r>
      <w:r w:rsidRPr="006C3201">
        <w:rPr>
          <w:noProof/>
        </w:rPr>
        <w:t>sumentom paliwa odpowiednie przygotowanie się za pomocą właściwych środków wsparcia</w:t>
      </w:r>
      <w:r w:rsidR="00110A93" w:rsidRPr="006C3201">
        <w:rPr>
          <w:noProof/>
        </w:rPr>
        <w:t xml:space="preserve"> i</w:t>
      </w:r>
      <w:r w:rsidR="00110A93">
        <w:rPr>
          <w:noProof/>
        </w:rPr>
        <w:t> </w:t>
      </w:r>
      <w:r w:rsidR="00110A93" w:rsidRPr="006C3201">
        <w:rPr>
          <w:noProof/>
        </w:rPr>
        <w:t>śro</w:t>
      </w:r>
      <w:r w:rsidRPr="006C3201">
        <w:rPr>
          <w:noProof/>
        </w:rPr>
        <w:t>dków kompensacyjnych. Komisja będzie również regularnie analizować</w:t>
      </w:r>
      <w:r w:rsidR="00110A93" w:rsidRPr="006C3201">
        <w:rPr>
          <w:noProof/>
        </w:rPr>
        <w:t xml:space="preserve"> i</w:t>
      </w:r>
      <w:r w:rsidR="00110A93">
        <w:rPr>
          <w:noProof/>
        </w:rPr>
        <w:t> </w:t>
      </w:r>
      <w:r w:rsidR="00110A93" w:rsidRPr="006C3201">
        <w:rPr>
          <w:noProof/>
        </w:rPr>
        <w:t>pub</w:t>
      </w:r>
      <w:r w:rsidRPr="006C3201">
        <w:rPr>
          <w:noProof/>
        </w:rPr>
        <w:t>likować informacje rynkowe, aby umożliwić konsumentom</w:t>
      </w:r>
      <w:r w:rsidR="00110A93" w:rsidRPr="006C3201">
        <w:rPr>
          <w:noProof/>
        </w:rPr>
        <w:t xml:space="preserve"> i</w:t>
      </w:r>
      <w:r w:rsidR="00110A93">
        <w:rPr>
          <w:noProof/>
        </w:rPr>
        <w:t> </w:t>
      </w:r>
      <w:r w:rsidR="00110A93" w:rsidRPr="006C3201">
        <w:rPr>
          <w:noProof/>
        </w:rPr>
        <w:t>zai</w:t>
      </w:r>
      <w:r w:rsidRPr="006C3201">
        <w:rPr>
          <w:noProof/>
        </w:rPr>
        <w:t xml:space="preserve">nteresowanym stronom jasne zrozumienie warunków rynkowych. </w:t>
      </w:r>
    </w:p>
    <w:p w14:paraId="2D613189" w14:textId="77777777" w:rsidR="00604861" w:rsidRPr="006C3201" w:rsidRDefault="00604861">
      <w:pPr>
        <w:pStyle w:val="ManualHeading2"/>
        <w:rPr>
          <w:rFonts w:eastAsia="Arial Unicode MS"/>
          <w:noProof/>
          <w:u w:color="000000"/>
          <w:bdr w:val="nil"/>
        </w:rPr>
      </w:pPr>
      <w:bookmarkStart w:id="2" w:name="_Toc214887190"/>
      <w:r w:rsidRPr="006C3201">
        <w:rPr>
          <w:noProof/>
          <w:u w:color="000000"/>
          <w:bdr w:val="nil"/>
        </w:rPr>
        <w:t>•</w:t>
      </w:r>
      <w:r w:rsidRPr="006C3201">
        <w:rPr>
          <w:noProof/>
        </w:rPr>
        <w:tab/>
        <w:t>Spójność</w:t>
      </w:r>
      <w:r w:rsidR="00110A93" w:rsidRPr="006C3201">
        <w:rPr>
          <w:noProof/>
        </w:rPr>
        <w:t xml:space="preserve"> z</w:t>
      </w:r>
      <w:r w:rsidR="00110A93">
        <w:rPr>
          <w:noProof/>
        </w:rPr>
        <w:t> </w:t>
      </w:r>
      <w:r w:rsidR="00110A93" w:rsidRPr="006C3201">
        <w:rPr>
          <w:noProof/>
        </w:rPr>
        <w:t>prz</w:t>
      </w:r>
      <w:r w:rsidRPr="006C3201">
        <w:rPr>
          <w:noProof/>
        </w:rPr>
        <w:t>episami obowiązującymi</w:t>
      </w:r>
      <w:r w:rsidR="00110A93" w:rsidRPr="006C3201">
        <w:rPr>
          <w:noProof/>
        </w:rPr>
        <w:t xml:space="preserve"> w</w:t>
      </w:r>
      <w:r w:rsidR="00110A93">
        <w:rPr>
          <w:noProof/>
        </w:rPr>
        <w:t> </w:t>
      </w:r>
      <w:r w:rsidR="00110A93" w:rsidRPr="006C3201">
        <w:rPr>
          <w:noProof/>
        </w:rPr>
        <w:t>tej</w:t>
      </w:r>
      <w:r w:rsidRPr="006C3201">
        <w:rPr>
          <w:noProof/>
        </w:rPr>
        <w:t xml:space="preserve"> dziedzinie polityki</w:t>
      </w:r>
      <w:bookmarkEnd w:id="2"/>
    </w:p>
    <w:p w14:paraId="04B60F5E" w14:textId="77777777" w:rsidR="00CB1CEE" w:rsidRPr="006C3201" w:rsidRDefault="00CB1CEE">
      <w:pPr>
        <w:pBdr>
          <w:top w:val="nil"/>
          <w:left w:val="nil"/>
          <w:bottom w:val="nil"/>
          <w:right w:val="nil"/>
          <w:between w:val="nil"/>
          <w:bar w:val="nil"/>
        </w:pBdr>
        <w:spacing w:before="0" w:after="240"/>
        <w:rPr>
          <w:noProof/>
        </w:rPr>
      </w:pPr>
      <w:r w:rsidRPr="006C3201">
        <w:rPr>
          <w:noProof/>
        </w:rPr>
        <w:t>Rezerwa stabilności rynkowej dla ETS2 jest narzędziem zapewniającym stabilność rynku uprawnień do emisji</w:t>
      </w:r>
      <w:r w:rsidR="00110A93" w:rsidRPr="006C3201">
        <w:rPr>
          <w:noProof/>
        </w:rPr>
        <w:t xml:space="preserve"> w</w:t>
      </w:r>
      <w:r w:rsidR="00110A93">
        <w:rPr>
          <w:noProof/>
        </w:rPr>
        <w:t> </w:t>
      </w:r>
      <w:r w:rsidR="00110A93" w:rsidRPr="006C3201">
        <w:rPr>
          <w:noProof/>
        </w:rPr>
        <w:t>ram</w:t>
      </w:r>
      <w:r w:rsidRPr="006C3201">
        <w:rPr>
          <w:noProof/>
        </w:rPr>
        <w:t>ach ETS2. Spójność rezerwy stabilności rynkowej dla ETS2</w:t>
      </w:r>
      <w:r w:rsidR="00110A93" w:rsidRPr="006C3201">
        <w:rPr>
          <w:noProof/>
        </w:rPr>
        <w:t xml:space="preserve"> z</w:t>
      </w:r>
      <w:r w:rsidR="00110A93">
        <w:rPr>
          <w:noProof/>
        </w:rPr>
        <w:t> </w:t>
      </w:r>
      <w:r w:rsidR="00110A93" w:rsidRPr="006C3201">
        <w:rPr>
          <w:noProof/>
        </w:rPr>
        <w:t>inn</w:t>
      </w:r>
      <w:r w:rsidRPr="006C3201">
        <w:rPr>
          <w:noProof/>
        </w:rPr>
        <w:t>ymi politykami UE zapewnia się głównie dzięki spójności ETS2</w:t>
      </w:r>
      <w:r w:rsidR="00110A93" w:rsidRPr="006C3201">
        <w:rPr>
          <w:noProof/>
        </w:rPr>
        <w:t xml:space="preserve"> z</w:t>
      </w:r>
      <w:r w:rsidR="00110A93">
        <w:rPr>
          <w:noProof/>
        </w:rPr>
        <w:t> </w:t>
      </w:r>
      <w:r w:rsidR="00110A93" w:rsidRPr="006C3201">
        <w:rPr>
          <w:noProof/>
        </w:rPr>
        <w:t>inn</w:t>
      </w:r>
      <w:r w:rsidRPr="006C3201">
        <w:rPr>
          <w:noProof/>
        </w:rPr>
        <w:t>ymi politykami Unii</w:t>
      </w:r>
      <w:r w:rsidR="00110A93" w:rsidRPr="006C3201">
        <w:rPr>
          <w:noProof/>
        </w:rPr>
        <w:t>. W</w:t>
      </w:r>
      <w:r w:rsidR="00110A93">
        <w:rPr>
          <w:noProof/>
        </w:rPr>
        <w:t> </w:t>
      </w:r>
      <w:r w:rsidR="00110A93" w:rsidRPr="006C3201">
        <w:rPr>
          <w:noProof/>
        </w:rPr>
        <w:t>nin</w:t>
      </w:r>
      <w:r w:rsidRPr="006C3201">
        <w:rPr>
          <w:noProof/>
        </w:rPr>
        <w:t>iejszym wniosku wprowadza się jedynie ukierunkowane zmiany parametrów rezerwy stabilności rynkowej dla ETS2 bez wpływu na ogólną strukturę tej rezerwy</w:t>
      </w:r>
      <w:r w:rsidR="00110A93" w:rsidRPr="006C3201">
        <w:rPr>
          <w:noProof/>
        </w:rPr>
        <w:t xml:space="preserve"> i</w:t>
      </w:r>
      <w:r w:rsidR="00110A93">
        <w:rPr>
          <w:noProof/>
        </w:rPr>
        <w:t> </w:t>
      </w:r>
      <w:r w:rsidR="00110A93" w:rsidRPr="006C3201">
        <w:rPr>
          <w:noProof/>
        </w:rPr>
        <w:t>nie</w:t>
      </w:r>
      <w:r w:rsidRPr="006C3201">
        <w:rPr>
          <w:noProof/>
        </w:rPr>
        <w:t xml:space="preserve"> ma on bezpośredniego wpływu na inne polityki Unii.</w:t>
      </w:r>
    </w:p>
    <w:p w14:paraId="57783E46" w14:textId="77777777" w:rsidR="00604861" w:rsidRPr="006C3201" w:rsidRDefault="00604861">
      <w:pPr>
        <w:pStyle w:val="ManualHeading2"/>
        <w:rPr>
          <w:rFonts w:eastAsia="Arial Unicode MS"/>
          <w:noProof/>
        </w:rPr>
      </w:pPr>
      <w:bookmarkStart w:id="3" w:name="_Toc214887191"/>
      <w:r w:rsidRPr="006C3201">
        <w:rPr>
          <w:noProof/>
          <w:u w:color="000000"/>
          <w:bdr w:val="nil"/>
        </w:rPr>
        <w:t>•</w:t>
      </w:r>
      <w:r w:rsidRPr="006C3201">
        <w:rPr>
          <w:noProof/>
        </w:rPr>
        <w:tab/>
        <w:t>Spójność</w:t>
      </w:r>
      <w:r w:rsidR="00110A93" w:rsidRPr="006C3201">
        <w:rPr>
          <w:noProof/>
        </w:rPr>
        <w:t xml:space="preserve"> z</w:t>
      </w:r>
      <w:r w:rsidR="00110A93">
        <w:rPr>
          <w:noProof/>
        </w:rPr>
        <w:t> </w:t>
      </w:r>
      <w:r w:rsidR="00110A93" w:rsidRPr="006C3201">
        <w:rPr>
          <w:noProof/>
        </w:rPr>
        <w:t>inn</w:t>
      </w:r>
      <w:r w:rsidRPr="006C3201">
        <w:rPr>
          <w:noProof/>
        </w:rPr>
        <w:t>ymi politykami Unii</w:t>
      </w:r>
      <w:bookmarkEnd w:id="3"/>
    </w:p>
    <w:p w14:paraId="3AF9D4F4" w14:textId="77777777" w:rsidR="00604861" w:rsidRPr="006C3201" w:rsidRDefault="0077734C">
      <w:pPr>
        <w:pBdr>
          <w:top w:val="nil"/>
          <w:left w:val="nil"/>
          <w:bottom w:val="nil"/>
          <w:right w:val="nil"/>
          <w:between w:val="nil"/>
          <w:bar w:val="nil"/>
        </w:pBdr>
        <w:spacing w:before="0" w:after="240"/>
        <w:rPr>
          <w:rFonts w:eastAsia="Arial Unicode MS"/>
          <w:noProof/>
        </w:rPr>
      </w:pPr>
      <w:r w:rsidRPr="006C3201">
        <w:rPr>
          <w:noProof/>
        </w:rPr>
        <w:t>Spójność</w:t>
      </w:r>
      <w:r w:rsidR="00110A93" w:rsidRPr="006C3201">
        <w:rPr>
          <w:noProof/>
        </w:rPr>
        <w:t xml:space="preserve"> z</w:t>
      </w:r>
      <w:r w:rsidR="00110A93">
        <w:rPr>
          <w:noProof/>
        </w:rPr>
        <w:t> </w:t>
      </w:r>
      <w:r w:rsidR="00110A93" w:rsidRPr="006C3201">
        <w:rPr>
          <w:noProof/>
        </w:rPr>
        <w:t>inn</w:t>
      </w:r>
      <w:r w:rsidRPr="006C3201">
        <w:rPr>
          <w:noProof/>
        </w:rPr>
        <w:t xml:space="preserve">ymi politykami UE zapewnia się poprzez spójność obowiązujących ram prawnych służących osiągnięciu celów na </w:t>
      </w:r>
      <w:r w:rsidRPr="00110A93">
        <w:rPr>
          <w:noProof/>
        </w:rPr>
        <w:t>rok</w:t>
      </w:r>
      <w:r w:rsidR="00110A93" w:rsidRPr="00110A93">
        <w:rPr>
          <w:noProof/>
        </w:rPr>
        <w:t> </w:t>
      </w:r>
      <w:r w:rsidRPr="00110A93">
        <w:rPr>
          <w:noProof/>
        </w:rPr>
        <w:t>2</w:t>
      </w:r>
      <w:r w:rsidRPr="006C3201">
        <w:rPr>
          <w:noProof/>
        </w:rPr>
        <w:t>030</w:t>
      </w:r>
      <w:r w:rsidR="00110A93" w:rsidRPr="006C3201">
        <w:rPr>
          <w:noProof/>
        </w:rPr>
        <w:t xml:space="preserve"> w</w:t>
      </w:r>
      <w:r w:rsidR="00110A93">
        <w:rPr>
          <w:noProof/>
        </w:rPr>
        <w:t> </w:t>
      </w:r>
      <w:r w:rsidR="00110A93" w:rsidRPr="006C3201">
        <w:rPr>
          <w:noProof/>
        </w:rPr>
        <w:t>dzi</w:t>
      </w:r>
      <w:r w:rsidRPr="006C3201">
        <w:rPr>
          <w:noProof/>
        </w:rPr>
        <w:t>edzinie energii</w:t>
      </w:r>
      <w:r w:rsidR="00110A93" w:rsidRPr="006C3201">
        <w:rPr>
          <w:noProof/>
        </w:rPr>
        <w:t xml:space="preserve"> i</w:t>
      </w:r>
      <w:r w:rsidR="00110A93">
        <w:rPr>
          <w:noProof/>
        </w:rPr>
        <w:t> </w:t>
      </w:r>
      <w:r w:rsidR="00110A93" w:rsidRPr="006C3201">
        <w:rPr>
          <w:noProof/>
        </w:rPr>
        <w:t>kli</w:t>
      </w:r>
      <w:r w:rsidRPr="006C3201">
        <w:rPr>
          <w:noProof/>
        </w:rPr>
        <w:t>matu. Kwestię tę oceniono</w:t>
      </w:r>
      <w:r w:rsidR="00110A93" w:rsidRPr="006C3201">
        <w:rPr>
          <w:noProof/>
        </w:rPr>
        <w:t xml:space="preserve"> w</w:t>
      </w:r>
      <w:r w:rsidR="00110A93">
        <w:rPr>
          <w:noProof/>
        </w:rPr>
        <w:t> </w:t>
      </w:r>
      <w:r w:rsidR="00110A93" w:rsidRPr="006C3201">
        <w:rPr>
          <w:noProof/>
        </w:rPr>
        <w:t>oce</w:t>
      </w:r>
      <w:r w:rsidRPr="006C3201">
        <w:rPr>
          <w:noProof/>
        </w:rPr>
        <w:t>nie skutków towarzyszącej dyrektywie (UE) 2023/959</w:t>
      </w:r>
      <w:r w:rsidR="00110A93" w:rsidRPr="006C3201">
        <w:rPr>
          <w:noProof/>
        </w:rPr>
        <w:t xml:space="preserve"> z</w:t>
      </w:r>
      <w:r w:rsidR="00110A93">
        <w:rPr>
          <w:noProof/>
        </w:rPr>
        <w:t> </w:t>
      </w:r>
      <w:r w:rsidR="00110A93" w:rsidRPr="006C3201">
        <w:rPr>
          <w:noProof/>
        </w:rPr>
        <w:t>dni</w:t>
      </w:r>
      <w:r w:rsidRPr="006C3201">
        <w:rPr>
          <w:noProof/>
        </w:rPr>
        <w:t>a 10 maja 2023 r. zmieniającej decyzję Parlamentu Europejskiego</w:t>
      </w:r>
      <w:r w:rsidR="00110A93" w:rsidRPr="006C3201">
        <w:rPr>
          <w:noProof/>
        </w:rPr>
        <w:t xml:space="preserve"> i</w:t>
      </w:r>
      <w:r w:rsidR="00110A93">
        <w:rPr>
          <w:noProof/>
        </w:rPr>
        <w:t> </w:t>
      </w:r>
      <w:r w:rsidR="00110A93" w:rsidRPr="006C3201">
        <w:rPr>
          <w:noProof/>
        </w:rPr>
        <w:t>Rad</w:t>
      </w:r>
      <w:r w:rsidRPr="006C3201">
        <w:rPr>
          <w:noProof/>
        </w:rPr>
        <w:t>y (UE) 2015/1814</w:t>
      </w:r>
      <w:r w:rsidR="00110A93" w:rsidRPr="006C3201">
        <w:rPr>
          <w:noProof/>
        </w:rPr>
        <w:t xml:space="preserve"> z</w:t>
      </w:r>
      <w:r w:rsidR="00110A93">
        <w:rPr>
          <w:noProof/>
        </w:rPr>
        <w:t> </w:t>
      </w:r>
      <w:r w:rsidR="00110A93" w:rsidRPr="006C3201">
        <w:rPr>
          <w:noProof/>
        </w:rPr>
        <w:t>dni</w:t>
      </w:r>
      <w:r w:rsidRPr="006C3201">
        <w:rPr>
          <w:noProof/>
        </w:rPr>
        <w:t>a 6 października 2015 r.</w:t>
      </w:r>
      <w:r w:rsidR="00110A93" w:rsidRPr="006C3201">
        <w:rPr>
          <w:noProof/>
        </w:rPr>
        <w:t xml:space="preserve"> i</w:t>
      </w:r>
      <w:r w:rsidR="00110A93">
        <w:rPr>
          <w:noProof/>
        </w:rPr>
        <w:t> </w:t>
      </w:r>
      <w:r w:rsidR="00110A93" w:rsidRPr="006C3201">
        <w:rPr>
          <w:noProof/>
        </w:rPr>
        <w:t>obe</w:t>
      </w:r>
      <w:r w:rsidRPr="006C3201">
        <w:rPr>
          <w:noProof/>
        </w:rPr>
        <w:t xml:space="preserve">jmującej pozostałą część pakietu „Gotowi </w:t>
      </w:r>
      <w:r w:rsidRPr="00110A93">
        <w:rPr>
          <w:noProof/>
        </w:rPr>
        <w:t>na</w:t>
      </w:r>
      <w:r w:rsidR="00110A93" w:rsidRPr="00110A93">
        <w:rPr>
          <w:noProof/>
        </w:rPr>
        <w:t> </w:t>
      </w:r>
      <w:r w:rsidRPr="00110A93">
        <w:rPr>
          <w:noProof/>
        </w:rPr>
        <w:t>5</w:t>
      </w:r>
      <w:r w:rsidRPr="006C3201">
        <w:rPr>
          <w:noProof/>
        </w:rPr>
        <w:t>5”. Częścią tego są oceny skutków związane</w:t>
      </w:r>
      <w:r w:rsidR="00110A93" w:rsidRPr="006C3201">
        <w:rPr>
          <w:noProof/>
        </w:rPr>
        <w:t xml:space="preserve"> z</w:t>
      </w:r>
      <w:r w:rsidR="00110A93">
        <w:rPr>
          <w:noProof/>
        </w:rPr>
        <w:t> </w:t>
      </w:r>
      <w:r w:rsidR="00110A93" w:rsidRPr="006C3201">
        <w:rPr>
          <w:noProof/>
        </w:rPr>
        <w:t>roz</w:t>
      </w:r>
      <w:r w:rsidRPr="006C3201">
        <w:rPr>
          <w:noProof/>
        </w:rPr>
        <w:t>porządzeniem</w:t>
      </w:r>
      <w:r w:rsidR="00110A93" w:rsidRPr="006C3201">
        <w:rPr>
          <w:noProof/>
        </w:rPr>
        <w:t xml:space="preserve"> w</w:t>
      </w:r>
      <w:r w:rsidR="00110A93">
        <w:rPr>
          <w:noProof/>
        </w:rPr>
        <w:t> </w:t>
      </w:r>
      <w:r w:rsidR="00110A93" w:rsidRPr="006C3201">
        <w:rPr>
          <w:noProof/>
        </w:rPr>
        <w:t>spr</w:t>
      </w:r>
      <w:r w:rsidRPr="006C3201">
        <w:rPr>
          <w:noProof/>
        </w:rPr>
        <w:t>awie wspólnego wysiłku redukcyjnego; rozporządzeniem</w:t>
      </w:r>
      <w:r w:rsidR="00110A93" w:rsidRPr="006C3201">
        <w:rPr>
          <w:noProof/>
        </w:rPr>
        <w:t xml:space="preserve"> w</w:t>
      </w:r>
      <w:r w:rsidR="00110A93">
        <w:rPr>
          <w:noProof/>
        </w:rPr>
        <w:t> </w:t>
      </w:r>
      <w:r w:rsidR="00110A93" w:rsidRPr="006C3201">
        <w:rPr>
          <w:noProof/>
        </w:rPr>
        <w:t>spr</w:t>
      </w:r>
      <w:r w:rsidRPr="006C3201">
        <w:rPr>
          <w:noProof/>
        </w:rPr>
        <w:t>awie użytkowania gruntów, zmiany użytkowania gruntów</w:t>
      </w:r>
      <w:r w:rsidR="00110A93" w:rsidRPr="006C3201">
        <w:rPr>
          <w:noProof/>
        </w:rPr>
        <w:t xml:space="preserve"> i</w:t>
      </w:r>
      <w:r w:rsidR="00110A93">
        <w:rPr>
          <w:noProof/>
        </w:rPr>
        <w:t> </w:t>
      </w:r>
      <w:r w:rsidR="00110A93" w:rsidRPr="006C3201">
        <w:rPr>
          <w:noProof/>
        </w:rPr>
        <w:t>leś</w:t>
      </w:r>
      <w:r w:rsidRPr="006C3201">
        <w:rPr>
          <w:noProof/>
        </w:rPr>
        <w:t>nictwa; normami emisji CO</w:t>
      </w:r>
      <w:r w:rsidRPr="006C3201">
        <w:rPr>
          <w:noProof/>
          <w:vertAlign w:val="subscript"/>
        </w:rPr>
        <w:t>2</w:t>
      </w:r>
      <w:r w:rsidRPr="006C3201">
        <w:rPr>
          <w:noProof/>
        </w:rPr>
        <w:t xml:space="preserve"> dla samochodów osobowych</w:t>
      </w:r>
      <w:r w:rsidR="00110A93" w:rsidRPr="006C3201">
        <w:rPr>
          <w:noProof/>
        </w:rPr>
        <w:t xml:space="preserve"> i</w:t>
      </w:r>
      <w:r w:rsidR="00110A93">
        <w:rPr>
          <w:noProof/>
        </w:rPr>
        <w:t> </w:t>
      </w:r>
      <w:r w:rsidR="00110A93" w:rsidRPr="006C3201">
        <w:rPr>
          <w:noProof/>
        </w:rPr>
        <w:t>dos</w:t>
      </w:r>
      <w:r w:rsidRPr="006C3201">
        <w:rPr>
          <w:noProof/>
        </w:rPr>
        <w:t>tawczych; dyrektywą</w:t>
      </w:r>
      <w:r w:rsidR="00110A93" w:rsidRPr="006C3201">
        <w:rPr>
          <w:noProof/>
        </w:rPr>
        <w:t xml:space="preserve"> w</w:t>
      </w:r>
      <w:r w:rsidR="00110A93">
        <w:rPr>
          <w:noProof/>
        </w:rPr>
        <w:t> </w:t>
      </w:r>
      <w:r w:rsidR="00110A93" w:rsidRPr="006C3201">
        <w:rPr>
          <w:noProof/>
        </w:rPr>
        <w:t>spr</w:t>
      </w:r>
      <w:r w:rsidRPr="006C3201">
        <w:rPr>
          <w:noProof/>
        </w:rPr>
        <w:t>awie odnawialnych źródeł energii; dyrektywą</w:t>
      </w:r>
      <w:r w:rsidR="00110A93" w:rsidRPr="006C3201">
        <w:rPr>
          <w:noProof/>
        </w:rPr>
        <w:t xml:space="preserve"> w</w:t>
      </w:r>
      <w:r w:rsidR="00110A93">
        <w:rPr>
          <w:noProof/>
        </w:rPr>
        <w:t> </w:t>
      </w:r>
      <w:r w:rsidR="00110A93" w:rsidRPr="006C3201">
        <w:rPr>
          <w:noProof/>
        </w:rPr>
        <w:t>spr</w:t>
      </w:r>
      <w:r w:rsidRPr="006C3201">
        <w:rPr>
          <w:noProof/>
        </w:rPr>
        <w:t>awie efektywności energetycznej oraz dyrektywą</w:t>
      </w:r>
      <w:r w:rsidR="00110A93" w:rsidRPr="006C3201">
        <w:rPr>
          <w:noProof/>
        </w:rPr>
        <w:t xml:space="preserve"> w</w:t>
      </w:r>
      <w:r w:rsidR="00110A93">
        <w:rPr>
          <w:noProof/>
        </w:rPr>
        <w:t> </w:t>
      </w:r>
      <w:r w:rsidR="00110A93" w:rsidRPr="006C3201">
        <w:rPr>
          <w:noProof/>
        </w:rPr>
        <w:t>spr</w:t>
      </w:r>
      <w:r w:rsidRPr="006C3201">
        <w:rPr>
          <w:noProof/>
        </w:rPr>
        <w:t>awie charakterystyki energetycznej budynków. Proponowana zmiana rezerwy stabilności rynkowej dla ETS2 odzwierciedla zmiany</w:t>
      </w:r>
      <w:r w:rsidR="00110A93" w:rsidRPr="006C3201">
        <w:rPr>
          <w:noProof/>
        </w:rPr>
        <w:t xml:space="preserve"> w</w:t>
      </w:r>
      <w:r w:rsidR="00110A93">
        <w:rPr>
          <w:noProof/>
        </w:rPr>
        <w:t> </w:t>
      </w:r>
      <w:r w:rsidR="00110A93" w:rsidRPr="006C3201">
        <w:rPr>
          <w:noProof/>
        </w:rPr>
        <w:t>pop</w:t>
      </w:r>
      <w:r w:rsidRPr="006C3201">
        <w:rPr>
          <w:noProof/>
        </w:rPr>
        <w:t>ycie wynikające</w:t>
      </w:r>
      <w:r w:rsidR="00110A93" w:rsidRPr="006C3201">
        <w:rPr>
          <w:noProof/>
        </w:rPr>
        <w:t xml:space="preserve"> z</w:t>
      </w:r>
      <w:r w:rsidR="00110A93">
        <w:rPr>
          <w:noProof/>
        </w:rPr>
        <w:t> </w:t>
      </w:r>
      <w:r w:rsidR="00110A93" w:rsidRPr="006C3201">
        <w:rPr>
          <w:noProof/>
        </w:rPr>
        <w:t>tyc</w:t>
      </w:r>
      <w:r w:rsidRPr="006C3201">
        <w:rPr>
          <w:noProof/>
        </w:rPr>
        <w:t>h podstawowych uzupełniających się polityk.</w:t>
      </w:r>
    </w:p>
    <w:p w14:paraId="1D6B6019" w14:textId="77777777" w:rsidR="00604861" w:rsidRPr="006C3201" w:rsidRDefault="00604861">
      <w:pPr>
        <w:pStyle w:val="ManualHeading1"/>
        <w:rPr>
          <w:noProof/>
        </w:rPr>
      </w:pPr>
      <w:bookmarkStart w:id="4" w:name="_Toc214887192"/>
      <w:r w:rsidRPr="006C3201">
        <w:rPr>
          <w:noProof/>
        </w:rPr>
        <w:t>2.</w:t>
      </w:r>
      <w:r w:rsidRPr="006C3201">
        <w:rPr>
          <w:noProof/>
        </w:rPr>
        <w:tab/>
        <w:t>PODSTAWA PRAWNA, POMOCNICZOŚĆ I PROPORCJONALNOŚĆ</w:t>
      </w:r>
      <w:bookmarkEnd w:id="4"/>
    </w:p>
    <w:p w14:paraId="3B524F30" w14:textId="77777777" w:rsidR="00604861" w:rsidRPr="006C3201" w:rsidRDefault="00604861">
      <w:pPr>
        <w:pStyle w:val="ManualHeading2"/>
        <w:rPr>
          <w:rFonts w:eastAsia="Arial Unicode MS"/>
          <w:noProof/>
          <w:u w:color="000000"/>
          <w:bdr w:val="nil"/>
        </w:rPr>
      </w:pPr>
      <w:bookmarkStart w:id="5" w:name="_Toc214887193"/>
      <w:r w:rsidRPr="006C3201">
        <w:rPr>
          <w:noProof/>
          <w:u w:color="000000"/>
          <w:bdr w:val="nil"/>
        </w:rPr>
        <w:t>•</w:t>
      </w:r>
      <w:r w:rsidRPr="006C3201">
        <w:rPr>
          <w:noProof/>
        </w:rPr>
        <w:tab/>
      </w:r>
      <w:r w:rsidRPr="006C3201">
        <w:rPr>
          <w:noProof/>
          <w:u w:color="000000"/>
          <w:bdr w:val="nil"/>
        </w:rPr>
        <w:t>Podstawa prawna</w:t>
      </w:r>
      <w:bookmarkEnd w:id="5"/>
    </w:p>
    <w:p w14:paraId="5FB4AF70" w14:textId="77777777" w:rsidR="00604861" w:rsidRPr="006C3201" w:rsidRDefault="00B11FF2">
      <w:pPr>
        <w:pBdr>
          <w:top w:val="nil"/>
          <w:left w:val="nil"/>
          <w:bottom w:val="nil"/>
          <w:right w:val="nil"/>
          <w:between w:val="nil"/>
          <w:bar w:val="nil"/>
        </w:pBdr>
        <w:spacing w:before="0" w:after="240"/>
        <w:rPr>
          <w:rFonts w:eastAsia="Arial Unicode MS"/>
          <w:noProof/>
        </w:rPr>
      </w:pPr>
      <w:r w:rsidRPr="006C3201">
        <w:rPr>
          <w:noProof/>
        </w:rPr>
        <w:t>Podstawę prawną wniosku stanowi art. 192 ust. 1 Traktatu</w:t>
      </w:r>
      <w:r w:rsidR="00110A93" w:rsidRPr="006C3201">
        <w:rPr>
          <w:noProof/>
        </w:rPr>
        <w:t xml:space="preserve"> o</w:t>
      </w:r>
      <w:r w:rsidR="00110A93">
        <w:rPr>
          <w:noProof/>
        </w:rPr>
        <w:t> </w:t>
      </w:r>
      <w:r w:rsidR="00110A93" w:rsidRPr="006C3201">
        <w:rPr>
          <w:noProof/>
        </w:rPr>
        <w:t>fun</w:t>
      </w:r>
      <w:r w:rsidRPr="006C3201">
        <w:rPr>
          <w:noProof/>
        </w:rPr>
        <w:t>kcjonowaniu Unii Europejskiej (TFUE). Zgodnie</w:t>
      </w:r>
      <w:r w:rsidR="00110A93" w:rsidRPr="006C3201">
        <w:rPr>
          <w:noProof/>
        </w:rPr>
        <w:t xml:space="preserve"> z</w:t>
      </w:r>
      <w:r w:rsidR="00110A93">
        <w:rPr>
          <w:noProof/>
        </w:rPr>
        <w:t> </w:t>
      </w:r>
      <w:r w:rsidR="00110A93" w:rsidRPr="006C3201">
        <w:rPr>
          <w:noProof/>
        </w:rPr>
        <w:t>art</w:t>
      </w:r>
      <w:r w:rsidRPr="006C3201">
        <w:rPr>
          <w:noProof/>
        </w:rPr>
        <w:t>. 191</w:t>
      </w:r>
      <w:r w:rsidR="00110A93" w:rsidRPr="006C3201">
        <w:rPr>
          <w:noProof/>
        </w:rPr>
        <w:t xml:space="preserve"> i</w:t>
      </w:r>
      <w:r w:rsidR="00110A93">
        <w:rPr>
          <w:noProof/>
        </w:rPr>
        <w:t> </w:t>
      </w:r>
      <w:r w:rsidR="00110A93" w:rsidRPr="006C3201">
        <w:rPr>
          <w:noProof/>
        </w:rPr>
        <w:t>art</w:t>
      </w:r>
      <w:r w:rsidRPr="006C3201">
        <w:rPr>
          <w:noProof/>
        </w:rPr>
        <w:t>. 192 ust. 1 TFUE Unia Europejska jest zobowiązana do przyczyniania się do realizacji kilku celów,</w:t>
      </w:r>
      <w:r w:rsidR="00110A93" w:rsidRPr="006C3201">
        <w:rPr>
          <w:noProof/>
        </w:rPr>
        <w:t xml:space="preserve"> w</w:t>
      </w:r>
      <w:r w:rsidR="00110A93">
        <w:rPr>
          <w:noProof/>
        </w:rPr>
        <w:t> </w:t>
      </w:r>
      <w:r w:rsidR="00110A93" w:rsidRPr="006C3201">
        <w:rPr>
          <w:noProof/>
        </w:rPr>
        <w:t>tym</w:t>
      </w:r>
      <w:r w:rsidRPr="006C3201">
        <w:rPr>
          <w:noProof/>
        </w:rPr>
        <w:t>: zachowania, ochrony</w:t>
      </w:r>
      <w:r w:rsidR="00110A93" w:rsidRPr="006C3201">
        <w:rPr>
          <w:noProof/>
        </w:rPr>
        <w:t xml:space="preserve"> i</w:t>
      </w:r>
      <w:r w:rsidR="00110A93">
        <w:rPr>
          <w:noProof/>
        </w:rPr>
        <w:t> </w:t>
      </w:r>
      <w:r w:rsidR="00110A93" w:rsidRPr="006C3201">
        <w:rPr>
          <w:noProof/>
        </w:rPr>
        <w:t>pop</w:t>
      </w:r>
      <w:r w:rsidRPr="006C3201">
        <w:rPr>
          <w:noProof/>
        </w:rPr>
        <w:t>rawy jakości środowiska</w:t>
      </w:r>
      <w:r w:rsidR="00110A93" w:rsidRPr="006C3201">
        <w:rPr>
          <w:noProof/>
        </w:rPr>
        <w:t xml:space="preserve"> i</w:t>
      </w:r>
      <w:r w:rsidR="00110A93">
        <w:rPr>
          <w:noProof/>
        </w:rPr>
        <w:t> </w:t>
      </w:r>
      <w:r w:rsidR="00110A93" w:rsidRPr="006C3201">
        <w:rPr>
          <w:noProof/>
        </w:rPr>
        <w:t>pro</w:t>
      </w:r>
      <w:r w:rsidRPr="006C3201">
        <w:rPr>
          <w:noProof/>
        </w:rPr>
        <w:t>mowania na płaszczyźnie międzynarodowej środków zmierzających do rozwiązywania regionalnych lub światowych problemów</w:t>
      </w:r>
      <w:r w:rsidR="00110A93" w:rsidRPr="006C3201">
        <w:rPr>
          <w:noProof/>
        </w:rPr>
        <w:t xml:space="preserve"> w</w:t>
      </w:r>
      <w:r w:rsidR="00110A93">
        <w:rPr>
          <w:noProof/>
        </w:rPr>
        <w:t> </w:t>
      </w:r>
      <w:r w:rsidR="00110A93" w:rsidRPr="006C3201">
        <w:rPr>
          <w:noProof/>
        </w:rPr>
        <w:t>dzi</w:t>
      </w:r>
      <w:r w:rsidRPr="006C3201">
        <w:rPr>
          <w:noProof/>
        </w:rPr>
        <w:t>edzinie środowiska,</w:t>
      </w:r>
      <w:r w:rsidR="00110A93" w:rsidRPr="006C3201">
        <w:rPr>
          <w:noProof/>
        </w:rPr>
        <w:t xml:space="preserve"> w</w:t>
      </w:r>
      <w:r w:rsidR="00110A93">
        <w:rPr>
          <w:noProof/>
        </w:rPr>
        <w:t> </w:t>
      </w:r>
      <w:r w:rsidR="00110A93" w:rsidRPr="006C3201">
        <w:rPr>
          <w:noProof/>
        </w:rPr>
        <w:t>szc</w:t>
      </w:r>
      <w:r w:rsidRPr="006C3201">
        <w:rPr>
          <w:noProof/>
        </w:rPr>
        <w:t>zególności zwalczania zmian klimatu. EU ETS przyczynia się do przeciwdziałania zmianie klimatu; rezerwa stabilności rynkowej jako narzędzie zapewniające stabilność rynku uprawnień ustanowionego na mocy dyrektywy EU ETS odgrywa ważną rolę</w:t>
      </w:r>
      <w:r w:rsidR="00110A93" w:rsidRPr="006C3201">
        <w:rPr>
          <w:noProof/>
        </w:rPr>
        <w:t xml:space="preserve"> w</w:t>
      </w:r>
      <w:r w:rsidR="00110A93">
        <w:rPr>
          <w:noProof/>
        </w:rPr>
        <w:t> </w:t>
      </w:r>
      <w:r w:rsidR="00110A93" w:rsidRPr="006C3201">
        <w:rPr>
          <w:noProof/>
        </w:rPr>
        <w:t>fun</w:t>
      </w:r>
      <w:r w:rsidRPr="006C3201">
        <w:rPr>
          <w:noProof/>
        </w:rPr>
        <w:t>kcjonowaniu tego systemu.</w:t>
      </w:r>
    </w:p>
    <w:p w14:paraId="31BB5513" w14:textId="77777777" w:rsidR="00604861" w:rsidRPr="006C3201" w:rsidRDefault="00604861">
      <w:pPr>
        <w:pStyle w:val="ManualHeading2"/>
        <w:rPr>
          <w:rFonts w:eastAsia="Arial Unicode MS"/>
          <w:noProof/>
          <w:u w:color="000000"/>
          <w:bdr w:val="nil"/>
        </w:rPr>
      </w:pPr>
      <w:bookmarkStart w:id="6" w:name="_Toc214887194"/>
      <w:r w:rsidRPr="006C3201">
        <w:rPr>
          <w:noProof/>
          <w:u w:color="000000"/>
          <w:bdr w:val="nil"/>
        </w:rPr>
        <w:t>•</w:t>
      </w:r>
      <w:r w:rsidRPr="006C3201">
        <w:rPr>
          <w:noProof/>
        </w:rPr>
        <w:tab/>
      </w:r>
      <w:r w:rsidRPr="006C3201">
        <w:rPr>
          <w:noProof/>
          <w:u w:color="000000"/>
          <w:bdr w:val="nil"/>
        </w:rPr>
        <w:t>Pomocniczość (w przypadku kompetencji niewyłącznych)</w:t>
      </w:r>
      <w:bookmarkEnd w:id="6"/>
      <w:r w:rsidRPr="006C3201">
        <w:rPr>
          <w:noProof/>
          <w:u w:color="000000"/>
          <w:bdr w:val="nil"/>
        </w:rPr>
        <w:t xml:space="preserve"> </w:t>
      </w:r>
    </w:p>
    <w:p w14:paraId="7ABB7744" w14:textId="77777777" w:rsidR="00B5667D" w:rsidRPr="006C3201" w:rsidRDefault="00B5667D">
      <w:pPr>
        <w:pBdr>
          <w:top w:val="nil"/>
          <w:left w:val="nil"/>
          <w:bottom w:val="nil"/>
          <w:right w:val="nil"/>
          <w:between w:val="nil"/>
          <w:bar w:val="nil"/>
        </w:pBdr>
        <w:spacing w:before="0" w:after="240"/>
        <w:rPr>
          <w:noProof/>
        </w:rPr>
      </w:pPr>
      <w:r w:rsidRPr="006C3201">
        <w:rPr>
          <w:noProof/>
        </w:rPr>
        <w:t>Zmiana klimatu jest problemem transgranicznym</w:t>
      </w:r>
      <w:r w:rsidR="00110A93" w:rsidRPr="006C3201">
        <w:rPr>
          <w:noProof/>
        </w:rPr>
        <w:t>. W</w:t>
      </w:r>
      <w:r w:rsidR="00110A93">
        <w:rPr>
          <w:noProof/>
        </w:rPr>
        <w:t> </w:t>
      </w:r>
      <w:r w:rsidR="00110A93" w:rsidRPr="006C3201">
        <w:rPr>
          <w:noProof/>
        </w:rPr>
        <w:t>prz</w:t>
      </w:r>
      <w:r w:rsidRPr="006C3201">
        <w:rPr>
          <w:noProof/>
        </w:rPr>
        <w:t>ypadku problemów</w:t>
      </w:r>
      <w:r w:rsidR="00110A93" w:rsidRPr="006C3201">
        <w:rPr>
          <w:noProof/>
        </w:rPr>
        <w:t xml:space="preserve"> o</w:t>
      </w:r>
      <w:r w:rsidR="00110A93">
        <w:rPr>
          <w:noProof/>
        </w:rPr>
        <w:t> </w:t>
      </w:r>
      <w:r w:rsidR="00110A93" w:rsidRPr="006C3201">
        <w:rPr>
          <w:noProof/>
        </w:rPr>
        <w:t>cha</w:t>
      </w:r>
      <w:r w:rsidRPr="006C3201">
        <w:rPr>
          <w:noProof/>
        </w:rPr>
        <w:t>rakterze transgranicznym skoordynowane działania UE mogą uzupełniać</w:t>
      </w:r>
      <w:r w:rsidR="00110A93" w:rsidRPr="006C3201">
        <w:rPr>
          <w:noProof/>
        </w:rPr>
        <w:t xml:space="preserve"> i</w:t>
      </w:r>
      <w:r w:rsidR="00110A93">
        <w:rPr>
          <w:noProof/>
        </w:rPr>
        <w:t> </w:t>
      </w:r>
      <w:r w:rsidR="00110A93" w:rsidRPr="006C3201">
        <w:rPr>
          <w:noProof/>
        </w:rPr>
        <w:t>wzm</w:t>
      </w:r>
      <w:r w:rsidRPr="006C3201">
        <w:rPr>
          <w:noProof/>
        </w:rPr>
        <w:t>acniać działania krajowe</w:t>
      </w:r>
      <w:r w:rsidR="00110A93" w:rsidRPr="006C3201">
        <w:rPr>
          <w:noProof/>
        </w:rPr>
        <w:t xml:space="preserve"> i</w:t>
      </w:r>
      <w:r w:rsidR="00110A93">
        <w:rPr>
          <w:noProof/>
        </w:rPr>
        <w:t> </w:t>
      </w:r>
      <w:r w:rsidR="00110A93" w:rsidRPr="006C3201">
        <w:rPr>
          <w:noProof/>
        </w:rPr>
        <w:t>lok</w:t>
      </w:r>
      <w:r w:rsidRPr="006C3201">
        <w:rPr>
          <w:noProof/>
        </w:rPr>
        <w:t>alne</w:t>
      </w:r>
      <w:r w:rsidR="00110A93" w:rsidRPr="006C3201">
        <w:rPr>
          <w:noProof/>
        </w:rPr>
        <w:t xml:space="preserve"> w</w:t>
      </w:r>
      <w:r w:rsidR="00110A93">
        <w:rPr>
          <w:noProof/>
        </w:rPr>
        <w:t> </w:t>
      </w:r>
      <w:r w:rsidR="00110A93" w:rsidRPr="006C3201">
        <w:rPr>
          <w:noProof/>
        </w:rPr>
        <w:t>spo</w:t>
      </w:r>
      <w:r w:rsidRPr="006C3201">
        <w:rPr>
          <w:noProof/>
        </w:rPr>
        <w:t>sób bardziej efektywny, niż mogłyby to osiągnąć nieskoordynowane działania państw członkowskich. Koordynacja na szczeblu UE zwiększa skuteczność działań</w:t>
      </w:r>
      <w:r w:rsidR="00110A93" w:rsidRPr="006C3201">
        <w:rPr>
          <w:noProof/>
        </w:rPr>
        <w:t xml:space="preserve"> w</w:t>
      </w:r>
      <w:r w:rsidR="00110A93">
        <w:rPr>
          <w:noProof/>
        </w:rPr>
        <w:t> </w:t>
      </w:r>
      <w:r w:rsidR="00110A93" w:rsidRPr="006C3201">
        <w:rPr>
          <w:noProof/>
        </w:rPr>
        <w:t>dzi</w:t>
      </w:r>
      <w:r w:rsidRPr="006C3201">
        <w:rPr>
          <w:noProof/>
        </w:rPr>
        <w:t>edzinie klimatu.</w:t>
      </w:r>
    </w:p>
    <w:p w14:paraId="04DB62D8" w14:textId="77777777" w:rsidR="008E7D1C" w:rsidRPr="006C3201" w:rsidRDefault="008E7D1C">
      <w:pPr>
        <w:pBdr>
          <w:top w:val="nil"/>
          <w:left w:val="nil"/>
          <w:bottom w:val="nil"/>
          <w:right w:val="nil"/>
          <w:between w:val="nil"/>
          <w:bar w:val="nil"/>
        </w:pBdr>
        <w:spacing w:before="0" w:after="240"/>
        <w:rPr>
          <w:noProof/>
        </w:rPr>
      </w:pPr>
      <w:r w:rsidRPr="006C3201">
        <w:rPr>
          <w:noProof/>
        </w:rPr>
        <w:t>W związku</w:t>
      </w:r>
      <w:r w:rsidR="00110A93" w:rsidRPr="006C3201">
        <w:rPr>
          <w:noProof/>
        </w:rPr>
        <w:t xml:space="preserve"> z</w:t>
      </w:r>
      <w:r w:rsidR="00110A93">
        <w:rPr>
          <w:noProof/>
        </w:rPr>
        <w:t> </w:t>
      </w:r>
      <w:r w:rsidR="00110A93" w:rsidRPr="006C3201">
        <w:rPr>
          <w:noProof/>
        </w:rPr>
        <w:t>tym</w:t>
      </w:r>
      <w:r w:rsidRPr="006C3201">
        <w:rPr>
          <w:noProof/>
        </w:rPr>
        <w:t xml:space="preserve"> cele EU ETS, który funkcjonuje</w:t>
      </w:r>
      <w:r w:rsidR="00110A93" w:rsidRPr="006C3201">
        <w:rPr>
          <w:noProof/>
        </w:rPr>
        <w:t xml:space="preserve"> w</w:t>
      </w:r>
      <w:r w:rsidR="00110A93">
        <w:rPr>
          <w:noProof/>
        </w:rPr>
        <w:t> </w:t>
      </w:r>
      <w:r w:rsidR="00110A93" w:rsidRPr="006C3201">
        <w:rPr>
          <w:noProof/>
        </w:rPr>
        <w:t>spo</w:t>
      </w:r>
      <w:r w:rsidRPr="006C3201">
        <w:rPr>
          <w:noProof/>
        </w:rPr>
        <w:t>sób</w:t>
      </w:r>
      <w:r w:rsidR="00110A93" w:rsidRPr="006C3201">
        <w:rPr>
          <w:noProof/>
        </w:rPr>
        <w:t xml:space="preserve"> w</w:t>
      </w:r>
      <w:r w:rsidR="00110A93">
        <w:rPr>
          <w:noProof/>
        </w:rPr>
        <w:t> </w:t>
      </w:r>
      <w:r w:rsidR="00110A93" w:rsidRPr="006C3201">
        <w:rPr>
          <w:noProof/>
        </w:rPr>
        <w:t>peł</w:t>
      </w:r>
      <w:r w:rsidRPr="006C3201">
        <w:rPr>
          <w:noProof/>
        </w:rPr>
        <w:t>ni zharmonizowany jako system ogólnounijny, nie mogą zostać osiągnięte</w:t>
      </w:r>
      <w:r w:rsidR="00110A93" w:rsidRPr="006C3201">
        <w:rPr>
          <w:noProof/>
        </w:rPr>
        <w:t xml:space="preserve"> w</w:t>
      </w:r>
      <w:r w:rsidR="00110A93">
        <w:rPr>
          <w:noProof/>
        </w:rPr>
        <w:t> </w:t>
      </w:r>
      <w:r w:rsidR="00110A93" w:rsidRPr="006C3201">
        <w:rPr>
          <w:noProof/>
        </w:rPr>
        <w:t>spo</w:t>
      </w:r>
      <w:r w:rsidRPr="006C3201">
        <w:rPr>
          <w:noProof/>
        </w:rPr>
        <w:t>sób wystarczający przez państwa członkowskie działające jednostronnie. Ze względu na skalę</w:t>
      </w:r>
      <w:r w:rsidR="00110A93" w:rsidRPr="006C3201">
        <w:rPr>
          <w:noProof/>
        </w:rPr>
        <w:t xml:space="preserve"> i</w:t>
      </w:r>
      <w:r w:rsidR="00110A93">
        <w:rPr>
          <w:noProof/>
        </w:rPr>
        <w:t> </w:t>
      </w:r>
      <w:r w:rsidR="00110A93" w:rsidRPr="006C3201">
        <w:rPr>
          <w:noProof/>
        </w:rPr>
        <w:t>sku</w:t>
      </w:r>
      <w:r w:rsidRPr="006C3201">
        <w:rPr>
          <w:noProof/>
        </w:rPr>
        <w:t xml:space="preserve">tki systemu cele te można skuteczniej zrealizować na szczeblu UE. Podobnie, ponieważ rezerwa stabilności rynkowej jest </w:t>
      </w:r>
      <w:bookmarkStart w:id="7" w:name="_Hlk212565833"/>
      <w:r w:rsidRPr="006C3201">
        <w:rPr>
          <w:noProof/>
        </w:rPr>
        <w:t>narzędziem stabilności rynku uprawnień do emisji</w:t>
      </w:r>
      <w:r w:rsidR="00110A93" w:rsidRPr="006C3201">
        <w:rPr>
          <w:noProof/>
        </w:rPr>
        <w:t xml:space="preserve"> w</w:t>
      </w:r>
      <w:r w:rsidR="00110A93">
        <w:rPr>
          <w:noProof/>
        </w:rPr>
        <w:t> </w:t>
      </w:r>
      <w:r w:rsidR="00110A93" w:rsidRPr="006C3201">
        <w:rPr>
          <w:noProof/>
        </w:rPr>
        <w:t>ram</w:t>
      </w:r>
      <w:r w:rsidRPr="006C3201">
        <w:rPr>
          <w:noProof/>
        </w:rPr>
        <w:t>ach ETS2 ustanowionym na mocy dyrektywy EU ETS</w:t>
      </w:r>
      <w:bookmarkEnd w:id="7"/>
      <w:r w:rsidRPr="006C3201">
        <w:rPr>
          <w:noProof/>
        </w:rPr>
        <w:t>, jej cel również nie może zostać osiągnięty</w:t>
      </w:r>
      <w:r w:rsidR="00110A93" w:rsidRPr="006C3201">
        <w:rPr>
          <w:noProof/>
        </w:rPr>
        <w:t xml:space="preserve"> w</w:t>
      </w:r>
      <w:r w:rsidR="00110A93">
        <w:rPr>
          <w:noProof/>
        </w:rPr>
        <w:t> </w:t>
      </w:r>
      <w:r w:rsidR="00110A93" w:rsidRPr="006C3201">
        <w:rPr>
          <w:noProof/>
        </w:rPr>
        <w:t>spo</w:t>
      </w:r>
      <w:r w:rsidRPr="006C3201">
        <w:rPr>
          <w:noProof/>
        </w:rPr>
        <w:t>sób wystarczający poprzez nieskoordynowane działania państw członkowskich.</w:t>
      </w:r>
    </w:p>
    <w:p w14:paraId="6F6BA4C0" w14:textId="77777777" w:rsidR="00604861" w:rsidRPr="006C3201" w:rsidRDefault="005756D9">
      <w:pPr>
        <w:pBdr>
          <w:top w:val="nil"/>
          <w:left w:val="nil"/>
          <w:bottom w:val="nil"/>
          <w:right w:val="nil"/>
          <w:between w:val="nil"/>
          <w:bar w:val="nil"/>
        </w:pBdr>
        <w:spacing w:before="0" w:after="240"/>
        <w:rPr>
          <w:rFonts w:eastAsia="Arial Unicode MS"/>
          <w:noProof/>
        </w:rPr>
      </w:pPr>
      <w:r w:rsidRPr="006C3201">
        <w:rPr>
          <w:noProof/>
        </w:rPr>
        <w:t>Decyzja (UE) 2015/1814 jest obowiązującym środkiem UE</w:t>
      </w:r>
      <w:r w:rsidR="00110A93" w:rsidRPr="006C3201">
        <w:rPr>
          <w:noProof/>
        </w:rPr>
        <w:t xml:space="preserve"> w</w:t>
      </w:r>
      <w:r w:rsidR="00110A93">
        <w:rPr>
          <w:noProof/>
        </w:rPr>
        <w:t> </w:t>
      </w:r>
      <w:r w:rsidR="00110A93" w:rsidRPr="006C3201">
        <w:rPr>
          <w:noProof/>
        </w:rPr>
        <w:t>dzi</w:t>
      </w:r>
      <w:r w:rsidRPr="006C3201">
        <w:rPr>
          <w:noProof/>
        </w:rPr>
        <w:t>edzinie przeciwdziałania zmianie klimatu. Zgodnie</w:t>
      </w:r>
      <w:r w:rsidR="00110A93" w:rsidRPr="006C3201">
        <w:rPr>
          <w:noProof/>
        </w:rPr>
        <w:t xml:space="preserve"> z</w:t>
      </w:r>
      <w:r w:rsidR="00110A93">
        <w:rPr>
          <w:noProof/>
        </w:rPr>
        <w:t> </w:t>
      </w:r>
      <w:r w:rsidR="00110A93" w:rsidRPr="006C3201">
        <w:rPr>
          <w:noProof/>
        </w:rPr>
        <w:t>zas</w:t>
      </w:r>
      <w:r w:rsidRPr="006C3201">
        <w:rPr>
          <w:noProof/>
        </w:rPr>
        <w:t>adą pomocniczości określoną</w:t>
      </w:r>
      <w:r w:rsidR="00110A93" w:rsidRPr="006C3201">
        <w:rPr>
          <w:noProof/>
        </w:rPr>
        <w:t xml:space="preserve"> w</w:t>
      </w:r>
      <w:r w:rsidR="00110A93">
        <w:rPr>
          <w:noProof/>
        </w:rPr>
        <w:t> </w:t>
      </w:r>
      <w:r w:rsidR="00110A93" w:rsidRPr="006C3201">
        <w:rPr>
          <w:noProof/>
        </w:rPr>
        <w:t>art</w:t>
      </w:r>
      <w:r w:rsidRPr="006C3201">
        <w:rPr>
          <w:noProof/>
        </w:rPr>
        <w:t>. 5 TFUE zmiany tej decyzji, jak ma to miejsce</w:t>
      </w:r>
      <w:r w:rsidR="00110A93" w:rsidRPr="006C3201">
        <w:rPr>
          <w:noProof/>
        </w:rPr>
        <w:t xml:space="preserve"> w</w:t>
      </w:r>
      <w:r w:rsidR="00110A93">
        <w:rPr>
          <w:noProof/>
        </w:rPr>
        <w:t> </w:t>
      </w:r>
      <w:r w:rsidR="00110A93" w:rsidRPr="006C3201">
        <w:rPr>
          <w:noProof/>
        </w:rPr>
        <w:t>ram</w:t>
      </w:r>
      <w:r w:rsidRPr="006C3201">
        <w:rPr>
          <w:noProof/>
        </w:rPr>
        <w:t>ach niniejszego wniosku, nie można dokonać na szczeblu krajowym ani lokalnym, lecz wymaga ona działań na szczeblu UE.</w:t>
      </w:r>
    </w:p>
    <w:p w14:paraId="0F9C4101" w14:textId="77777777" w:rsidR="00604861" w:rsidRPr="006C3201" w:rsidRDefault="00604861">
      <w:pPr>
        <w:pStyle w:val="ManualHeading2"/>
        <w:rPr>
          <w:rFonts w:eastAsia="Arial Unicode MS"/>
          <w:noProof/>
          <w:u w:color="000000"/>
          <w:bdr w:val="nil"/>
        </w:rPr>
      </w:pPr>
      <w:bookmarkStart w:id="8" w:name="_Toc214887195"/>
      <w:r w:rsidRPr="006C3201">
        <w:rPr>
          <w:noProof/>
          <w:u w:color="000000"/>
          <w:bdr w:val="nil"/>
        </w:rPr>
        <w:t>•</w:t>
      </w:r>
      <w:r w:rsidRPr="006C3201">
        <w:rPr>
          <w:noProof/>
        </w:rPr>
        <w:tab/>
      </w:r>
      <w:r w:rsidRPr="006C3201">
        <w:rPr>
          <w:noProof/>
          <w:u w:color="000000"/>
          <w:bdr w:val="nil"/>
        </w:rPr>
        <w:t>Proporcjonalność</w:t>
      </w:r>
      <w:bookmarkEnd w:id="8"/>
    </w:p>
    <w:p w14:paraId="78768286" w14:textId="77777777" w:rsidR="00604861" w:rsidRPr="006C3201" w:rsidRDefault="00AD064E">
      <w:pPr>
        <w:pBdr>
          <w:top w:val="nil"/>
          <w:left w:val="nil"/>
          <w:bottom w:val="nil"/>
          <w:right w:val="nil"/>
          <w:between w:val="nil"/>
          <w:bar w:val="nil"/>
        </w:pBdr>
        <w:spacing w:before="0" w:after="240"/>
        <w:rPr>
          <w:rFonts w:eastAsia="Arial Unicode MS"/>
          <w:noProof/>
        </w:rPr>
      </w:pPr>
      <w:r w:rsidRPr="006C3201">
        <w:rPr>
          <w:noProof/>
        </w:rPr>
        <w:t>Wniosek jest zgodny</w:t>
      </w:r>
      <w:r w:rsidR="00110A93" w:rsidRPr="006C3201">
        <w:rPr>
          <w:noProof/>
        </w:rPr>
        <w:t xml:space="preserve"> z</w:t>
      </w:r>
      <w:r w:rsidR="00110A93">
        <w:rPr>
          <w:noProof/>
        </w:rPr>
        <w:t> </w:t>
      </w:r>
      <w:r w:rsidR="00110A93" w:rsidRPr="006C3201">
        <w:rPr>
          <w:noProof/>
        </w:rPr>
        <w:t>zas</w:t>
      </w:r>
      <w:r w:rsidRPr="006C3201">
        <w:rPr>
          <w:noProof/>
        </w:rPr>
        <w:t xml:space="preserve">adą proporcjonalności, ponieważ nie wykracza poza to, co jest konieczne do osiągnięcia unijnego celu redukcji emisji gazów cieplarnianych </w:t>
      </w:r>
      <w:r w:rsidRPr="00110A93">
        <w:rPr>
          <w:noProof/>
        </w:rPr>
        <w:t>do</w:t>
      </w:r>
      <w:r w:rsidR="00110A93" w:rsidRPr="00110A93">
        <w:rPr>
          <w:noProof/>
        </w:rPr>
        <w:t> </w:t>
      </w:r>
      <w:r w:rsidRPr="00110A93">
        <w:rPr>
          <w:noProof/>
        </w:rPr>
        <w:t>2</w:t>
      </w:r>
      <w:r w:rsidRPr="006C3201">
        <w:rPr>
          <w:noProof/>
        </w:rPr>
        <w:t>030 r.</w:t>
      </w:r>
      <w:r w:rsidR="00110A93" w:rsidRPr="006C3201">
        <w:rPr>
          <w:noProof/>
        </w:rPr>
        <w:t xml:space="preserve"> w</w:t>
      </w:r>
      <w:r w:rsidR="00110A93">
        <w:rPr>
          <w:noProof/>
        </w:rPr>
        <w:t> </w:t>
      </w:r>
      <w:r w:rsidR="00110A93" w:rsidRPr="006C3201">
        <w:rPr>
          <w:noProof/>
        </w:rPr>
        <w:t>spo</w:t>
      </w:r>
      <w:r w:rsidRPr="006C3201">
        <w:rPr>
          <w:noProof/>
        </w:rPr>
        <w:t>sób racjonalny pod względem kosztów,</w:t>
      </w:r>
      <w:r w:rsidR="00110A93" w:rsidRPr="006C3201">
        <w:rPr>
          <w:noProof/>
        </w:rPr>
        <w:t xml:space="preserve"> z</w:t>
      </w:r>
      <w:r w:rsidR="00110A93">
        <w:rPr>
          <w:noProof/>
        </w:rPr>
        <w:t> </w:t>
      </w:r>
      <w:r w:rsidR="00110A93" w:rsidRPr="006C3201">
        <w:rPr>
          <w:noProof/>
        </w:rPr>
        <w:t>zap</w:t>
      </w:r>
      <w:r w:rsidRPr="006C3201">
        <w:rPr>
          <w:noProof/>
        </w:rPr>
        <w:t>ewnieniem właściwego funkcjonowania rynku uprawnień do emisji</w:t>
      </w:r>
      <w:r w:rsidR="00110A93" w:rsidRPr="006C3201">
        <w:rPr>
          <w:noProof/>
        </w:rPr>
        <w:t xml:space="preserve"> w</w:t>
      </w:r>
      <w:r w:rsidR="00110A93">
        <w:rPr>
          <w:noProof/>
        </w:rPr>
        <w:t> </w:t>
      </w:r>
      <w:r w:rsidR="00110A93" w:rsidRPr="006C3201">
        <w:rPr>
          <w:noProof/>
        </w:rPr>
        <w:t>ram</w:t>
      </w:r>
      <w:r w:rsidRPr="006C3201">
        <w:rPr>
          <w:noProof/>
        </w:rPr>
        <w:t>ach ETS2 ustanowionego dyrektywą EU ETS.</w:t>
      </w:r>
    </w:p>
    <w:p w14:paraId="757A5399" w14:textId="77777777" w:rsidR="00604861" w:rsidRPr="006C3201" w:rsidRDefault="00604861">
      <w:pPr>
        <w:pStyle w:val="ManualHeading2"/>
        <w:rPr>
          <w:rFonts w:eastAsia="Arial Unicode MS"/>
          <w:noProof/>
          <w:u w:color="000000"/>
          <w:bdr w:val="nil"/>
        </w:rPr>
      </w:pPr>
      <w:bookmarkStart w:id="9" w:name="_Toc214887196"/>
      <w:r w:rsidRPr="006C3201">
        <w:rPr>
          <w:noProof/>
          <w:u w:color="000000"/>
          <w:bdr w:val="nil"/>
        </w:rPr>
        <w:t>•</w:t>
      </w:r>
      <w:r w:rsidRPr="006C3201">
        <w:rPr>
          <w:noProof/>
        </w:rPr>
        <w:tab/>
      </w:r>
      <w:r w:rsidRPr="006C3201">
        <w:rPr>
          <w:noProof/>
          <w:u w:color="000000"/>
          <w:bdr w:val="nil"/>
        </w:rPr>
        <w:t>Wybór instrumentu</w:t>
      </w:r>
      <w:bookmarkEnd w:id="9"/>
    </w:p>
    <w:p w14:paraId="70E61DC6" w14:textId="77777777" w:rsidR="00604861" w:rsidRPr="006C3201" w:rsidRDefault="007161A5">
      <w:pPr>
        <w:pBdr>
          <w:top w:val="nil"/>
          <w:left w:val="nil"/>
          <w:bottom w:val="nil"/>
          <w:right w:val="nil"/>
          <w:between w:val="nil"/>
          <w:bar w:val="nil"/>
        </w:pBdr>
        <w:spacing w:before="0" w:after="240"/>
        <w:rPr>
          <w:rFonts w:eastAsia="Arial Unicode MS"/>
          <w:noProof/>
        </w:rPr>
      </w:pPr>
      <w:r w:rsidRPr="006C3201">
        <w:rPr>
          <w:noProof/>
        </w:rPr>
        <w:t>Decyzja jest właściwym instrumentem</w:t>
      </w:r>
      <w:r w:rsidR="00110A93" w:rsidRPr="006C3201">
        <w:rPr>
          <w:noProof/>
        </w:rPr>
        <w:t xml:space="preserve"> w</w:t>
      </w:r>
      <w:r w:rsidR="00110A93">
        <w:rPr>
          <w:noProof/>
        </w:rPr>
        <w:t> </w:t>
      </w:r>
      <w:r w:rsidR="00110A93" w:rsidRPr="006C3201">
        <w:rPr>
          <w:noProof/>
        </w:rPr>
        <w:t>cel</w:t>
      </w:r>
      <w:r w:rsidRPr="006C3201">
        <w:rPr>
          <w:noProof/>
        </w:rPr>
        <w:t>u zmiany decyzji ustanawiającej rezerwę stabilności rynkowej.</w:t>
      </w:r>
    </w:p>
    <w:p w14:paraId="4711253F" w14:textId="77777777" w:rsidR="00604861" w:rsidRPr="006C3201" w:rsidRDefault="00604861">
      <w:pPr>
        <w:pStyle w:val="ManualHeading1"/>
        <w:rPr>
          <w:noProof/>
        </w:rPr>
      </w:pPr>
      <w:bookmarkStart w:id="10" w:name="_Toc214887197"/>
      <w:r w:rsidRPr="006C3201">
        <w:rPr>
          <w:noProof/>
        </w:rPr>
        <w:t>3.</w:t>
      </w:r>
      <w:r w:rsidRPr="006C3201">
        <w:rPr>
          <w:noProof/>
        </w:rPr>
        <w:tab/>
        <w:t>WYNIKI OCEN EX POST, KONSULTACJI Z ZAINTERESOWANYMI STRONAMI I OCEN SKUTKÓW</w:t>
      </w:r>
      <w:bookmarkEnd w:id="10"/>
    </w:p>
    <w:p w14:paraId="77CEC683" w14:textId="77777777" w:rsidR="00604861" w:rsidRPr="006C3201" w:rsidRDefault="00604861">
      <w:pPr>
        <w:pStyle w:val="ManualHeading2"/>
        <w:rPr>
          <w:rFonts w:eastAsia="Arial Unicode MS"/>
          <w:noProof/>
          <w:u w:color="000000"/>
          <w:bdr w:val="nil"/>
        </w:rPr>
      </w:pPr>
      <w:bookmarkStart w:id="11" w:name="_Toc214887198"/>
      <w:r w:rsidRPr="006C3201">
        <w:rPr>
          <w:noProof/>
          <w:u w:color="000000"/>
          <w:bdr w:val="nil"/>
        </w:rPr>
        <w:t>•</w:t>
      </w:r>
      <w:r w:rsidRPr="006C3201">
        <w:rPr>
          <w:noProof/>
        </w:rPr>
        <w:tab/>
      </w:r>
      <w:r w:rsidRPr="006C3201">
        <w:rPr>
          <w:noProof/>
          <w:u w:color="000000"/>
          <w:bdr w:val="nil"/>
        </w:rPr>
        <w:t>Oceny ex post/oceny adekwatności obowiązującego prawodawstwa</w:t>
      </w:r>
      <w:bookmarkEnd w:id="11"/>
    </w:p>
    <w:p w14:paraId="52A28D9E" w14:textId="77777777" w:rsidR="00BC1EB0" w:rsidRPr="006C3201" w:rsidRDefault="00251CF5" w:rsidP="00520A69">
      <w:pPr>
        <w:pStyle w:val="Text1"/>
        <w:ind w:left="0"/>
        <w:rPr>
          <w:noProof/>
        </w:rPr>
      </w:pPr>
      <w:r w:rsidRPr="006C3201">
        <w:rPr>
          <w:noProof/>
        </w:rPr>
        <w:t>We wniosku uwzględniono doświadczenia zdobyte podczas wdrażania dyrektywy EU ETS</w:t>
      </w:r>
      <w:r w:rsidR="00110A93" w:rsidRPr="006C3201">
        <w:rPr>
          <w:noProof/>
        </w:rPr>
        <w:t xml:space="preserve"> w</w:t>
      </w:r>
      <w:r w:rsidR="00110A93">
        <w:rPr>
          <w:noProof/>
        </w:rPr>
        <w:t> </w:t>
      </w:r>
      <w:r w:rsidR="00110A93" w:rsidRPr="006C3201">
        <w:rPr>
          <w:noProof/>
        </w:rPr>
        <w:t>odn</w:t>
      </w:r>
      <w:r w:rsidRPr="006C3201">
        <w:rPr>
          <w:noProof/>
        </w:rPr>
        <w:t>iesieniu do systemu handlu uprawnieniami do emisji dla sektora budowlanego, sektora transportu drogowego</w:t>
      </w:r>
      <w:r w:rsidR="00110A93" w:rsidRPr="006C3201">
        <w:rPr>
          <w:noProof/>
        </w:rPr>
        <w:t xml:space="preserve"> i</w:t>
      </w:r>
      <w:r w:rsidR="00110A93">
        <w:rPr>
          <w:noProof/>
        </w:rPr>
        <w:t> </w:t>
      </w:r>
      <w:r w:rsidR="00110A93" w:rsidRPr="006C3201">
        <w:rPr>
          <w:noProof/>
        </w:rPr>
        <w:t>sek</w:t>
      </w:r>
      <w:r w:rsidRPr="006C3201">
        <w:rPr>
          <w:noProof/>
        </w:rPr>
        <w:t>torów dodatkowych od czasu jej wejścia</w:t>
      </w:r>
      <w:r w:rsidR="00110A93" w:rsidRPr="006C3201">
        <w:rPr>
          <w:noProof/>
        </w:rPr>
        <w:t xml:space="preserve"> w</w:t>
      </w:r>
      <w:r w:rsidR="00110A93">
        <w:rPr>
          <w:noProof/>
        </w:rPr>
        <w:t> </w:t>
      </w:r>
      <w:r w:rsidR="00110A93" w:rsidRPr="006C3201">
        <w:rPr>
          <w:noProof/>
        </w:rPr>
        <w:t>życ</w:t>
      </w:r>
      <w:r w:rsidRPr="006C3201">
        <w:rPr>
          <w:noProof/>
        </w:rPr>
        <w:t>ie</w:t>
      </w:r>
      <w:r w:rsidR="00110A93" w:rsidRPr="006C3201">
        <w:rPr>
          <w:noProof/>
        </w:rPr>
        <w:t xml:space="preserve"> w</w:t>
      </w:r>
      <w:r w:rsidR="00110A93">
        <w:rPr>
          <w:noProof/>
        </w:rPr>
        <w:t> </w:t>
      </w:r>
      <w:r w:rsidR="00110A93" w:rsidRPr="006C3201">
        <w:rPr>
          <w:noProof/>
        </w:rPr>
        <w:t>cze</w:t>
      </w:r>
      <w:r w:rsidRPr="006C3201">
        <w:rPr>
          <w:noProof/>
        </w:rPr>
        <w:t>rwcu 2023 r</w:t>
      </w:r>
      <w:r w:rsidR="00110A93" w:rsidRPr="006C3201">
        <w:rPr>
          <w:noProof/>
        </w:rPr>
        <w:t>. W</w:t>
      </w:r>
      <w:r w:rsidR="00110A93">
        <w:rPr>
          <w:noProof/>
        </w:rPr>
        <w:t> </w:t>
      </w:r>
      <w:r w:rsidR="00110A93" w:rsidRPr="006C3201">
        <w:rPr>
          <w:noProof/>
        </w:rPr>
        <w:t>oce</w:t>
      </w:r>
      <w:r w:rsidRPr="006C3201">
        <w:rPr>
          <w:noProof/>
        </w:rPr>
        <w:t>nie skutków dotyczącej przeglądu EU ETS</w:t>
      </w:r>
      <w:r w:rsidR="00110A93" w:rsidRPr="006C3201">
        <w:rPr>
          <w:noProof/>
        </w:rPr>
        <w:t xml:space="preserve"> i</w:t>
      </w:r>
      <w:r w:rsidR="00110A93">
        <w:rPr>
          <w:noProof/>
        </w:rPr>
        <w:t> </w:t>
      </w:r>
      <w:r w:rsidR="00110A93" w:rsidRPr="006C3201">
        <w:rPr>
          <w:noProof/>
        </w:rPr>
        <w:t>rez</w:t>
      </w:r>
      <w:r w:rsidRPr="006C3201">
        <w:rPr>
          <w:noProof/>
        </w:rPr>
        <w:t>erwy stabilności rynkowej</w:t>
      </w:r>
      <w:r w:rsidR="00110A93" w:rsidRPr="006C3201">
        <w:rPr>
          <w:noProof/>
        </w:rPr>
        <w:t xml:space="preserve"> z</w:t>
      </w:r>
      <w:r w:rsidR="00110A93">
        <w:rPr>
          <w:noProof/>
        </w:rPr>
        <w:t> </w:t>
      </w:r>
      <w:r w:rsidR="00110A93" w:rsidRPr="006C3201">
        <w:rPr>
          <w:noProof/>
        </w:rPr>
        <w:t>2</w:t>
      </w:r>
      <w:r w:rsidRPr="006C3201">
        <w:rPr>
          <w:noProof/>
        </w:rPr>
        <w:t>021 r. podkreślono, że cena uprawnień</w:t>
      </w:r>
      <w:r w:rsidR="00110A93" w:rsidRPr="006C3201">
        <w:rPr>
          <w:noProof/>
        </w:rPr>
        <w:t xml:space="preserve"> w</w:t>
      </w:r>
      <w:r w:rsidR="00110A93">
        <w:rPr>
          <w:noProof/>
        </w:rPr>
        <w:t> </w:t>
      </w:r>
      <w:r w:rsidR="00110A93" w:rsidRPr="006C3201">
        <w:rPr>
          <w:noProof/>
        </w:rPr>
        <w:t>ram</w:t>
      </w:r>
      <w:r w:rsidRPr="006C3201">
        <w:rPr>
          <w:noProof/>
        </w:rPr>
        <w:t>ach ETS2 będzie zależała od wdrożenia uzupełniających polityk</w:t>
      </w:r>
      <w:r w:rsidR="00110A93" w:rsidRPr="006C3201">
        <w:rPr>
          <w:noProof/>
        </w:rPr>
        <w:t xml:space="preserve"> i</w:t>
      </w:r>
      <w:r w:rsidR="00110A93">
        <w:rPr>
          <w:noProof/>
        </w:rPr>
        <w:t> </w:t>
      </w:r>
      <w:r w:rsidR="00110A93" w:rsidRPr="006C3201">
        <w:rPr>
          <w:noProof/>
        </w:rPr>
        <w:t>śro</w:t>
      </w:r>
      <w:r w:rsidRPr="006C3201">
        <w:rPr>
          <w:noProof/>
        </w:rPr>
        <w:t>dków wspierających dekarbonizację tych sektorów. Przeprowadzona przez Komisję</w:t>
      </w:r>
      <w:r w:rsidR="00110A93" w:rsidRPr="006C3201">
        <w:rPr>
          <w:noProof/>
        </w:rPr>
        <w:t xml:space="preserve"> w</w:t>
      </w:r>
      <w:r w:rsidR="00110A93">
        <w:rPr>
          <w:noProof/>
        </w:rPr>
        <w:t> </w:t>
      </w:r>
      <w:r w:rsidR="00110A93" w:rsidRPr="006C3201">
        <w:rPr>
          <w:noProof/>
        </w:rPr>
        <w:t>2</w:t>
      </w:r>
      <w:r w:rsidRPr="006C3201">
        <w:rPr>
          <w:noProof/>
        </w:rPr>
        <w:t>025 r. ocena krajowych planów</w:t>
      </w:r>
      <w:r w:rsidR="00110A93" w:rsidRPr="006C3201">
        <w:rPr>
          <w:noProof/>
        </w:rPr>
        <w:t xml:space="preserve"> w</w:t>
      </w:r>
      <w:r w:rsidR="00110A93">
        <w:rPr>
          <w:noProof/>
        </w:rPr>
        <w:t> </w:t>
      </w:r>
      <w:r w:rsidR="00110A93" w:rsidRPr="006C3201">
        <w:rPr>
          <w:noProof/>
        </w:rPr>
        <w:t>dzi</w:t>
      </w:r>
      <w:r w:rsidRPr="006C3201">
        <w:rPr>
          <w:noProof/>
        </w:rPr>
        <w:t>edzinie energii</w:t>
      </w:r>
      <w:r w:rsidR="00110A93" w:rsidRPr="006C3201">
        <w:rPr>
          <w:noProof/>
        </w:rPr>
        <w:t xml:space="preserve"> i</w:t>
      </w:r>
      <w:r w:rsidR="00110A93">
        <w:rPr>
          <w:noProof/>
        </w:rPr>
        <w:t> </w:t>
      </w:r>
      <w:r w:rsidR="00110A93" w:rsidRPr="006C3201">
        <w:rPr>
          <w:noProof/>
        </w:rPr>
        <w:t>kli</w:t>
      </w:r>
      <w:r w:rsidRPr="006C3201">
        <w:rPr>
          <w:noProof/>
        </w:rPr>
        <w:t>matu wskazuje na znaczne postępy</w:t>
      </w:r>
      <w:r w:rsidR="00110A93" w:rsidRPr="006C3201">
        <w:rPr>
          <w:noProof/>
        </w:rPr>
        <w:t xml:space="preserve"> w</w:t>
      </w:r>
      <w:r w:rsidR="00110A93">
        <w:rPr>
          <w:noProof/>
        </w:rPr>
        <w:t> </w:t>
      </w:r>
      <w:r w:rsidR="00110A93" w:rsidRPr="006C3201">
        <w:rPr>
          <w:noProof/>
        </w:rPr>
        <w:t>rea</w:t>
      </w:r>
      <w:r w:rsidRPr="006C3201">
        <w:rPr>
          <w:noProof/>
        </w:rPr>
        <w:t>lizacji uzupełniających polityk</w:t>
      </w:r>
      <w:r w:rsidR="00110A93" w:rsidRPr="006C3201">
        <w:rPr>
          <w:noProof/>
        </w:rPr>
        <w:t xml:space="preserve"> i</w:t>
      </w:r>
      <w:r w:rsidR="00110A93">
        <w:rPr>
          <w:noProof/>
        </w:rPr>
        <w:t> </w:t>
      </w:r>
      <w:r w:rsidR="00110A93" w:rsidRPr="006C3201">
        <w:rPr>
          <w:noProof/>
        </w:rPr>
        <w:t>śro</w:t>
      </w:r>
      <w:r w:rsidRPr="006C3201">
        <w:rPr>
          <w:noProof/>
        </w:rPr>
        <w:t xml:space="preserve">dków państw członkowskich służących osiągnięciu celów na </w:t>
      </w:r>
      <w:r w:rsidRPr="00110A93">
        <w:rPr>
          <w:noProof/>
        </w:rPr>
        <w:t>rok</w:t>
      </w:r>
      <w:r w:rsidR="00110A93" w:rsidRPr="00110A93">
        <w:rPr>
          <w:noProof/>
        </w:rPr>
        <w:t> </w:t>
      </w:r>
      <w:r w:rsidRPr="00110A93">
        <w:rPr>
          <w:noProof/>
        </w:rPr>
        <w:t>2</w:t>
      </w:r>
      <w:r w:rsidRPr="006C3201">
        <w:rPr>
          <w:noProof/>
        </w:rPr>
        <w:t>030</w:t>
      </w:r>
      <w:r w:rsidR="00110A93" w:rsidRPr="006C3201">
        <w:rPr>
          <w:noProof/>
        </w:rPr>
        <w:t xml:space="preserve"> w</w:t>
      </w:r>
      <w:r w:rsidR="00110A93">
        <w:rPr>
          <w:noProof/>
        </w:rPr>
        <w:t> </w:t>
      </w:r>
      <w:r w:rsidR="00110A93" w:rsidRPr="006C3201">
        <w:rPr>
          <w:noProof/>
        </w:rPr>
        <w:t>dzi</w:t>
      </w:r>
      <w:r w:rsidRPr="006C3201">
        <w:rPr>
          <w:noProof/>
        </w:rPr>
        <w:t>edzinie energii</w:t>
      </w:r>
      <w:r w:rsidR="00110A93" w:rsidRPr="006C3201">
        <w:rPr>
          <w:noProof/>
        </w:rPr>
        <w:t xml:space="preserve"> i</w:t>
      </w:r>
      <w:r w:rsidR="00110A93">
        <w:rPr>
          <w:noProof/>
        </w:rPr>
        <w:t> </w:t>
      </w:r>
      <w:r w:rsidR="00110A93" w:rsidRPr="006C3201">
        <w:rPr>
          <w:noProof/>
        </w:rPr>
        <w:t>kli</w:t>
      </w:r>
      <w:r w:rsidRPr="006C3201">
        <w:rPr>
          <w:noProof/>
        </w:rPr>
        <w:t>matu. Wskazano</w:t>
      </w:r>
      <w:r w:rsidR="00110A93" w:rsidRPr="006C3201">
        <w:rPr>
          <w:noProof/>
        </w:rPr>
        <w:t xml:space="preserve"> w</w:t>
      </w:r>
      <w:r w:rsidR="00110A93">
        <w:rPr>
          <w:noProof/>
        </w:rPr>
        <w:t> </w:t>
      </w:r>
      <w:r w:rsidR="00110A93" w:rsidRPr="006C3201">
        <w:rPr>
          <w:noProof/>
        </w:rPr>
        <w:t>nie</w:t>
      </w:r>
      <w:r w:rsidRPr="006C3201">
        <w:rPr>
          <w:noProof/>
        </w:rPr>
        <w:t>j również utrzymujące się luki</w:t>
      </w:r>
      <w:r w:rsidR="00110A93" w:rsidRPr="006C3201">
        <w:rPr>
          <w:noProof/>
        </w:rPr>
        <w:t xml:space="preserve"> w</w:t>
      </w:r>
      <w:r w:rsidR="00110A93">
        <w:rPr>
          <w:noProof/>
        </w:rPr>
        <w:t> </w:t>
      </w:r>
      <w:r w:rsidR="00110A93" w:rsidRPr="006C3201">
        <w:rPr>
          <w:noProof/>
        </w:rPr>
        <w:t>sek</w:t>
      </w:r>
      <w:r w:rsidRPr="006C3201">
        <w:rPr>
          <w:noProof/>
        </w:rPr>
        <w:t>torze transportu drogowego</w:t>
      </w:r>
      <w:r w:rsidR="00110A93" w:rsidRPr="006C3201">
        <w:rPr>
          <w:noProof/>
        </w:rPr>
        <w:t xml:space="preserve"> i</w:t>
      </w:r>
      <w:r w:rsidR="00110A93">
        <w:rPr>
          <w:noProof/>
        </w:rPr>
        <w:t> </w:t>
      </w:r>
      <w:r w:rsidR="00110A93" w:rsidRPr="006C3201">
        <w:rPr>
          <w:noProof/>
        </w:rPr>
        <w:t>sek</w:t>
      </w:r>
      <w:r w:rsidRPr="006C3201">
        <w:rPr>
          <w:noProof/>
        </w:rPr>
        <w:t xml:space="preserve">torze budowlanym, które należy wyeliminować, aby osiągnąć te cele. </w:t>
      </w:r>
    </w:p>
    <w:p w14:paraId="411FD452" w14:textId="77777777" w:rsidR="00604861" w:rsidRPr="006C3201" w:rsidRDefault="00604861" w:rsidP="00520A69">
      <w:pPr>
        <w:pStyle w:val="ManualHeading2"/>
        <w:tabs>
          <w:tab w:val="clear" w:pos="850"/>
          <w:tab w:val="left" w:pos="0"/>
        </w:tabs>
        <w:ind w:left="0" w:firstLine="0"/>
        <w:rPr>
          <w:rFonts w:eastAsia="Arial Unicode MS"/>
          <w:noProof/>
          <w:u w:color="000000"/>
          <w:bdr w:val="nil"/>
        </w:rPr>
      </w:pPr>
      <w:bookmarkStart w:id="12" w:name="_Toc214887199"/>
      <w:r w:rsidRPr="006C3201">
        <w:rPr>
          <w:noProof/>
          <w:u w:color="000000"/>
          <w:bdr w:val="nil"/>
        </w:rPr>
        <w:t>•</w:t>
      </w:r>
      <w:r w:rsidRPr="006C3201">
        <w:rPr>
          <w:noProof/>
        </w:rPr>
        <w:tab/>
      </w:r>
      <w:r w:rsidRPr="006C3201">
        <w:rPr>
          <w:noProof/>
          <w:u w:color="000000"/>
          <w:bdr w:val="nil"/>
        </w:rPr>
        <w:t>Konsultacje</w:t>
      </w:r>
      <w:r w:rsidR="00110A93" w:rsidRPr="006C3201">
        <w:rPr>
          <w:noProof/>
          <w:u w:color="000000"/>
          <w:bdr w:val="nil"/>
        </w:rPr>
        <w:t xml:space="preserve"> z</w:t>
      </w:r>
      <w:r w:rsidR="00110A93">
        <w:rPr>
          <w:noProof/>
          <w:u w:color="000000"/>
          <w:bdr w:val="nil"/>
        </w:rPr>
        <w:t> </w:t>
      </w:r>
      <w:r w:rsidR="00110A93" w:rsidRPr="006C3201">
        <w:rPr>
          <w:noProof/>
          <w:u w:color="000000"/>
          <w:bdr w:val="nil"/>
        </w:rPr>
        <w:t>zai</w:t>
      </w:r>
      <w:r w:rsidRPr="006C3201">
        <w:rPr>
          <w:noProof/>
          <w:u w:color="000000"/>
          <w:bdr w:val="nil"/>
        </w:rPr>
        <w:t>nteresowanymi stronami</w:t>
      </w:r>
      <w:bookmarkEnd w:id="12"/>
    </w:p>
    <w:p w14:paraId="7D21132B" w14:textId="77777777" w:rsidR="00310A7E" w:rsidRPr="006C3201" w:rsidRDefault="007C1680" w:rsidP="007D5888">
      <w:pPr>
        <w:pBdr>
          <w:top w:val="nil"/>
          <w:left w:val="nil"/>
          <w:bottom w:val="nil"/>
          <w:right w:val="nil"/>
          <w:between w:val="nil"/>
          <w:bar w:val="nil"/>
        </w:pBdr>
        <w:spacing w:before="0" w:after="240"/>
        <w:rPr>
          <w:noProof/>
        </w:rPr>
      </w:pPr>
      <w:r w:rsidRPr="006C3201">
        <w:rPr>
          <w:noProof/>
        </w:rPr>
        <w:t>W niniejszym wniosku zaproponowano ukierunkowaną zmianę parametrów rezerwy stabilności rynkowej dla ETS2</w:t>
      </w:r>
      <w:r w:rsidR="00110A93" w:rsidRPr="006C3201">
        <w:rPr>
          <w:noProof/>
        </w:rPr>
        <w:t xml:space="preserve"> w</w:t>
      </w:r>
      <w:r w:rsidR="00110A93">
        <w:rPr>
          <w:noProof/>
        </w:rPr>
        <w:t> </w:t>
      </w:r>
      <w:r w:rsidR="00110A93" w:rsidRPr="006C3201">
        <w:rPr>
          <w:noProof/>
        </w:rPr>
        <w:t>cel</w:t>
      </w:r>
      <w:r w:rsidRPr="006C3201">
        <w:rPr>
          <w:noProof/>
        </w:rPr>
        <w:t>u poprawy jego funkcjonowania przed uruchomieniem rynku uprawnień do emisji</w:t>
      </w:r>
      <w:r w:rsidR="00110A93" w:rsidRPr="006C3201">
        <w:rPr>
          <w:noProof/>
        </w:rPr>
        <w:t xml:space="preserve"> w</w:t>
      </w:r>
      <w:r w:rsidR="00110A93">
        <w:rPr>
          <w:noProof/>
        </w:rPr>
        <w:t> </w:t>
      </w:r>
      <w:r w:rsidR="00110A93" w:rsidRPr="006C3201">
        <w:rPr>
          <w:noProof/>
        </w:rPr>
        <w:t>ram</w:t>
      </w:r>
      <w:r w:rsidRPr="006C3201">
        <w:rPr>
          <w:noProof/>
        </w:rPr>
        <w:t>ach ETS2. Opiera się on na konsultacjach</w:t>
      </w:r>
      <w:r w:rsidR="00110A93" w:rsidRPr="006C3201">
        <w:rPr>
          <w:noProof/>
        </w:rPr>
        <w:t xml:space="preserve"> z</w:t>
      </w:r>
      <w:r w:rsidR="00110A93">
        <w:rPr>
          <w:noProof/>
        </w:rPr>
        <w:t> </w:t>
      </w:r>
      <w:r w:rsidR="00110A93" w:rsidRPr="006C3201">
        <w:rPr>
          <w:noProof/>
        </w:rPr>
        <w:t>zai</w:t>
      </w:r>
      <w:r w:rsidRPr="006C3201">
        <w:rPr>
          <w:noProof/>
        </w:rPr>
        <w:t>nteresowanymi stronami przeprowadzonych</w:t>
      </w:r>
      <w:r w:rsidR="00110A93" w:rsidRPr="006C3201">
        <w:rPr>
          <w:noProof/>
        </w:rPr>
        <w:t xml:space="preserve"> w</w:t>
      </w:r>
      <w:r w:rsidR="00110A93">
        <w:rPr>
          <w:noProof/>
        </w:rPr>
        <w:t> </w:t>
      </w:r>
      <w:r w:rsidR="00110A93" w:rsidRPr="006C3201">
        <w:rPr>
          <w:noProof/>
        </w:rPr>
        <w:t>2</w:t>
      </w:r>
      <w:r w:rsidRPr="006C3201">
        <w:rPr>
          <w:noProof/>
        </w:rPr>
        <w:t>021 r.</w:t>
      </w:r>
      <w:r w:rsidR="00110A93" w:rsidRPr="006C3201">
        <w:rPr>
          <w:noProof/>
        </w:rPr>
        <w:t xml:space="preserve"> w</w:t>
      </w:r>
      <w:r w:rsidR="00110A93">
        <w:rPr>
          <w:noProof/>
        </w:rPr>
        <w:t> </w:t>
      </w:r>
      <w:r w:rsidR="00110A93" w:rsidRPr="006C3201">
        <w:rPr>
          <w:noProof/>
        </w:rPr>
        <w:t>ram</w:t>
      </w:r>
      <w:r w:rsidRPr="006C3201">
        <w:rPr>
          <w:noProof/>
        </w:rPr>
        <w:t>ach przeglądu EU ETS</w:t>
      </w:r>
      <w:r w:rsidR="00110A93" w:rsidRPr="006C3201">
        <w:rPr>
          <w:noProof/>
        </w:rPr>
        <w:t xml:space="preserve"> i</w:t>
      </w:r>
      <w:r w:rsidR="00110A93">
        <w:rPr>
          <w:noProof/>
        </w:rPr>
        <w:t> </w:t>
      </w:r>
      <w:r w:rsidR="00110A93" w:rsidRPr="006C3201">
        <w:rPr>
          <w:noProof/>
        </w:rPr>
        <w:t>rez</w:t>
      </w:r>
      <w:r w:rsidRPr="006C3201">
        <w:rPr>
          <w:noProof/>
        </w:rPr>
        <w:t>erwy stabilności rynkowej oraz na późniejszych informacjach zwrotnych od większości państw członkowskich,</w:t>
      </w:r>
      <w:r w:rsidR="00110A93" w:rsidRPr="006C3201">
        <w:rPr>
          <w:noProof/>
        </w:rPr>
        <w:t xml:space="preserve"> a</w:t>
      </w:r>
      <w:r w:rsidR="00110A93">
        <w:rPr>
          <w:noProof/>
        </w:rPr>
        <w:t> </w:t>
      </w:r>
      <w:r w:rsidR="00110A93" w:rsidRPr="006C3201">
        <w:rPr>
          <w:noProof/>
        </w:rPr>
        <w:t>tak</w:t>
      </w:r>
      <w:r w:rsidRPr="006C3201">
        <w:rPr>
          <w:noProof/>
        </w:rPr>
        <w:t>że na regularnych dyskusjach</w:t>
      </w:r>
      <w:r w:rsidR="00110A93" w:rsidRPr="006C3201">
        <w:rPr>
          <w:noProof/>
        </w:rPr>
        <w:t xml:space="preserve"> z</w:t>
      </w:r>
      <w:r w:rsidR="00110A93">
        <w:rPr>
          <w:noProof/>
        </w:rPr>
        <w:t> </w:t>
      </w:r>
      <w:r w:rsidR="00110A93" w:rsidRPr="006C3201">
        <w:rPr>
          <w:noProof/>
        </w:rPr>
        <w:t>wła</w:t>
      </w:r>
      <w:r w:rsidRPr="006C3201">
        <w:rPr>
          <w:noProof/>
        </w:rPr>
        <w:t>ściwymi organami krajowymi</w:t>
      </w:r>
      <w:r w:rsidR="00110A93" w:rsidRPr="006C3201">
        <w:rPr>
          <w:noProof/>
        </w:rPr>
        <w:t xml:space="preserve"> i</w:t>
      </w:r>
      <w:r w:rsidR="00110A93">
        <w:rPr>
          <w:noProof/>
        </w:rPr>
        <w:t> </w:t>
      </w:r>
      <w:r w:rsidR="00110A93" w:rsidRPr="006C3201">
        <w:rPr>
          <w:noProof/>
        </w:rPr>
        <w:t>zai</w:t>
      </w:r>
      <w:r w:rsidRPr="006C3201">
        <w:rPr>
          <w:noProof/>
        </w:rPr>
        <w:t>nteresowanymi stronami na temat różnych kwestii związanych</w:t>
      </w:r>
      <w:r w:rsidR="00110A93" w:rsidRPr="006C3201">
        <w:rPr>
          <w:noProof/>
        </w:rPr>
        <w:t xml:space="preserve"> z</w:t>
      </w:r>
      <w:r w:rsidR="00110A93">
        <w:rPr>
          <w:noProof/>
        </w:rPr>
        <w:t> </w:t>
      </w:r>
      <w:r w:rsidR="00110A93" w:rsidRPr="006C3201">
        <w:rPr>
          <w:noProof/>
        </w:rPr>
        <w:t>wdr</w:t>
      </w:r>
      <w:r w:rsidRPr="006C3201">
        <w:rPr>
          <w:noProof/>
        </w:rPr>
        <w:t>ażaniem ETS2</w:t>
      </w:r>
      <w:r w:rsidR="00110A93" w:rsidRPr="006C3201">
        <w:rPr>
          <w:noProof/>
        </w:rPr>
        <w:t xml:space="preserve"> w</w:t>
      </w:r>
      <w:r w:rsidR="00110A93">
        <w:rPr>
          <w:noProof/>
        </w:rPr>
        <w:t> </w:t>
      </w:r>
      <w:r w:rsidR="00110A93" w:rsidRPr="006C3201">
        <w:rPr>
          <w:noProof/>
        </w:rPr>
        <w:t>cel</w:t>
      </w:r>
      <w:r w:rsidRPr="006C3201">
        <w:rPr>
          <w:noProof/>
        </w:rPr>
        <w:t>u poprawy jego funkcjonowania</w:t>
      </w:r>
      <w:r w:rsidR="00110A93" w:rsidRPr="006C3201">
        <w:rPr>
          <w:noProof/>
        </w:rPr>
        <w:t xml:space="preserve"> i</w:t>
      </w:r>
      <w:r w:rsidR="00110A93">
        <w:rPr>
          <w:noProof/>
        </w:rPr>
        <w:t> </w:t>
      </w:r>
      <w:r w:rsidR="00110A93" w:rsidRPr="006C3201">
        <w:rPr>
          <w:noProof/>
        </w:rPr>
        <w:t>sku</w:t>
      </w:r>
      <w:r w:rsidRPr="006C3201">
        <w:rPr>
          <w:noProof/>
        </w:rPr>
        <w:t>teczności. Różne sposoby przedstawiania uzupełniających polityk</w:t>
      </w:r>
      <w:r w:rsidR="00110A93" w:rsidRPr="006C3201">
        <w:rPr>
          <w:noProof/>
        </w:rPr>
        <w:t xml:space="preserve"> i</w:t>
      </w:r>
      <w:r w:rsidR="00110A93">
        <w:rPr>
          <w:noProof/>
        </w:rPr>
        <w:t> </w:t>
      </w:r>
      <w:r w:rsidR="00110A93" w:rsidRPr="006C3201">
        <w:rPr>
          <w:noProof/>
        </w:rPr>
        <w:t>śro</w:t>
      </w:r>
      <w:r w:rsidRPr="006C3201">
        <w:rPr>
          <w:noProof/>
        </w:rPr>
        <w:t>dków</w:t>
      </w:r>
      <w:r w:rsidR="00110A93" w:rsidRPr="006C3201">
        <w:rPr>
          <w:noProof/>
        </w:rPr>
        <w:t xml:space="preserve"> w</w:t>
      </w:r>
      <w:r w:rsidR="00110A93">
        <w:rPr>
          <w:noProof/>
        </w:rPr>
        <w:t> </w:t>
      </w:r>
      <w:r w:rsidR="00110A93" w:rsidRPr="006C3201">
        <w:rPr>
          <w:noProof/>
        </w:rPr>
        <w:t>zew</w:t>
      </w:r>
      <w:r w:rsidRPr="006C3201">
        <w:rPr>
          <w:noProof/>
        </w:rPr>
        <w:t>nętrznych krótko-</w:t>
      </w:r>
      <w:r w:rsidR="00110A93" w:rsidRPr="006C3201">
        <w:rPr>
          <w:noProof/>
        </w:rPr>
        <w:t xml:space="preserve"> i</w:t>
      </w:r>
      <w:r w:rsidR="00110A93">
        <w:rPr>
          <w:noProof/>
        </w:rPr>
        <w:t> </w:t>
      </w:r>
      <w:r w:rsidR="00110A93" w:rsidRPr="006C3201">
        <w:rPr>
          <w:noProof/>
        </w:rPr>
        <w:t>dłu</w:t>
      </w:r>
      <w:r w:rsidRPr="006C3201">
        <w:rPr>
          <w:noProof/>
        </w:rPr>
        <w:t>goterminowych prognozach cenowych dla ETS2 skutkują szerokim zakresem oczekiwań</w:t>
      </w:r>
      <w:r w:rsidR="00110A93" w:rsidRPr="006C3201">
        <w:rPr>
          <w:noProof/>
        </w:rPr>
        <w:t xml:space="preserve"> w</w:t>
      </w:r>
      <w:r w:rsidR="00110A93">
        <w:rPr>
          <w:noProof/>
        </w:rPr>
        <w:t> </w:t>
      </w:r>
      <w:r w:rsidR="00110A93" w:rsidRPr="006C3201">
        <w:rPr>
          <w:noProof/>
        </w:rPr>
        <w:t>odn</w:t>
      </w:r>
      <w:r w:rsidRPr="006C3201">
        <w:rPr>
          <w:noProof/>
        </w:rPr>
        <w:t>iesieniu do przyszłych cen uprawnień</w:t>
      </w:r>
      <w:r w:rsidR="00110A93" w:rsidRPr="006C3201">
        <w:rPr>
          <w:noProof/>
        </w:rPr>
        <w:t xml:space="preserve"> w</w:t>
      </w:r>
      <w:r w:rsidR="00110A93">
        <w:rPr>
          <w:noProof/>
        </w:rPr>
        <w:t> </w:t>
      </w:r>
      <w:r w:rsidR="00110A93" w:rsidRPr="006C3201">
        <w:rPr>
          <w:noProof/>
        </w:rPr>
        <w:t>ram</w:t>
      </w:r>
      <w:r w:rsidRPr="006C3201">
        <w:rPr>
          <w:noProof/>
        </w:rPr>
        <w:t>ach ETS2. Większość państw członkowskich wyraziła obawy związane</w:t>
      </w:r>
      <w:r w:rsidR="00110A93" w:rsidRPr="006C3201">
        <w:rPr>
          <w:noProof/>
        </w:rPr>
        <w:t xml:space="preserve"> z</w:t>
      </w:r>
      <w:r w:rsidR="00110A93">
        <w:rPr>
          <w:noProof/>
        </w:rPr>
        <w:t> </w:t>
      </w:r>
      <w:r w:rsidR="00110A93" w:rsidRPr="006C3201">
        <w:rPr>
          <w:noProof/>
        </w:rPr>
        <w:t>nie</w:t>
      </w:r>
      <w:r w:rsidRPr="006C3201">
        <w:rPr>
          <w:noProof/>
        </w:rPr>
        <w:t>pewnością dotyczącą początkowych poziomów cen uprawnień</w:t>
      </w:r>
      <w:r w:rsidR="00110A93" w:rsidRPr="006C3201">
        <w:rPr>
          <w:noProof/>
        </w:rPr>
        <w:t xml:space="preserve"> w</w:t>
      </w:r>
      <w:r w:rsidR="00110A93">
        <w:rPr>
          <w:noProof/>
        </w:rPr>
        <w:t> </w:t>
      </w:r>
      <w:r w:rsidR="00110A93" w:rsidRPr="006C3201">
        <w:rPr>
          <w:noProof/>
        </w:rPr>
        <w:t>ram</w:t>
      </w:r>
      <w:r w:rsidRPr="006C3201">
        <w:rPr>
          <w:noProof/>
        </w:rPr>
        <w:t>ach ETS2, co komplikuje przygotowanie uzupełniających polityk</w:t>
      </w:r>
      <w:r w:rsidR="00110A93" w:rsidRPr="006C3201">
        <w:rPr>
          <w:noProof/>
        </w:rPr>
        <w:t xml:space="preserve"> i</w:t>
      </w:r>
      <w:r w:rsidR="00110A93">
        <w:rPr>
          <w:noProof/>
        </w:rPr>
        <w:t> </w:t>
      </w:r>
      <w:r w:rsidR="00110A93" w:rsidRPr="006C3201">
        <w:rPr>
          <w:noProof/>
        </w:rPr>
        <w:t>śro</w:t>
      </w:r>
      <w:r w:rsidRPr="006C3201">
        <w:rPr>
          <w:noProof/>
        </w:rPr>
        <w:t>dków wsparcia niezbędnych do dekarbonizacji tych sektorów.</w:t>
      </w:r>
    </w:p>
    <w:p w14:paraId="78E96077" w14:textId="77777777" w:rsidR="00D71478" w:rsidRPr="006C3201" w:rsidRDefault="00D71478">
      <w:pPr>
        <w:pBdr>
          <w:top w:val="nil"/>
          <w:left w:val="nil"/>
          <w:bottom w:val="nil"/>
          <w:right w:val="nil"/>
          <w:between w:val="nil"/>
          <w:bar w:val="nil"/>
        </w:pBdr>
        <w:spacing w:before="0" w:after="240"/>
        <w:rPr>
          <w:noProof/>
        </w:rPr>
      </w:pPr>
      <w:r w:rsidRPr="006C3201">
        <w:rPr>
          <w:noProof/>
        </w:rPr>
        <w:t>Aby zapewnić integralność operacyjną</w:t>
      </w:r>
      <w:r w:rsidR="00110A93" w:rsidRPr="006C3201">
        <w:rPr>
          <w:noProof/>
        </w:rPr>
        <w:t xml:space="preserve"> i</w:t>
      </w:r>
      <w:r w:rsidR="00110A93">
        <w:rPr>
          <w:noProof/>
        </w:rPr>
        <w:t> </w:t>
      </w:r>
      <w:r w:rsidR="00110A93" w:rsidRPr="006C3201">
        <w:rPr>
          <w:noProof/>
        </w:rPr>
        <w:t>prz</w:t>
      </w:r>
      <w:r w:rsidRPr="006C3201">
        <w:rPr>
          <w:noProof/>
        </w:rPr>
        <w:t>ewidywalność systemu ETS2, ukierunkowane zmiany</w:t>
      </w:r>
      <w:r w:rsidR="00110A93" w:rsidRPr="006C3201">
        <w:rPr>
          <w:noProof/>
        </w:rPr>
        <w:t xml:space="preserve"> w</w:t>
      </w:r>
      <w:r w:rsidR="00110A93">
        <w:rPr>
          <w:noProof/>
        </w:rPr>
        <w:t> </w:t>
      </w:r>
      <w:r w:rsidR="00110A93" w:rsidRPr="006C3201">
        <w:rPr>
          <w:noProof/>
        </w:rPr>
        <w:t>rez</w:t>
      </w:r>
      <w:r w:rsidRPr="006C3201">
        <w:rPr>
          <w:noProof/>
        </w:rPr>
        <w:t>erwie stabilności rynkowej powinny szybko wejść</w:t>
      </w:r>
      <w:r w:rsidR="00110A93" w:rsidRPr="006C3201">
        <w:rPr>
          <w:noProof/>
        </w:rPr>
        <w:t xml:space="preserve"> w</w:t>
      </w:r>
      <w:r w:rsidR="00110A93">
        <w:rPr>
          <w:noProof/>
        </w:rPr>
        <w:t> </w:t>
      </w:r>
      <w:r w:rsidR="00110A93" w:rsidRPr="006C3201">
        <w:rPr>
          <w:noProof/>
        </w:rPr>
        <w:t>życ</w:t>
      </w:r>
      <w:r w:rsidRPr="006C3201">
        <w:rPr>
          <w:noProof/>
        </w:rPr>
        <w:t>ie. Wniosek podlega dalszym wymogom czasowym, ponieważ jest on powiązany ze zmianą rozporządzenia delegowanego Komisji (UE) 2023/2830</w:t>
      </w:r>
      <w:r w:rsidR="00110A93" w:rsidRPr="006C3201">
        <w:rPr>
          <w:noProof/>
        </w:rPr>
        <w:t xml:space="preserve"> z</w:t>
      </w:r>
      <w:r w:rsidR="00110A93">
        <w:rPr>
          <w:noProof/>
        </w:rPr>
        <w:t> </w:t>
      </w:r>
      <w:r w:rsidR="00110A93" w:rsidRPr="006C3201">
        <w:rPr>
          <w:noProof/>
        </w:rPr>
        <w:t>dni</w:t>
      </w:r>
      <w:r w:rsidRPr="006C3201">
        <w:rPr>
          <w:noProof/>
        </w:rPr>
        <w:t>a 17 października 2023 r.</w:t>
      </w:r>
      <w:r w:rsidR="00110A93" w:rsidRPr="006C3201">
        <w:rPr>
          <w:noProof/>
        </w:rPr>
        <w:t xml:space="preserve"> w</w:t>
      </w:r>
      <w:r w:rsidR="00110A93">
        <w:rPr>
          <w:noProof/>
        </w:rPr>
        <w:t> </w:t>
      </w:r>
      <w:r w:rsidR="00110A93" w:rsidRPr="006C3201">
        <w:rPr>
          <w:noProof/>
        </w:rPr>
        <w:t>spr</w:t>
      </w:r>
      <w:r w:rsidRPr="006C3201">
        <w:rPr>
          <w:noProof/>
        </w:rPr>
        <w:t>awie harmonogramu, kwestii administracyjnych oraz pozostałych aspektów sprzedaży uprawnień na aukcji. Oznacza to przesunięcie sprzedaży uprawnień na aukcji na drugą połowę 2026 r., co wskazuje, że niniejszy wniosek powinien wejść</w:t>
      </w:r>
      <w:r w:rsidR="00110A93" w:rsidRPr="006C3201">
        <w:rPr>
          <w:noProof/>
        </w:rPr>
        <w:t xml:space="preserve"> w</w:t>
      </w:r>
      <w:r w:rsidR="00110A93">
        <w:rPr>
          <w:noProof/>
        </w:rPr>
        <w:t> </w:t>
      </w:r>
      <w:r w:rsidR="00110A93" w:rsidRPr="006C3201">
        <w:rPr>
          <w:noProof/>
        </w:rPr>
        <w:t>życ</w:t>
      </w:r>
      <w:r w:rsidRPr="006C3201">
        <w:rPr>
          <w:noProof/>
        </w:rPr>
        <w:t>ie przed uruchomieniem rynku uprawnień do emisji</w:t>
      </w:r>
      <w:r w:rsidR="00110A93" w:rsidRPr="006C3201">
        <w:rPr>
          <w:noProof/>
        </w:rPr>
        <w:t xml:space="preserve"> w</w:t>
      </w:r>
      <w:r w:rsidR="00110A93">
        <w:rPr>
          <w:noProof/>
        </w:rPr>
        <w:t> </w:t>
      </w:r>
      <w:r w:rsidR="00110A93" w:rsidRPr="006C3201">
        <w:rPr>
          <w:noProof/>
        </w:rPr>
        <w:t>ram</w:t>
      </w:r>
      <w:r w:rsidRPr="006C3201">
        <w:rPr>
          <w:noProof/>
        </w:rPr>
        <w:t>ach ETS2.</w:t>
      </w:r>
    </w:p>
    <w:p w14:paraId="2C269B36" w14:textId="77777777" w:rsidR="00604861" w:rsidRPr="006C3201" w:rsidRDefault="00604861">
      <w:pPr>
        <w:pStyle w:val="ManualHeading2"/>
        <w:rPr>
          <w:rFonts w:eastAsia="Arial Unicode MS"/>
          <w:noProof/>
          <w:u w:color="000000"/>
          <w:bdr w:val="nil"/>
        </w:rPr>
      </w:pPr>
      <w:bookmarkStart w:id="13" w:name="_Toc214887200"/>
      <w:r w:rsidRPr="006C3201">
        <w:rPr>
          <w:noProof/>
          <w:u w:color="000000"/>
          <w:bdr w:val="nil"/>
        </w:rPr>
        <w:t>•</w:t>
      </w:r>
      <w:r w:rsidRPr="006C3201">
        <w:rPr>
          <w:noProof/>
        </w:rPr>
        <w:tab/>
      </w:r>
      <w:r w:rsidRPr="006C3201">
        <w:rPr>
          <w:noProof/>
          <w:u w:color="000000"/>
          <w:bdr w:val="nil"/>
        </w:rPr>
        <w:t>Gromadzenie</w:t>
      </w:r>
      <w:r w:rsidR="00110A93" w:rsidRPr="006C3201">
        <w:rPr>
          <w:noProof/>
          <w:u w:color="000000"/>
          <w:bdr w:val="nil"/>
        </w:rPr>
        <w:t xml:space="preserve"> i</w:t>
      </w:r>
      <w:r w:rsidR="00110A93">
        <w:rPr>
          <w:noProof/>
          <w:u w:color="000000"/>
          <w:bdr w:val="nil"/>
        </w:rPr>
        <w:t> </w:t>
      </w:r>
      <w:r w:rsidR="00110A93" w:rsidRPr="006C3201">
        <w:rPr>
          <w:noProof/>
          <w:u w:color="000000"/>
          <w:bdr w:val="nil"/>
        </w:rPr>
        <w:t>wyk</w:t>
      </w:r>
      <w:r w:rsidRPr="006C3201">
        <w:rPr>
          <w:noProof/>
          <w:u w:color="000000"/>
          <w:bdr w:val="nil"/>
        </w:rPr>
        <w:t>orzystanie wiedzy eksperckiej</w:t>
      </w:r>
      <w:bookmarkEnd w:id="13"/>
    </w:p>
    <w:p w14:paraId="601D2255" w14:textId="77777777" w:rsidR="00604861" w:rsidRPr="006C3201" w:rsidRDefault="00BB0BE9">
      <w:pPr>
        <w:pBdr>
          <w:top w:val="nil"/>
          <w:left w:val="nil"/>
          <w:bottom w:val="nil"/>
          <w:right w:val="nil"/>
          <w:between w:val="nil"/>
          <w:bar w:val="nil"/>
        </w:pBdr>
        <w:spacing w:before="0" w:after="240"/>
        <w:rPr>
          <w:rFonts w:eastAsia="Arial Unicode MS"/>
          <w:noProof/>
        </w:rPr>
      </w:pPr>
      <w:r w:rsidRPr="006C3201">
        <w:rPr>
          <w:noProof/>
        </w:rPr>
        <w:t>Uwzględniając te okoliczności</w:t>
      </w:r>
      <w:r w:rsidR="00110A93" w:rsidRPr="006C3201">
        <w:rPr>
          <w:noProof/>
        </w:rPr>
        <w:t xml:space="preserve"> i</w:t>
      </w:r>
      <w:r w:rsidR="00110A93">
        <w:rPr>
          <w:noProof/>
        </w:rPr>
        <w:t> </w:t>
      </w:r>
      <w:r w:rsidR="00110A93" w:rsidRPr="006C3201">
        <w:rPr>
          <w:noProof/>
        </w:rPr>
        <w:t>har</w:t>
      </w:r>
      <w:r w:rsidRPr="006C3201">
        <w:rPr>
          <w:noProof/>
        </w:rPr>
        <w:t>monogram, Komisja zgromadziła informacje zwrotne od państw członkowskich</w:t>
      </w:r>
      <w:r w:rsidR="00110A93" w:rsidRPr="006C3201">
        <w:rPr>
          <w:noProof/>
        </w:rPr>
        <w:t xml:space="preserve"> i</w:t>
      </w:r>
      <w:r w:rsidR="00110A93">
        <w:rPr>
          <w:noProof/>
        </w:rPr>
        <w:t> </w:t>
      </w:r>
      <w:r w:rsidR="00110A93" w:rsidRPr="006C3201">
        <w:rPr>
          <w:noProof/>
        </w:rPr>
        <w:t>zai</w:t>
      </w:r>
      <w:r w:rsidRPr="006C3201">
        <w:rPr>
          <w:noProof/>
        </w:rPr>
        <w:t>nteresowanych stron</w:t>
      </w:r>
      <w:r w:rsidR="00110A93" w:rsidRPr="006C3201">
        <w:rPr>
          <w:noProof/>
        </w:rPr>
        <w:t xml:space="preserve"> w</w:t>
      </w:r>
      <w:r w:rsidR="00110A93">
        <w:rPr>
          <w:noProof/>
        </w:rPr>
        <w:t> </w:t>
      </w:r>
      <w:r w:rsidR="00110A93" w:rsidRPr="006C3201">
        <w:rPr>
          <w:noProof/>
        </w:rPr>
        <w:t>cel</w:t>
      </w:r>
      <w:r w:rsidRPr="006C3201">
        <w:rPr>
          <w:noProof/>
        </w:rPr>
        <w:t>u przyjęcia najlepszych środków służących osiągnięciu celów wniosku</w:t>
      </w:r>
      <w:r w:rsidR="00110A93" w:rsidRPr="006C3201">
        <w:rPr>
          <w:noProof/>
        </w:rPr>
        <w:t xml:space="preserve"> w</w:t>
      </w:r>
      <w:r w:rsidR="00110A93">
        <w:rPr>
          <w:noProof/>
        </w:rPr>
        <w:t> </w:t>
      </w:r>
      <w:r w:rsidR="00110A93" w:rsidRPr="006C3201">
        <w:rPr>
          <w:noProof/>
        </w:rPr>
        <w:t>zak</w:t>
      </w:r>
      <w:r w:rsidRPr="006C3201">
        <w:rPr>
          <w:noProof/>
        </w:rPr>
        <w:t>resie poprawy płynności rynku, stabilności</w:t>
      </w:r>
      <w:r w:rsidR="00110A93" w:rsidRPr="006C3201">
        <w:rPr>
          <w:noProof/>
        </w:rPr>
        <w:t xml:space="preserve"> i</w:t>
      </w:r>
      <w:r w:rsidR="00110A93">
        <w:rPr>
          <w:noProof/>
        </w:rPr>
        <w:t> </w:t>
      </w:r>
      <w:r w:rsidR="00110A93" w:rsidRPr="006C3201">
        <w:rPr>
          <w:noProof/>
        </w:rPr>
        <w:t>prz</w:t>
      </w:r>
      <w:r w:rsidRPr="006C3201">
        <w:rPr>
          <w:noProof/>
        </w:rPr>
        <w:t>ewidywalności rynku uprawnień do emisji</w:t>
      </w:r>
      <w:r w:rsidR="00110A93" w:rsidRPr="006C3201">
        <w:rPr>
          <w:noProof/>
        </w:rPr>
        <w:t xml:space="preserve"> w</w:t>
      </w:r>
      <w:r w:rsidR="00110A93">
        <w:rPr>
          <w:noProof/>
        </w:rPr>
        <w:t> </w:t>
      </w:r>
      <w:r w:rsidR="00110A93" w:rsidRPr="006C3201">
        <w:rPr>
          <w:noProof/>
        </w:rPr>
        <w:t>ram</w:t>
      </w:r>
      <w:r w:rsidRPr="006C3201">
        <w:rPr>
          <w:noProof/>
        </w:rPr>
        <w:t>ach ETS2.</w:t>
      </w:r>
    </w:p>
    <w:p w14:paraId="58BB0E2A" w14:textId="77777777" w:rsidR="00604861" w:rsidRPr="006C3201" w:rsidRDefault="00604861">
      <w:pPr>
        <w:pStyle w:val="ManualHeading2"/>
        <w:rPr>
          <w:rFonts w:eastAsia="Arial Unicode MS"/>
          <w:noProof/>
          <w:u w:color="000000"/>
          <w:bdr w:val="nil"/>
        </w:rPr>
      </w:pPr>
      <w:bookmarkStart w:id="14" w:name="_Toc214887201"/>
      <w:r w:rsidRPr="006C3201">
        <w:rPr>
          <w:noProof/>
          <w:u w:color="000000"/>
          <w:bdr w:val="nil"/>
        </w:rPr>
        <w:t>•</w:t>
      </w:r>
      <w:r w:rsidRPr="006C3201">
        <w:rPr>
          <w:noProof/>
        </w:rPr>
        <w:tab/>
      </w:r>
      <w:r w:rsidRPr="006C3201">
        <w:rPr>
          <w:noProof/>
          <w:u w:color="000000"/>
          <w:bdr w:val="nil"/>
        </w:rPr>
        <w:t>Ocena skutków</w:t>
      </w:r>
      <w:bookmarkEnd w:id="14"/>
    </w:p>
    <w:p w14:paraId="1B1B41B1" w14:textId="77777777" w:rsidR="00341C54" w:rsidRPr="006C3201" w:rsidRDefault="009353B1">
      <w:pPr>
        <w:pBdr>
          <w:top w:val="nil"/>
          <w:left w:val="nil"/>
          <w:bottom w:val="nil"/>
          <w:right w:val="nil"/>
          <w:between w:val="nil"/>
          <w:bar w:val="nil"/>
        </w:pBdr>
        <w:spacing w:before="0" w:after="240"/>
        <w:rPr>
          <w:noProof/>
        </w:rPr>
      </w:pPr>
      <w:r w:rsidRPr="006C3201">
        <w:rPr>
          <w:noProof/>
        </w:rPr>
        <w:t>Chociaż</w:t>
      </w:r>
      <w:r w:rsidR="00110A93" w:rsidRPr="006C3201">
        <w:rPr>
          <w:noProof/>
        </w:rPr>
        <w:t xml:space="preserve"> w</w:t>
      </w:r>
      <w:r w:rsidR="00110A93">
        <w:rPr>
          <w:noProof/>
        </w:rPr>
        <w:t> </w:t>
      </w:r>
      <w:r w:rsidR="00110A93" w:rsidRPr="006C3201">
        <w:rPr>
          <w:noProof/>
        </w:rPr>
        <w:t>odn</w:t>
      </w:r>
      <w:r w:rsidRPr="006C3201">
        <w:rPr>
          <w:noProof/>
        </w:rPr>
        <w:t xml:space="preserve">iesieniu do niniejszego wniosku nie przeprowadzono odrębnej oceny skutków, kilka elementów </w:t>
      </w:r>
      <w:bookmarkStart w:id="15" w:name="_Hlk212713193"/>
      <w:r w:rsidRPr="006C3201">
        <w:rPr>
          <w:noProof/>
        </w:rPr>
        <w:t>oceny skutków towarzyszącej dyrektywie (UE) 2023/959,</w:t>
      </w:r>
      <w:bookmarkEnd w:id="15"/>
      <w:r w:rsidR="00110A93" w:rsidRPr="006C3201">
        <w:rPr>
          <w:noProof/>
        </w:rPr>
        <w:t xml:space="preserve"> w</w:t>
      </w:r>
      <w:r w:rsidR="00110A93">
        <w:rPr>
          <w:noProof/>
        </w:rPr>
        <w:t> </w:t>
      </w:r>
      <w:r w:rsidR="00110A93" w:rsidRPr="006C3201">
        <w:rPr>
          <w:noProof/>
        </w:rPr>
        <w:t>któ</w:t>
      </w:r>
      <w:r w:rsidRPr="006C3201">
        <w:rPr>
          <w:noProof/>
        </w:rPr>
        <w:t>rej ustanowiono rezerwę stabilności rynkowej dla ETS2, przyczynia się do oceny ukierunkowanych zmian parametrów rezerwy stabilności rynkowej</w:t>
      </w:r>
      <w:r w:rsidR="00110A93" w:rsidRPr="006C3201">
        <w:rPr>
          <w:noProof/>
        </w:rPr>
        <w:t xml:space="preserve"> w</w:t>
      </w:r>
      <w:r w:rsidR="00110A93">
        <w:rPr>
          <w:noProof/>
        </w:rPr>
        <w:t> </w:t>
      </w:r>
      <w:r w:rsidR="00110A93" w:rsidRPr="006C3201">
        <w:rPr>
          <w:noProof/>
        </w:rPr>
        <w:t>nin</w:t>
      </w:r>
      <w:r w:rsidRPr="006C3201">
        <w:rPr>
          <w:noProof/>
        </w:rPr>
        <w:t>iejszym wniosku.</w:t>
      </w:r>
    </w:p>
    <w:p w14:paraId="7FB3F45F" w14:textId="77777777" w:rsidR="008715B8" w:rsidRPr="006C3201" w:rsidRDefault="008715B8">
      <w:pPr>
        <w:pBdr>
          <w:top w:val="nil"/>
          <w:left w:val="nil"/>
          <w:bottom w:val="nil"/>
          <w:right w:val="nil"/>
          <w:between w:val="nil"/>
          <w:bar w:val="nil"/>
        </w:pBdr>
        <w:spacing w:before="0" w:after="240"/>
        <w:rPr>
          <w:noProof/>
        </w:rPr>
      </w:pPr>
      <w:r w:rsidRPr="006C3201">
        <w:rPr>
          <w:noProof/>
        </w:rPr>
        <w:t>Zgodnie</w:t>
      </w:r>
      <w:r w:rsidR="00110A93" w:rsidRPr="006C3201">
        <w:rPr>
          <w:noProof/>
        </w:rPr>
        <w:t xml:space="preserve"> z</w:t>
      </w:r>
      <w:r w:rsidR="00110A93">
        <w:rPr>
          <w:noProof/>
        </w:rPr>
        <w:t> </w:t>
      </w:r>
      <w:r w:rsidR="00110A93" w:rsidRPr="006C3201">
        <w:rPr>
          <w:noProof/>
        </w:rPr>
        <w:t>dec</w:t>
      </w:r>
      <w:r w:rsidRPr="006C3201">
        <w:rPr>
          <w:noProof/>
        </w:rPr>
        <w:t>yzją (UE) 2015/1814 Komisja jest zobowiązana do stałego monitorowania funkcjonowania rezerwy oraz,</w:t>
      </w:r>
      <w:r w:rsidR="00110A93" w:rsidRPr="006C3201">
        <w:rPr>
          <w:noProof/>
        </w:rPr>
        <w:t xml:space="preserve"> w</w:t>
      </w:r>
      <w:r w:rsidR="00110A93">
        <w:rPr>
          <w:noProof/>
        </w:rPr>
        <w:t> </w:t>
      </w:r>
      <w:r w:rsidR="00110A93" w:rsidRPr="006C3201">
        <w:rPr>
          <w:noProof/>
        </w:rPr>
        <w:t>raz</w:t>
      </w:r>
      <w:r w:rsidRPr="006C3201">
        <w:rPr>
          <w:noProof/>
        </w:rPr>
        <w:t>ie potrzeby, proponowania przeglądu</w:t>
      </w:r>
      <w:r w:rsidR="00110A93" w:rsidRPr="006C3201">
        <w:rPr>
          <w:noProof/>
        </w:rPr>
        <w:t xml:space="preserve"> w</w:t>
      </w:r>
      <w:r w:rsidR="00110A93">
        <w:rPr>
          <w:noProof/>
        </w:rPr>
        <w:t> </w:t>
      </w:r>
      <w:r w:rsidR="00110A93" w:rsidRPr="006C3201">
        <w:rPr>
          <w:noProof/>
        </w:rPr>
        <w:t>cel</w:t>
      </w:r>
      <w:r w:rsidRPr="006C3201">
        <w:rPr>
          <w:noProof/>
        </w:rPr>
        <w:t>u poprawy skuteczności, zarządzania</w:t>
      </w:r>
      <w:r w:rsidR="00110A93" w:rsidRPr="006C3201">
        <w:rPr>
          <w:noProof/>
        </w:rPr>
        <w:t xml:space="preserve"> i</w:t>
      </w:r>
      <w:r w:rsidR="00110A93">
        <w:rPr>
          <w:noProof/>
        </w:rPr>
        <w:t> </w:t>
      </w:r>
      <w:r w:rsidR="00110A93" w:rsidRPr="006C3201">
        <w:rPr>
          <w:noProof/>
        </w:rPr>
        <w:t>pra</w:t>
      </w:r>
      <w:r w:rsidRPr="006C3201">
        <w:rPr>
          <w:noProof/>
        </w:rPr>
        <w:t xml:space="preserve">ktycznego stosowania na podstawie wyników tego monitorowania. </w:t>
      </w:r>
    </w:p>
    <w:p w14:paraId="35B2CEE2" w14:textId="77777777" w:rsidR="003D3D49" w:rsidRPr="006C3201" w:rsidRDefault="008715B8">
      <w:pPr>
        <w:pBdr>
          <w:top w:val="nil"/>
          <w:left w:val="nil"/>
          <w:bottom w:val="nil"/>
          <w:right w:val="nil"/>
          <w:between w:val="nil"/>
          <w:bar w:val="nil"/>
        </w:pBdr>
        <w:spacing w:before="0" w:after="240"/>
        <w:rPr>
          <w:noProof/>
        </w:rPr>
      </w:pPr>
      <w:r w:rsidRPr="006C3201">
        <w:rPr>
          <w:noProof/>
        </w:rPr>
        <w:t>W ocenie skutków towarzyszącej wnioskowi Komisji</w:t>
      </w:r>
      <w:r w:rsidR="00110A93" w:rsidRPr="006C3201">
        <w:rPr>
          <w:noProof/>
        </w:rPr>
        <w:t xml:space="preserve"> z</w:t>
      </w:r>
      <w:r w:rsidR="00110A93">
        <w:rPr>
          <w:noProof/>
        </w:rPr>
        <w:t> </w:t>
      </w:r>
      <w:r w:rsidR="00110A93" w:rsidRPr="006C3201">
        <w:rPr>
          <w:noProof/>
        </w:rPr>
        <w:t>2</w:t>
      </w:r>
      <w:r w:rsidRPr="006C3201">
        <w:rPr>
          <w:noProof/>
        </w:rPr>
        <w:t>021 r. zwrócono już uwagę na złożoność ustalania początkowych parametrów rezerwy stabilności rynkowej dla ETS2</w:t>
      </w:r>
      <w:r w:rsidR="00110A93" w:rsidRPr="006C3201">
        <w:rPr>
          <w:noProof/>
        </w:rPr>
        <w:t xml:space="preserve"> i</w:t>
      </w:r>
      <w:r w:rsidR="00110A93">
        <w:rPr>
          <w:noProof/>
        </w:rPr>
        <w:t> </w:t>
      </w:r>
      <w:r w:rsidR="00110A93" w:rsidRPr="006C3201">
        <w:rPr>
          <w:noProof/>
        </w:rPr>
        <w:t>uzn</w:t>
      </w:r>
      <w:r w:rsidRPr="006C3201">
        <w:rPr>
          <w:noProof/>
        </w:rPr>
        <w:t>ano, że parametry te należy</w:t>
      </w:r>
      <w:r w:rsidR="00110A93" w:rsidRPr="006C3201">
        <w:rPr>
          <w:noProof/>
        </w:rPr>
        <w:t xml:space="preserve"> w</w:t>
      </w:r>
      <w:r w:rsidR="00110A93">
        <w:rPr>
          <w:noProof/>
        </w:rPr>
        <w:t> </w:t>
      </w:r>
      <w:r w:rsidR="00110A93" w:rsidRPr="006C3201">
        <w:rPr>
          <w:noProof/>
        </w:rPr>
        <w:t>zwi</w:t>
      </w:r>
      <w:r w:rsidRPr="006C3201">
        <w:rPr>
          <w:noProof/>
        </w:rPr>
        <w:t>ązku</w:t>
      </w:r>
      <w:r w:rsidR="00110A93" w:rsidRPr="006C3201">
        <w:rPr>
          <w:noProof/>
        </w:rPr>
        <w:t xml:space="preserve"> z</w:t>
      </w:r>
      <w:r w:rsidR="00110A93">
        <w:rPr>
          <w:noProof/>
        </w:rPr>
        <w:t> </w:t>
      </w:r>
      <w:r w:rsidR="00110A93" w:rsidRPr="006C3201">
        <w:rPr>
          <w:noProof/>
        </w:rPr>
        <w:t>tym</w:t>
      </w:r>
      <w:r w:rsidRPr="006C3201">
        <w:rPr>
          <w:noProof/>
        </w:rPr>
        <w:t xml:space="preserve"> poprawić na późniejszym etapie. Dodatkowa złożoność wiąże się</w:t>
      </w:r>
      <w:r w:rsidR="00110A93" w:rsidRPr="006C3201">
        <w:rPr>
          <w:noProof/>
        </w:rPr>
        <w:t xml:space="preserve"> z</w:t>
      </w:r>
      <w:r w:rsidR="00110A93">
        <w:rPr>
          <w:noProof/>
        </w:rPr>
        <w:t> </w:t>
      </w:r>
      <w:r w:rsidR="00110A93" w:rsidRPr="006C3201">
        <w:rPr>
          <w:noProof/>
        </w:rPr>
        <w:t>sze</w:t>
      </w:r>
      <w:r w:rsidRPr="006C3201">
        <w:rPr>
          <w:noProof/>
        </w:rPr>
        <w:t>rokim zakresem oczekiwań zainteresowanych stron dotyczących cen</w:t>
      </w:r>
      <w:r w:rsidR="00110A93" w:rsidRPr="006C3201">
        <w:rPr>
          <w:noProof/>
        </w:rPr>
        <w:t xml:space="preserve"> w</w:t>
      </w:r>
      <w:r w:rsidR="00110A93">
        <w:rPr>
          <w:noProof/>
        </w:rPr>
        <w:t> </w:t>
      </w:r>
      <w:r w:rsidR="00110A93" w:rsidRPr="006C3201">
        <w:rPr>
          <w:noProof/>
        </w:rPr>
        <w:t>ram</w:t>
      </w:r>
      <w:r w:rsidRPr="006C3201">
        <w:rPr>
          <w:noProof/>
        </w:rPr>
        <w:t>ach ETS2</w:t>
      </w:r>
      <w:r w:rsidR="00110A93" w:rsidRPr="006C3201">
        <w:rPr>
          <w:noProof/>
        </w:rPr>
        <w:t xml:space="preserve"> w</w:t>
      </w:r>
      <w:r w:rsidR="00110A93">
        <w:rPr>
          <w:noProof/>
        </w:rPr>
        <w:t> </w:t>
      </w:r>
      <w:r w:rsidR="00110A93" w:rsidRPr="006C3201">
        <w:rPr>
          <w:noProof/>
        </w:rPr>
        <w:t>odn</w:t>
      </w:r>
      <w:r w:rsidRPr="006C3201">
        <w:rPr>
          <w:noProof/>
        </w:rPr>
        <w:t>iesieniu do różnych sposobów przedstawiania uzupełniających polityk</w:t>
      </w:r>
      <w:r w:rsidR="00110A93" w:rsidRPr="006C3201">
        <w:rPr>
          <w:noProof/>
        </w:rPr>
        <w:t xml:space="preserve"> i</w:t>
      </w:r>
      <w:r w:rsidR="00110A93">
        <w:rPr>
          <w:noProof/>
        </w:rPr>
        <w:t> </w:t>
      </w:r>
      <w:r w:rsidR="00110A93" w:rsidRPr="006C3201">
        <w:rPr>
          <w:noProof/>
        </w:rPr>
        <w:t>śro</w:t>
      </w:r>
      <w:r w:rsidRPr="006C3201">
        <w:rPr>
          <w:noProof/>
        </w:rPr>
        <w:t>dków.</w:t>
      </w:r>
    </w:p>
    <w:p w14:paraId="27B77D02" w14:textId="77777777" w:rsidR="00604861" w:rsidRPr="006C3201" w:rsidRDefault="00A71E9A">
      <w:pPr>
        <w:pBdr>
          <w:top w:val="nil"/>
          <w:left w:val="nil"/>
          <w:bottom w:val="nil"/>
          <w:right w:val="nil"/>
          <w:between w:val="nil"/>
          <w:bar w:val="nil"/>
        </w:pBdr>
        <w:spacing w:before="0" w:after="240"/>
        <w:rPr>
          <w:noProof/>
        </w:rPr>
      </w:pPr>
      <w:r w:rsidRPr="006C3201">
        <w:rPr>
          <w:noProof/>
        </w:rPr>
        <w:t>We wniosku zaproponowano ukierunkowaną zmianę parametrów rezerwy stabilności rynkowej dla ETS2 bez zmiany jej ogólnej struktury</w:t>
      </w:r>
      <w:r w:rsidR="00110A93" w:rsidRPr="006C3201">
        <w:rPr>
          <w:noProof/>
        </w:rPr>
        <w:t xml:space="preserve"> w</w:t>
      </w:r>
      <w:r w:rsidR="00110A93">
        <w:rPr>
          <w:noProof/>
        </w:rPr>
        <w:t> </w:t>
      </w:r>
      <w:r w:rsidR="00110A93" w:rsidRPr="006C3201">
        <w:rPr>
          <w:noProof/>
        </w:rPr>
        <w:t>cel</w:t>
      </w:r>
      <w:r w:rsidRPr="006C3201">
        <w:rPr>
          <w:noProof/>
        </w:rPr>
        <w:t xml:space="preserve">u dalszej poprawy skuteczności działania na podstawie zaktualizowanych informacji przed pełnym uruchomieniem systemu. </w:t>
      </w:r>
    </w:p>
    <w:p w14:paraId="45438573" w14:textId="77777777" w:rsidR="00604861" w:rsidRPr="006C3201" w:rsidRDefault="00604861">
      <w:pPr>
        <w:pStyle w:val="ManualHeading2"/>
        <w:rPr>
          <w:rFonts w:eastAsia="Arial Unicode MS"/>
          <w:noProof/>
          <w:u w:color="000000"/>
          <w:bdr w:val="nil"/>
        </w:rPr>
      </w:pPr>
      <w:bookmarkStart w:id="16" w:name="_Toc214887202"/>
      <w:r w:rsidRPr="006C3201">
        <w:rPr>
          <w:noProof/>
          <w:u w:color="000000"/>
          <w:bdr w:val="nil"/>
        </w:rPr>
        <w:t>•</w:t>
      </w:r>
      <w:r w:rsidRPr="006C3201">
        <w:rPr>
          <w:noProof/>
        </w:rPr>
        <w:tab/>
      </w:r>
      <w:r w:rsidRPr="006C3201">
        <w:rPr>
          <w:noProof/>
          <w:u w:color="000000"/>
          <w:bdr w:val="nil"/>
        </w:rPr>
        <w:t>Prawa podstawowe</w:t>
      </w:r>
      <w:bookmarkEnd w:id="16"/>
    </w:p>
    <w:p w14:paraId="4A6370CE" w14:textId="77777777" w:rsidR="001E5A0A" w:rsidRPr="006C3201" w:rsidRDefault="001E5A0A" w:rsidP="001E5A0A">
      <w:pPr>
        <w:pBdr>
          <w:top w:val="nil"/>
          <w:left w:val="nil"/>
          <w:bottom w:val="nil"/>
          <w:right w:val="nil"/>
          <w:between w:val="nil"/>
          <w:bar w:val="nil"/>
        </w:pBdr>
        <w:spacing w:before="0" w:after="240"/>
        <w:rPr>
          <w:rFonts w:eastAsia="Arial Unicode MS"/>
          <w:noProof/>
        </w:rPr>
      </w:pPr>
      <w:r w:rsidRPr="006C3201">
        <w:rPr>
          <w:noProof/>
        </w:rPr>
        <w:t>Wniosek nie narusza praw podstawowych</w:t>
      </w:r>
      <w:r w:rsidR="00110A93" w:rsidRPr="006C3201">
        <w:rPr>
          <w:noProof/>
        </w:rPr>
        <w:t xml:space="preserve"> i</w:t>
      </w:r>
      <w:r w:rsidR="00110A93">
        <w:rPr>
          <w:noProof/>
        </w:rPr>
        <w:t> </w:t>
      </w:r>
      <w:r w:rsidR="00110A93" w:rsidRPr="006C3201">
        <w:rPr>
          <w:noProof/>
        </w:rPr>
        <w:t>jes</w:t>
      </w:r>
      <w:r w:rsidRPr="006C3201">
        <w:rPr>
          <w:noProof/>
        </w:rPr>
        <w:t>t zgodny</w:t>
      </w:r>
      <w:r w:rsidR="00110A93" w:rsidRPr="006C3201">
        <w:rPr>
          <w:noProof/>
        </w:rPr>
        <w:t xml:space="preserve"> z</w:t>
      </w:r>
      <w:r w:rsidR="00110A93">
        <w:rPr>
          <w:noProof/>
        </w:rPr>
        <w:t> </w:t>
      </w:r>
      <w:r w:rsidR="00110A93" w:rsidRPr="006C3201">
        <w:rPr>
          <w:noProof/>
        </w:rPr>
        <w:t>zas</w:t>
      </w:r>
      <w:r w:rsidRPr="006C3201">
        <w:rPr>
          <w:noProof/>
        </w:rPr>
        <w:t>adami określonymi</w:t>
      </w:r>
      <w:r w:rsidR="00110A93" w:rsidRPr="006C3201">
        <w:rPr>
          <w:noProof/>
        </w:rPr>
        <w:t xml:space="preserve"> w</w:t>
      </w:r>
      <w:r w:rsidR="00110A93">
        <w:rPr>
          <w:noProof/>
        </w:rPr>
        <w:t> </w:t>
      </w:r>
      <w:r w:rsidR="00110A93" w:rsidRPr="006C3201">
        <w:rPr>
          <w:noProof/>
        </w:rPr>
        <w:t>Kar</w:t>
      </w:r>
      <w:r w:rsidRPr="006C3201">
        <w:rPr>
          <w:noProof/>
        </w:rPr>
        <w:t>cie praw podstawowych Unii Europejskiej</w:t>
      </w:r>
      <w:r w:rsidRPr="006C3201">
        <w:rPr>
          <w:rStyle w:val="Odwoanieprzypisudolnego"/>
          <w:rFonts w:eastAsia="Arial Unicode MS"/>
          <w:noProof/>
        </w:rPr>
        <w:footnoteReference w:id="3"/>
      </w:r>
      <w:r w:rsidR="00110A93" w:rsidRPr="006C3201">
        <w:rPr>
          <w:noProof/>
        </w:rPr>
        <w:t>. W</w:t>
      </w:r>
      <w:r w:rsidR="00110A93">
        <w:rPr>
          <w:noProof/>
        </w:rPr>
        <w:t> </w:t>
      </w:r>
      <w:r w:rsidR="00110A93" w:rsidRPr="006C3201">
        <w:rPr>
          <w:noProof/>
        </w:rPr>
        <w:t>szc</w:t>
      </w:r>
      <w:r w:rsidRPr="006C3201">
        <w:rPr>
          <w:noProof/>
        </w:rPr>
        <w:t>zególności przyczynia się on do osiągnięcia celu dotyczącego wysokiego poziomu ochrony środowiska zgodnie</w:t>
      </w:r>
      <w:r w:rsidR="00110A93" w:rsidRPr="006C3201">
        <w:rPr>
          <w:noProof/>
        </w:rPr>
        <w:t xml:space="preserve"> z</w:t>
      </w:r>
      <w:r w:rsidR="00110A93">
        <w:rPr>
          <w:noProof/>
        </w:rPr>
        <w:t> </w:t>
      </w:r>
      <w:r w:rsidR="00110A93" w:rsidRPr="006C3201">
        <w:rPr>
          <w:noProof/>
        </w:rPr>
        <w:t>zas</w:t>
      </w:r>
      <w:r w:rsidRPr="006C3201">
        <w:rPr>
          <w:noProof/>
        </w:rPr>
        <w:t>adą zrównoważonego rozwoju,</w:t>
      </w:r>
      <w:r w:rsidR="00110A93" w:rsidRPr="006C3201">
        <w:rPr>
          <w:noProof/>
        </w:rPr>
        <w:t xml:space="preserve"> o</w:t>
      </w:r>
      <w:r w:rsidR="00110A93">
        <w:rPr>
          <w:noProof/>
        </w:rPr>
        <w:t> </w:t>
      </w:r>
      <w:r w:rsidR="00110A93" w:rsidRPr="006C3201">
        <w:rPr>
          <w:noProof/>
        </w:rPr>
        <w:t>któ</w:t>
      </w:r>
      <w:r w:rsidRPr="006C3201">
        <w:rPr>
          <w:noProof/>
        </w:rPr>
        <w:t>rej mowa</w:t>
      </w:r>
      <w:r w:rsidR="00110A93" w:rsidRPr="006C3201">
        <w:rPr>
          <w:noProof/>
        </w:rPr>
        <w:t xml:space="preserve"> w</w:t>
      </w:r>
      <w:r w:rsidR="00110A93">
        <w:rPr>
          <w:noProof/>
        </w:rPr>
        <w:t> </w:t>
      </w:r>
      <w:r w:rsidR="00110A93" w:rsidRPr="006C3201">
        <w:rPr>
          <w:noProof/>
        </w:rPr>
        <w:t>art</w:t>
      </w:r>
      <w:r w:rsidRPr="006C3201">
        <w:rPr>
          <w:noProof/>
        </w:rPr>
        <w:t>. 37 Karty.</w:t>
      </w:r>
    </w:p>
    <w:p w14:paraId="63EB7B7B" w14:textId="77777777" w:rsidR="00604861" w:rsidRPr="006C3201" w:rsidRDefault="00604861">
      <w:pPr>
        <w:pStyle w:val="ManualHeading1"/>
        <w:rPr>
          <w:noProof/>
        </w:rPr>
      </w:pPr>
      <w:bookmarkStart w:id="17" w:name="_Toc214887203"/>
      <w:r w:rsidRPr="006C3201">
        <w:rPr>
          <w:noProof/>
        </w:rPr>
        <w:t>4.</w:t>
      </w:r>
      <w:r w:rsidRPr="006C3201">
        <w:rPr>
          <w:noProof/>
        </w:rPr>
        <w:tab/>
        <w:t>WPŁYW NA BUDŻET</w:t>
      </w:r>
      <w:bookmarkEnd w:id="17"/>
    </w:p>
    <w:p w14:paraId="5BED060F" w14:textId="77777777" w:rsidR="0020002F" w:rsidRPr="006C3201" w:rsidRDefault="0020002F">
      <w:pPr>
        <w:pBdr>
          <w:top w:val="nil"/>
          <w:left w:val="nil"/>
          <w:bottom w:val="nil"/>
          <w:right w:val="nil"/>
          <w:between w:val="nil"/>
          <w:bar w:val="nil"/>
        </w:pBdr>
        <w:spacing w:before="0" w:after="240"/>
        <w:rPr>
          <w:noProof/>
        </w:rPr>
      </w:pPr>
      <w:r w:rsidRPr="006C3201">
        <w:rPr>
          <w:noProof/>
        </w:rPr>
        <w:t>ETS2 wygeneruje znaczne dochody, które trafią do budżetów państw członkowskich</w:t>
      </w:r>
      <w:r w:rsidR="00110A93" w:rsidRPr="006C3201">
        <w:rPr>
          <w:noProof/>
        </w:rPr>
        <w:t xml:space="preserve"> i</w:t>
      </w:r>
      <w:r w:rsidR="00110A93">
        <w:rPr>
          <w:noProof/>
        </w:rPr>
        <w:t> </w:t>
      </w:r>
      <w:r w:rsidR="00110A93" w:rsidRPr="006C3201">
        <w:rPr>
          <w:noProof/>
        </w:rPr>
        <w:t>mus</w:t>
      </w:r>
      <w:r w:rsidRPr="006C3201">
        <w:rPr>
          <w:noProof/>
        </w:rPr>
        <w:t>zą zostać wykorzystane do rozwiązania kwestii dotyczących sprawiedliwości społecznej. Większość dochodów</w:t>
      </w:r>
      <w:r w:rsidR="00110A93" w:rsidRPr="006C3201">
        <w:rPr>
          <w:noProof/>
        </w:rPr>
        <w:t xml:space="preserve"> z</w:t>
      </w:r>
      <w:r w:rsidR="00110A93">
        <w:rPr>
          <w:noProof/>
        </w:rPr>
        <w:t> </w:t>
      </w:r>
      <w:r w:rsidR="00110A93" w:rsidRPr="006C3201">
        <w:rPr>
          <w:noProof/>
        </w:rPr>
        <w:t>auk</w:t>
      </w:r>
      <w:r w:rsidRPr="006C3201">
        <w:rPr>
          <w:noProof/>
        </w:rPr>
        <w:t>cji przypada państwom członkowskim</w:t>
      </w:r>
      <w:r w:rsidR="00110A93" w:rsidRPr="006C3201">
        <w:rPr>
          <w:noProof/>
        </w:rPr>
        <w:t xml:space="preserve"> i</w:t>
      </w:r>
      <w:r w:rsidR="00110A93">
        <w:rPr>
          <w:noProof/>
        </w:rPr>
        <w:t> </w:t>
      </w:r>
      <w:r w:rsidR="00110A93" w:rsidRPr="006C3201">
        <w:rPr>
          <w:noProof/>
        </w:rPr>
        <w:t>wni</w:t>
      </w:r>
      <w:r w:rsidRPr="006C3201">
        <w:rPr>
          <w:noProof/>
        </w:rPr>
        <w:t>osek może pośrednio wpływać na budżety krajowe głównie ze względu na to powiązanie. Poprawa płynności rynku może zwiększyć wpływy państw członkowskich</w:t>
      </w:r>
      <w:r w:rsidR="00110A93" w:rsidRPr="006C3201">
        <w:rPr>
          <w:noProof/>
        </w:rPr>
        <w:t xml:space="preserve"> z</w:t>
      </w:r>
      <w:r w:rsidR="00110A93">
        <w:rPr>
          <w:noProof/>
        </w:rPr>
        <w:t> </w:t>
      </w:r>
      <w:r w:rsidR="00110A93" w:rsidRPr="006C3201">
        <w:rPr>
          <w:noProof/>
        </w:rPr>
        <w:t>auk</w:t>
      </w:r>
      <w:r w:rsidRPr="006C3201">
        <w:rPr>
          <w:noProof/>
        </w:rPr>
        <w:t>cji. Oczekuje się jednak, że zostanie to zrekompensowane przez wpływ na cenę wynikający</w:t>
      </w:r>
      <w:r w:rsidR="00110A93" w:rsidRPr="006C3201">
        <w:rPr>
          <w:noProof/>
        </w:rPr>
        <w:t xml:space="preserve"> z</w:t>
      </w:r>
      <w:r w:rsidR="00110A93">
        <w:rPr>
          <w:noProof/>
        </w:rPr>
        <w:t> </w:t>
      </w:r>
      <w:r w:rsidR="00110A93" w:rsidRPr="006C3201">
        <w:rPr>
          <w:noProof/>
        </w:rPr>
        <w:t>dod</w:t>
      </w:r>
      <w:r w:rsidRPr="006C3201">
        <w:rPr>
          <w:noProof/>
        </w:rPr>
        <w:t>atkowej płynności rynku. Wniosek przyczyni się również do poprawy długoterminowej przewidywalności cen dla państw członkowskich przez zmniejszenie zmienności cen.</w:t>
      </w:r>
    </w:p>
    <w:p w14:paraId="2F0E4843" w14:textId="77777777" w:rsidR="00604861" w:rsidRPr="006C3201" w:rsidRDefault="00EB1B03">
      <w:pPr>
        <w:pBdr>
          <w:top w:val="nil"/>
          <w:left w:val="nil"/>
          <w:bottom w:val="nil"/>
          <w:right w:val="nil"/>
          <w:between w:val="nil"/>
          <w:bar w:val="nil"/>
        </w:pBdr>
        <w:spacing w:before="0" w:after="240"/>
        <w:rPr>
          <w:rFonts w:eastAsia="Arial Unicode MS"/>
          <w:noProof/>
        </w:rPr>
      </w:pPr>
      <w:r w:rsidRPr="006C3201">
        <w:rPr>
          <w:noProof/>
        </w:rPr>
        <w:t>Wdrożenie niniejszego wniosku nie będzie wymagało zwiększenia zdolności Komisji, jak wskazano</w:t>
      </w:r>
      <w:r w:rsidR="00110A93" w:rsidRPr="006C3201">
        <w:rPr>
          <w:noProof/>
        </w:rPr>
        <w:t xml:space="preserve"> w</w:t>
      </w:r>
      <w:r w:rsidR="00110A93">
        <w:rPr>
          <w:noProof/>
        </w:rPr>
        <w:t> </w:t>
      </w:r>
      <w:r w:rsidR="00110A93" w:rsidRPr="006C3201">
        <w:rPr>
          <w:noProof/>
        </w:rPr>
        <w:t>zał</w:t>
      </w:r>
      <w:r w:rsidRPr="006C3201">
        <w:rPr>
          <w:noProof/>
        </w:rPr>
        <w:t>ączonej ocenie skutków finansowych</w:t>
      </w:r>
      <w:r w:rsidR="00110A93" w:rsidRPr="006C3201">
        <w:rPr>
          <w:noProof/>
        </w:rPr>
        <w:t xml:space="preserve"> i</w:t>
      </w:r>
      <w:r w:rsidR="00110A93">
        <w:rPr>
          <w:noProof/>
        </w:rPr>
        <w:t> </w:t>
      </w:r>
      <w:r w:rsidR="00110A93" w:rsidRPr="006C3201">
        <w:rPr>
          <w:noProof/>
        </w:rPr>
        <w:t>cyf</w:t>
      </w:r>
      <w:r w:rsidRPr="006C3201">
        <w:rPr>
          <w:noProof/>
        </w:rPr>
        <w:t>rowych regulacji.</w:t>
      </w:r>
    </w:p>
    <w:p w14:paraId="51F711DF" w14:textId="77777777" w:rsidR="00604861" w:rsidRPr="006C3201" w:rsidRDefault="00604861">
      <w:pPr>
        <w:pStyle w:val="ManualHeading1"/>
        <w:rPr>
          <w:noProof/>
        </w:rPr>
      </w:pPr>
      <w:bookmarkStart w:id="18" w:name="_Toc214887204"/>
      <w:r w:rsidRPr="006C3201">
        <w:rPr>
          <w:noProof/>
        </w:rPr>
        <w:t>5.</w:t>
      </w:r>
      <w:r w:rsidRPr="006C3201">
        <w:rPr>
          <w:noProof/>
        </w:rPr>
        <w:tab/>
        <w:t>ELEMENTY FAKULTATYWNE</w:t>
      </w:r>
      <w:bookmarkEnd w:id="18"/>
    </w:p>
    <w:p w14:paraId="0E75888F" w14:textId="77777777" w:rsidR="00604861" w:rsidRPr="006C3201" w:rsidRDefault="00604861">
      <w:pPr>
        <w:pStyle w:val="ManualHeading2"/>
        <w:rPr>
          <w:rFonts w:eastAsia="Arial Unicode MS"/>
          <w:noProof/>
          <w:u w:color="000000"/>
          <w:bdr w:val="nil"/>
        </w:rPr>
      </w:pPr>
      <w:bookmarkStart w:id="19" w:name="_Toc214887205"/>
      <w:r w:rsidRPr="006C3201">
        <w:rPr>
          <w:noProof/>
          <w:u w:color="000000"/>
          <w:bdr w:val="nil"/>
        </w:rPr>
        <w:t>•</w:t>
      </w:r>
      <w:r w:rsidRPr="006C3201">
        <w:rPr>
          <w:noProof/>
        </w:rPr>
        <w:tab/>
      </w:r>
      <w:r w:rsidRPr="006C3201">
        <w:rPr>
          <w:noProof/>
          <w:u w:color="000000"/>
          <w:bdr w:val="nil"/>
        </w:rPr>
        <w:t>Plany wdrożenia</w:t>
      </w:r>
      <w:r w:rsidR="00110A93" w:rsidRPr="006C3201">
        <w:rPr>
          <w:noProof/>
          <w:u w:color="000000"/>
          <w:bdr w:val="nil"/>
        </w:rPr>
        <w:t xml:space="preserve"> i</w:t>
      </w:r>
      <w:r w:rsidR="00110A93">
        <w:rPr>
          <w:noProof/>
          <w:u w:color="000000"/>
          <w:bdr w:val="nil"/>
        </w:rPr>
        <w:t> </w:t>
      </w:r>
      <w:r w:rsidR="00110A93" w:rsidRPr="006C3201">
        <w:rPr>
          <w:noProof/>
          <w:u w:color="000000"/>
          <w:bdr w:val="nil"/>
        </w:rPr>
        <w:t>mon</w:t>
      </w:r>
      <w:r w:rsidRPr="006C3201">
        <w:rPr>
          <w:noProof/>
          <w:u w:color="000000"/>
          <w:bdr w:val="nil"/>
        </w:rPr>
        <w:t>itorowanie, ocena</w:t>
      </w:r>
      <w:r w:rsidR="00110A93" w:rsidRPr="006C3201">
        <w:rPr>
          <w:noProof/>
          <w:u w:color="000000"/>
          <w:bdr w:val="nil"/>
        </w:rPr>
        <w:t xml:space="preserve"> i</w:t>
      </w:r>
      <w:r w:rsidR="00110A93">
        <w:rPr>
          <w:noProof/>
          <w:u w:color="000000"/>
          <w:bdr w:val="nil"/>
        </w:rPr>
        <w:t> </w:t>
      </w:r>
      <w:r w:rsidR="00110A93" w:rsidRPr="006C3201">
        <w:rPr>
          <w:noProof/>
          <w:u w:color="000000"/>
          <w:bdr w:val="nil"/>
        </w:rPr>
        <w:t>spr</w:t>
      </w:r>
      <w:r w:rsidRPr="006C3201">
        <w:rPr>
          <w:noProof/>
          <w:u w:color="000000"/>
          <w:bdr w:val="nil"/>
        </w:rPr>
        <w:t>awozdania</w:t>
      </w:r>
      <w:bookmarkEnd w:id="19"/>
    </w:p>
    <w:p w14:paraId="4E0482AE" w14:textId="77777777" w:rsidR="00604861" w:rsidRPr="006C3201" w:rsidRDefault="0080234B">
      <w:pPr>
        <w:pBdr>
          <w:top w:val="nil"/>
          <w:left w:val="nil"/>
          <w:bottom w:val="nil"/>
          <w:right w:val="nil"/>
          <w:between w:val="nil"/>
          <w:bar w:val="nil"/>
        </w:pBdr>
        <w:spacing w:before="0" w:after="240"/>
        <w:rPr>
          <w:noProof/>
        </w:rPr>
      </w:pPr>
      <w:r w:rsidRPr="006C3201">
        <w:rPr>
          <w:noProof/>
        </w:rPr>
        <w:t>We wniosku zaproponowano ukierunkowaną zmianę parametrów rezerwy stabilności rynkowej dla ETS2, przy jednoczesnym zachowaniu jej ogólnej struktury, aby poprawić jej funkcjonowanie przed pełnym uruchomieniem rynku uprawnień do emisji</w:t>
      </w:r>
      <w:r w:rsidR="00110A93" w:rsidRPr="006C3201">
        <w:rPr>
          <w:noProof/>
        </w:rPr>
        <w:t xml:space="preserve"> w</w:t>
      </w:r>
      <w:r w:rsidR="00110A93">
        <w:rPr>
          <w:noProof/>
        </w:rPr>
        <w:t> </w:t>
      </w:r>
      <w:r w:rsidR="00110A93" w:rsidRPr="006C3201">
        <w:rPr>
          <w:noProof/>
        </w:rPr>
        <w:t>ram</w:t>
      </w:r>
      <w:r w:rsidRPr="006C3201">
        <w:rPr>
          <w:noProof/>
        </w:rPr>
        <w:t>ach ETS2. Wniosek opiera się na ustaleniach wynikających</w:t>
      </w:r>
      <w:r w:rsidR="00110A93" w:rsidRPr="006C3201">
        <w:rPr>
          <w:noProof/>
        </w:rPr>
        <w:t xml:space="preserve"> z</w:t>
      </w:r>
      <w:r w:rsidR="00110A93">
        <w:rPr>
          <w:noProof/>
        </w:rPr>
        <w:t> </w:t>
      </w:r>
      <w:r w:rsidR="00110A93" w:rsidRPr="006C3201">
        <w:rPr>
          <w:noProof/>
        </w:rPr>
        <w:t>oce</w:t>
      </w:r>
      <w:r w:rsidRPr="006C3201">
        <w:rPr>
          <w:noProof/>
        </w:rPr>
        <w:t>ny skutków przeglądu EU ETS</w:t>
      </w:r>
      <w:r w:rsidR="00110A93" w:rsidRPr="006C3201">
        <w:rPr>
          <w:noProof/>
        </w:rPr>
        <w:t xml:space="preserve"> i</w:t>
      </w:r>
      <w:r w:rsidR="00110A93">
        <w:rPr>
          <w:noProof/>
        </w:rPr>
        <w:t> </w:t>
      </w:r>
      <w:r w:rsidR="00110A93" w:rsidRPr="006C3201">
        <w:rPr>
          <w:noProof/>
        </w:rPr>
        <w:t>rez</w:t>
      </w:r>
      <w:r w:rsidRPr="006C3201">
        <w:rPr>
          <w:noProof/>
        </w:rPr>
        <w:t>erwy stabilności rynkowej</w:t>
      </w:r>
      <w:r w:rsidR="00110A93" w:rsidRPr="006C3201">
        <w:rPr>
          <w:noProof/>
        </w:rPr>
        <w:t xml:space="preserve"> z</w:t>
      </w:r>
      <w:r w:rsidR="00110A93">
        <w:rPr>
          <w:noProof/>
        </w:rPr>
        <w:t> </w:t>
      </w:r>
      <w:r w:rsidR="00110A93" w:rsidRPr="006C3201">
        <w:rPr>
          <w:noProof/>
        </w:rPr>
        <w:t>2</w:t>
      </w:r>
      <w:r w:rsidRPr="006C3201">
        <w:rPr>
          <w:noProof/>
        </w:rPr>
        <w:t>021 r. oraz uwzględnia informacje zwrotne od większości państw członkowskich</w:t>
      </w:r>
      <w:r w:rsidR="00110A93" w:rsidRPr="006C3201">
        <w:rPr>
          <w:noProof/>
        </w:rPr>
        <w:t xml:space="preserve"> i</w:t>
      </w:r>
      <w:r w:rsidR="00110A93">
        <w:rPr>
          <w:noProof/>
        </w:rPr>
        <w:t> </w:t>
      </w:r>
      <w:r w:rsidR="00110A93" w:rsidRPr="006C3201">
        <w:rPr>
          <w:noProof/>
        </w:rPr>
        <w:t>inn</w:t>
      </w:r>
      <w:r w:rsidRPr="006C3201">
        <w:rPr>
          <w:noProof/>
        </w:rPr>
        <w:t>ych zainteresowanych stron.</w:t>
      </w:r>
    </w:p>
    <w:p w14:paraId="1E1637E9" w14:textId="77777777" w:rsidR="002620B9" w:rsidRPr="006C3201" w:rsidRDefault="002620B9" w:rsidP="002620B9">
      <w:pPr>
        <w:pBdr>
          <w:top w:val="nil"/>
          <w:left w:val="nil"/>
          <w:bottom w:val="nil"/>
          <w:right w:val="nil"/>
          <w:between w:val="nil"/>
          <w:bar w:val="nil"/>
        </w:pBdr>
        <w:spacing w:before="0" w:after="240"/>
        <w:rPr>
          <w:rFonts w:eastAsia="Arial Unicode MS"/>
          <w:noProof/>
        </w:rPr>
      </w:pPr>
      <w:r w:rsidRPr="006C3201">
        <w:rPr>
          <w:noProof/>
        </w:rPr>
        <w:t>Oprócz zmian proponowanych</w:t>
      </w:r>
      <w:r w:rsidR="00110A93" w:rsidRPr="006C3201">
        <w:rPr>
          <w:noProof/>
        </w:rPr>
        <w:t xml:space="preserve"> w</w:t>
      </w:r>
      <w:r w:rsidR="00110A93">
        <w:rPr>
          <w:noProof/>
        </w:rPr>
        <w:t> </w:t>
      </w:r>
      <w:r w:rsidR="00110A93" w:rsidRPr="006C3201">
        <w:rPr>
          <w:noProof/>
        </w:rPr>
        <w:t>dec</w:t>
      </w:r>
      <w:r w:rsidRPr="006C3201">
        <w:rPr>
          <w:noProof/>
        </w:rPr>
        <w:t xml:space="preserve">yzji (UE) 2015/1814 </w:t>
      </w:r>
      <w:r w:rsidRPr="006C3201">
        <w:rPr>
          <w:b/>
          <w:noProof/>
        </w:rPr>
        <w:t>Komisja stwierdza, co następuje,</w:t>
      </w:r>
      <w:r w:rsidR="00110A93" w:rsidRPr="006C3201">
        <w:rPr>
          <w:b/>
          <w:noProof/>
        </w:rPr>
        <w:t xml:space="preserve"> w</w:t>
      </w:r>
      <w:r w:rsidR="00110A93">
        <w:rPr>
          <w:b/>
          <w:noProof/>
        </w:rPr>
        <w:t> </w:t>
      </w:r>
      <w:r w:rsidR="00110A93" w:rsidRPr="006C3201">
        <w:rPr>
          <w:b/>
          <w:noProof/>
        </w:rPr>
        <w:t>odn</w:t>
      </w:r>
      <w:r w:rsidRPr="006C3201">
        <w:rPr>
          <w:b/>
          <w:noProof/>
        </w:rPr>
        <w:t>iesieniu do stosowania art. 30h dyrektywy 2003/87/WE</w:t>
      </w:r>
      <w:r w:rsidRPr="006C3201">
        <w:rPr>
          <w:noProof/>
        </w:rPr>
        <w:t xml:space="preserve">: </w:t>
      </w:r>
    </w:p>
    <w:p w14:paraId="556BB24C" w14:textId="77777777" w:rsidR="002620B9" w:rsidRPr="006C3201" w:rsidRDefault="002620B9" w:rsidP="002620B9">
      <w:pPr>
        <w:pBdr>
          <w:top w:val="nil"/>
          <w:left w:val="nil"/>
          <w:bottom w:val="nil"/>
          <w:right w:val="nil"/>
          <w:between w:val="nil"/>
          <w:bar w:val="nil"/>
        </w:pBdr>
        <w:spacing w:before="0" w:after="240"/>
        <w:rPr>
          <w:rFonts w:eastAsia="Arial Unicode MS"/>
          <w:noProof/>
        </w:rPr>
      </w:pPr>
      <w:r w:rsidRPr="006C3201">
        <w:rPr>
          <w:noProof/>
        </w:rPr>
        <w:t>„W celu zwiększenia przewidywalności</w:t>
      </w:r>
      <w:r w:rsidR="00110A93" w:rsidRPr="006C3201">
        <w:rPr>
          <w:noProof/>
        </w:rPr>
        <w:t xml:space="preserve"> i</w:t>
      </w:r>
      <w:r w:rsidR="00110A93">
        <w:rPr>
          <w:noProof/>
        </w:rPr>
        <w:t> </w:t>
      </w:r>
      <w:r w:rsidR="00110A93" w:rsidRPr="006C3201">
        <w:rPr>
          <w:noProof/>
        </w:rPr>
        <w:t>pew</w:t>
      </w:r>
      <w:r w:rsidRPr="006C3201">
        <w:rPr>
          <w:noProof/>
        </w:rPr>
        <w:t>ności europejskiego rynku uprawnień do emisji dwutlenku węgla</w:t>
      </w:r>
      <w:r w:rsidR="00110A93" w:rsidRPr="006C3201">
        <w:rPr>
          <w:noProof/>
        </w:rPr>
        <w:t xml:space="preserve"> w</w:t>
      </w:r>
      <w:r w:rsidR="00110A93">
        <w:rPr>
          <w:noProof/>
        </w:rPr>
        <w:t> </w:t>
      </w:r>
      <w:r w:rsidR="00110A93" w:rsidRPr="006C3201">
        <w:rPr>
          <w:noProof/>
        </w:rPr>
        <w:t>sek</w:t>
      </w:r>
      <w:r w:rsidRPr="006C3201">
        <w:rPr>
          <w:noProof/>
        </w:rPr>
        <w:t>torze budowlanym, sektorze transportu drogowego</w:t>
      </w:r>
      <w:r w:rsidR="00110A93" w:rsidRPr="006C3201">
        <w:rPr>
          <w:noProof/>
        </w:rPr>
        <w:t xml:space="preserve"> i</w:t>
      </w:r>
      <w:r w:rsidR="00110A93">
        <w:rPr>
          <w:noProof/>
        </w:rPr>
        <w:t> </w:t>
      </w:r>
      <w:r w:rsidR="00110A93" w:rsidRPr="006C3201">
        <w:rPr>
          <w:noProof/>
        </w:rPr>
        <w:t>sek</w:t>
      </w:r>
      <w:r w:rsidRPr="006C3201">
        <w:rPr>
          <w:noProof/>
        </w:rPr>
        <w:t>torach dodatkowych Komisja uważa, że jeżeli warunek określony</w:t>
      </w:r>
      <w:r w:rsidR="00110A93" w:rsidRPr="006C3201">
        <w:rPr>
          <w:noProof/>
        </w:rPr>
        <w:t xml:space="preserve"> w</w:t>
      </w:r>
      <w:r w:rsidR="00110A93">
        <w:rPr>
          <w:noProof/>
        </w:rPr>
        <w:t> </w:t>
      </w:r>
      <w:r w:rsidR="00110A93" w:rsidRPr="006C3201">
        <w:rPr>
          <w:noProof/>
        </w:rPr>
        <w:t>art</w:t>
      </w:r>
      <w:r w:rsidRPr="006C3201">
        <w:rPr>
          <w:noProof/>
        </w:rPr>
        <w:t>. 30h ust. 2 dyrektywy 2003/87/WE zostanie ponownie spełniony po upływie sześciu miesięcy, należy odstąpić od stosowania art. 30h ust. 6 zgodnie</w:t>
      </w:r>
      <w:r w:rsidR="00110A93" w:rsidRPr="006C3201">
        <w:rPr>
          <w:noProof/>
        </w:rPr>
        <w:t xml:space="preserve"> z</w:t>
      </w:r>
      <w:r w:rsidR="00110A93">
        <w:rPr>
          <w:noProof/>
        </w:rPr>
        <w:t> </w:t>
      </w:r>
      <w:r w:rsidR="00110A93" w:rsidRPr="006C3201">
        <w:rPr>
          <w:noProof/>
        </w:rPr>
        <w:t>pro</w:t>
      </w:r>
      <w:r w:rsidRPr="006C3201">
        <w:rPr>
          <w:noProof/>
        </w:rPr>
        <w:t>cedurą określoną</w:t>
      </w:r>
      <w:r w:rsidR="00110A93" w:rsidRPr="006C3201">
        <w:rPr>
          <w:noProof/>
        </w:rPr>
        <w:t xml:space="preserve"> w</w:t>
      </w:r>
      <w:r w:rsidR="00110A93">
        <w:rPr>
          <w:noProof/>
        </w:rPr>
        <w:t> </w:t>
      </w:r>
      <w:r w:rsidR="00110A93" w:rsidRPr="006C3201">
        <w:rPr>
          <w:noProof/>
        </w:rPr>
        <w:t>ust</w:t>
      </w:r>
      <w:r w:rsidRPr="006C3201">
        <w:rPr>
          <w:noProof/>
        </w:rPr>
        <w:t xml:space="preserve">. 7”. </w:t>
      </w:r>
    </w:p>
    <w:p w14:paraId="1FA3E07B" w14:textId="77777777" w:rsidR="00604861" w:rsidRPr="006C3201" w:rsidRDefault="00604861">
      <w:pPr>
        <w:pStyle w:val="ManualHeading2"/>
        <w:rPr>
          <w:rFonts w:eastAsia="Arial Unicode MS"/>
          <w:noProof/>
          <w:u w:color="000000"/>
          <w:bdr w:val="nil"/>
        </w:rPr>
      </w:pPr>
      <w:bookmarkStart w:id="20" w:name="_Toc214887206"/>
      <w:r w:rsidRPr="006C3201">
        <w:rPr>
          <w:noProof/>
          <w:u w:color="000000"/>
          <w:bdr w:val="nil"/>
        </w:rPr>
        <w:t>•</w:t>
      </w:r>
      <w:r w:rsidRPr="006C3201">
        <w:rPr>
          <w:noProof/>
        </w:rPr>
        <w:tab/>
      </w:r>
      <w:r w:rsidRPr="006C3201">
        <w:rPr>
          <w:noProof/>
          <w:u w:color="000000"/>
          <w:bdr w:val="nil"/>
        </w:rPr>
        <w:t>Szczegółowe objaśnienia poszczególnych przepisów wniosku</w:t>
      </w:r>
      <w:bookmarkEnd w:id="20"/>
    </w:p>
    <w:p w14:paraId="6CE7A479" w14:textId="77777777" w:rsidR="001C657C" w:rsidRPr="006C3201" w:rsidRDefault="001C657C">
      <w:pPr>
        <w:pBdr>
          <w:top w:val="nil"/>
          <w:left w:val="nil"/>
          <w:bottom w:val="nil"/>
          <w:right w:val="nil"/>
          <w:between w:val="nil"/>
          <w:bar w:val="nil"/>
        </w:pBdr>
        <w:spacing w:before="0" w:after="240"/>
        <w:rPr>
          <w:noProof/>
        </w:rPr>
      </w:pPr>
      <w:r w:rsidRPr="006C3201">
        <w:rPr>
          <w:noProof/>
        </w:rPr>
        <w:t>Wniosek zawiera trzy środki mające na celu poprawę płynności rynku</w:t>
      </w:r>
      <w:r w:rsidR="00110A93" w:rsidRPr="006C3201">
        <w:rPr>
          <w:noProof/>
        </w:rPr>
        <w:t xml:space="preserve"> w</w:t>
      </w:r>
      <w:r w:rsidR="00110A93">
        <w:rPr>
          <w:noProof/>
        </w:rPr>
        <w:t> </w:t>
      </w:r>
      <w:r w:rsidR="00110A93" w:rsidRPr="006C3201">
        <w:rPr>
          <w:noProof/>
        </w:rPr>
        <w:t>cel</w:t>
      </w:r>
      <w:r w:rsidRPr="006C3201">
        <w:rPr>
          <w:noProof/>
        </w:rPr>
        <w:t>u zwiększenia przewidywalności rynku, ograniczenia zmienności</w:t>
      </w:r>
      <w:r w:rsidR="00110A93" w:rsidRPr="006C3201">
        <w:rPr>
          <w:noProof/>
        </w:rPr>
        <w:t xml:space="preserve"> i</w:t>
      </w:r>
      <w:r w:rsidR="00110A93">
        <w:rPr>
          <w:noProof/>
        </w:rPr>
        <w:t> </w:t>
      </w:r>
      <w:r w:rsidR="00110A93" w:rsidRPr="006C3201">
        <w:rPr>
          <w:noProof/>
        </w:rPr>
        <w:t>dal</w:t>
      </w:r>
      <w:r w:rsidRPr="006C3201">
        <w:rPr>
          <w:noProof/>
        </w:rPr>
        <w:t>szego przeciwdziałania nadmiernym podwyżkom cen:</w:t>
      </w:r>
    </w:p>
    <w:p w14:paraId="0D9DB557" w14:textId="77777777" w:rsidR="0001394D" w:rsidRPr="006C3201" w:rsidRDefault="00D943CE" w:rsidP="00095D93">
      <w:pPr>
        <w:pStyle w:val="Bullet0"/>
        <w:numPr>
          <w:ilvl w:val="0"/>
          <w:numId w:val="17"/>
        </w:numPr>
        <w:rPr>
          <w:noProof/>
        </w:rPr>
      </w:pPr>
      <w:r w:rsidRPr="006C3201">
        <w:rPr>
          <w:noProof/>
        </w:rPr>
        <w:t>Aby zwiększyć długoterminową płynność</w:t>
      </w:r>
      <w:r w:rsidR="00110A93" w:rsidRPr="006C3201">
        <w:rPr>
          <w:noProof/>
        </w:rPr>
        <w:t xml:space="preserve"> i</w:t>
      </w:r>
      <w:r w:rsidR="00110A93">
        <w:rPr>
          <w:noProof/>
        </w:rPr>
        <w:t> </w:t>
      </w:r>
      <w:r w:rsidR="00110A93" w:rsidRPr="006C3201">
        <w:rPr>
          <w:noProof/>
        </w:rPr>
        <w:t>prz</w:t>
      </w:r>
      <w:r w:rsidRPr="006C3201">
        <w:rPr>
          <w:noProof/>
        </w:rPr>
        <w:t>ewidywalność rynku,</w:t>
      </w:r>
      <w:r w:rsidR="00110A93" w:rsidRPr="006C3201">
        <w:rPr>
          <w:noProof/>
        </w:rPr>
        <w:t xml:space="preserve"> w</w:t>
      </w:r>
      <w:r w:rsidR="00110A93">
        <w:rPr>
          <w:noProof/>
        </w:rPr>
        <w:t> </w:t>
      </w:r>
      <w:r w:rsidR="00110A93" w:rsidRPr="006C3201">
        <w:rPr>
          <w:noProof/>
        </w:rPr>
        <w:t>art</w:t>
      </w:r>
      <w:r w:rsidRPr="006C3201">
        <w:rPr>
          <w:noProof/>
        </w:rPr>
        <w:t>. 1 ust. 1 skreślono zdanie drugie dotyczące unieważnienia uprawnień, które nie zostały uwolnione</w:t>
      </w:r>
      <w:r w:rsidR="00110A93" w:rsidRPr="006C3201">
        <w:rPr>
          <w:noProof/>
        </w:rPr>
        <w:t xml:space="preserve"> z</w:t>
      </w:r>
      <w:r w:rsidR="00110A93">
        <w:rPr>
          <w:noProof/>
        </w:rPr>
        <w:t> </w:t>
      </w:r>
      <w:r w:rsidR="00110A93" w:rsidRPr="006C3201">
        <w:rPr>
          <w:noProof/>
        </w:rPr>
        <w:t>rez</w:t>
      </w:r>
      <w:r w:rsidRPr="006C3201">
        <w:rPr>
          <w:noProof/>
        </w:rPr>
        <w:t>erwy do dnia 31 grudnia 2030 r. Obecnie początkowe 600 mln uprawnień znajdujących się</w:t>
      </w:r>
      <w:r w:rsidR="00110A93" w:rsidRPr="006C3201">
        <w:rPr>
          <w:noProof/>
        </w:rPr>
        <w:t xml:space="preserve"> w</w:t>
      </w:r>
      <w:r w:rsidR="00110A93">
        <w:rPr>
          <w:noProof/>
        </w:rPr>
        <w:t> </w:t>
      </w:r>
      <w:r w:rsidR="00110A93" w:rsidRPr="006C3201">
        <w:rPr>
          <w:noProof/>
        </w:rPr>
        <w:t>rez</w:t>
      </w:r>
      <w:r w:rsidRPr="006C3201">
        <w:rPr>
          <w:noProof/>
        </w:rPr>
        <w:t>erwie stabilności rynkowej jest ważnych tylko do dnia 31 grudnia 2030 r., po czym każde uprawnienie, które nie zostało uwolnione</w:t>
      </w:r>
      <w:r w:rsidR="00110A93" w:rsidRPr="006C3201">
        <w:rPr>
          <w:noProof/>
        </w:rPr>
        <w:t xml:space="preserve"> z</w:t>
      </w:r>
      <w:r w:rsidR="00110A93">
        <w:rPr>
          <w:noProof/>
        </w:rPr>
        <w:t> </w:t>
      </w:r>
      <w:r w:rsidR="00110A93" w:rsidRPr="006C3201">
        <w:rPr>
          <w:noProof/>
        </w:rPr>
        <w:t>rez</w:t>
      </w:r>
      <w:r w:rsidRPr="006C3201">
        <w:rPr>
          <w:noProof/>
        </w:rPr>
        <w:t>erwy, utraci ważność. Usunięcie tego zapisu przyczynia się do zwiększenia przewidywalności rynku oraz zaufania wśród podmiotów finansowych</w:t>
      </w:r>
      <w:r w:rsidR="00110A93" w:rsidRPr="006C3201">
        <w:rPr>
          <w:noProof/>
        </w:rPr>
        <w:t xml:space="preserve"> i</w:t>
      </w:r>
      <w:r w:rsidR="00110A93">
        <w:rPr>
          <w:noProof/>
        </w:rPr>
        <w:t> </w:t>
      </w:r>
      <w:r w:rsidR="00110A93" w:rsidRPr="006C3201">
        <w:rPr>
          <w:noProof/>
        </w:rPr>
        <w:t>ucz</w:t>
      </w:r>
      <w:r w:rsidRPr="006C3201">
        <w:rPr>
          <w:noProof/>
        </w:rPr>
        <w:t>estników rynku,</w:t>
      </w:r>
      <w:r w:rsidR="00110A93" w:rsidRPr="006C3201">
        <w:rPr>
          <w:noProof/>
        </w:rPr>
        <w:t xml:space="preserve"> a</w:t>
      </w:r>
      <w:r w:rsidR="00110A93">
        <w:rPr>
          <w:noProof/>
        </w:rPr>
        <w:t> </w:t>
      </w:r>
      <w:r w:rsidR="00110A93" w:rsidRPr="006C3201">
        <w:rPr>
          <w:noProof/>
        </w:rPr>
        <w:t>tym</w:t>
      </w:r>
      <w:r w:rsidRPr="006C3201">
        <w:rPr>
          <w:noProof/>
        </w:rPr>
        <w:t xml:space="preserve"> samym sprzyja stabilności cen</w:t>
      </w:r>
      <w:r w:rsidR="00110A93" w:rsidRPr="006C3201">
        <w:rPr>
          <w:noProof/>
        </w:rPr>
        <w:t xml:space="preserve"> w</w:t>
      </w:r>
      <w:r w:rsidR="00110A93">
        <w:rPr>
          <w:noProof/>
        </w:rPr>
        <w:t> </w:t>
      </w:r>
      <w:r w:rsidR="00110A93" w:rsidRPr="006C3201">
        <w:rPr>
          <w:noProof/>
        </w:rPr>
        <w:t>dłu</w:t>
      </w:r>
      <w:r w:rsidRPr="006C3201">
        <w:rPr>
          <w:noProof/>
        </w:rPr>
        <w:t>ższym okresie.</w:t>
      </w:r>
    </w:p>
    <w:p w14:paraId="764275FC" w14:textId="77777777" w:rsidR="00E309F2" w:rsidRPr="006C3201" w:rsidRDefault="00E309F2" w:rsidP="0001394D">
      <w:pPr>
        <w:pStyle w:val="Bullet0"/>
        <w:rPr>
          <w:noProof/>
        </w:rPr>
      </w:pPr>
      <w:r w:rsidRPr="006C3201">
        <w:rPr>
          <w:noProof/>
        </w:rPr>
        <w:t>W art. 1 ust. 3 wprowadzono zmianę</w:t>
      </w:r>
      <w:r w:rsidR="00110A93" w:rsidRPr="006C3201">
        <w:rPr>
          <w:noProof/>
        </w:rPr>
        <w:t xml:space="preserve"> w</w:t>
      </w:r>
      <w:r w:rsidR="00110A93">
        <w:rPr>
          <w:noProof/>
        </w:rPr>
        <w:t> </w:t>
      </w:r>
      <w:r w:rsidR="00110A93" w:rsidRPr="006C3201">
        <w:rPr>
          <w:noProof/>
        </w:rPr>
        <w:t>mec</w:t>
      </w:r>
      <w:r w:rsidRPr="006C3201">
        <w:rPr>
          <w:noProof/>
        </w:rPr>
        <w:t>hanizmie wprowadzania uprawnień, aby zapewnić bardziej stopniowe</w:t>
      </w:r>
      <w:r w:rsidR="00110A93" w:rsidRPr="006C3201">
        <w:rPr>
          <w:noProof/>
        </w:rPr>
        <w:t xml:space="preserve"> i</w:t>
      </w:r>
      <w:r w:rsidR="00110A93">
        <w:rPr>
          <w:noProof/>
        </w:rPr>
        <w:t> </w:t>
      </w:r>
      <w:r w:rsidR="00110A93" w:rsidRPr="006C3201">
        <w:rPr>
          <w:noProof/>
        </w:rPr>
        <w:t>ela</w:t>
      </w:r>
      <w:r w:rsidRPr="006C3201">
        <w:rPr>
          <w:noProof/>
        </w:rPr>
        <w:t>styczne uwalnianie uprawnień</w:t>
      </w:r>
      <w:r w:rsidR="00110A93" w:rsidRPr="006C3201">
        <w:rPr>
          <w:noProof/>
        </w:rPr>
        <w:t xml:space="preserve"> z</w:t>
      </w:r>
      <w:r w:rsidR="00110A93">
        <w:rPr>
          <w:noProof/>
        </w:rPr>
        <w:t> </w:t>
      </w:r>
      <w:r w:rsidR="00110A93" w:rsidRPr="006C3201">
        <w:rPr>
          <w:noProof/>
        </w:rPr>
        <w:t>rez</w:t>
      </w:r>
      <w:r w:rsidRPr="006C3201">
        <w:rPr>
          <w:noProof/>
        </w:rPr>
        <w:t>erwy na rynek. Zaproponowano</w:t>
      </w:r>
      <w:r w:rsidR="00110A93" w:rsidRPr="006C3201">
        <w:rPr>
          <w:noProof/>
        </w:rPr>
        <w:t xml:space="preserve"> w</w:t>
      </w:r>
      <w:r w:rsidR="00110A93">
        <w:rPr>
          <w:noProof/>
        </w:rPr>
        <w:t> </w:t>
      </w:r>
      <w:r w:rsidR="00110A93" w:rsidRPr="006C3201">
        <w:rPr>
          <w:noProof/>
        </w:rPr>
        <w:t>nim</w:t>
      </w:r>
      <w:r w:rsidRPr="006C3201">
        <w:rPr>
          <w:noProof/>
        </w:rPr>
        <w:t xml:space="preserve"> wprowadzanie uprawnień do rezerwy stabilności rynkowej wówczas, gdy łączna liczba uprawnień znajdujących się</w:t>
      </w:r>
      <w:r w:rsidR="00110A93" w:rsidRPr="006C3201">
        <w:rPr>
          <w:noProof/>
        </w:rPr>
        <w:t xml:space="preserve"> w</w:t>
      </w:r>
      <w:r w:rsidR="00110A93">
        <w:rPr>
          <w:noProof/>
        </w:rPr>
        <w:t> </w:t>
      </w:r>
      <w:r w:rsidR="00110A93" w:rsidRPr="006C3201">
        <w:rPr>
          <w:noProof/>
        </w:rPr>
        <w:t>obi</w:t>
      </w:r>
      <w:r w:rsidRPr="006C3201">
        <w:rPr>
          <w:noProof/>
        </w:rPr>
        <w:t xml:space="preserve">egu (TNAC) wynosi </w:t>
      </w:r>
      <w:r w:rsidRPr="00110A93">
        <w:rPr>
          <w:noProof/>
        </w:rPr>
        <w:t>od</w:t>
      </w:r>
      <w:r w:rsidR="00110A93" w:rsidRPr="00110A93">
        <w:rPr>
          <w:noProof/>
        </w:rPr>
        <w:t> </w:t>
      </w:r>
      <w:r w:rsidRPr="00110A93">
        <w:rPr>
          <w:noProof/>
        </w:rPr>
        <w:t>2</w:t>
      </w:r>
      <w:r w:rsidRPr="006C3201">
        <w:rPr>
          <w:noProof/>
        </w:rPr>
        <w:t xml:space="preserve">10 mln </w:t>
      </w:r>
      <w:r w:rsidRPr="00110A93">
        <w:rPr>
          <w:noProof/>
        </w:rPr>
        <w:t>do</w:t>
      </w:r>
      <w:r w:rsidR="00110A93" w:rsidRPr="00110A93">
        <w:rPr>
          <w:noProof/>
        </w:rPr>
        <w:t> </w:t>
      </w:r>
      <w:r w:rsidRPr="00110A93">
        <w:rPr>
          <w:noProof/>
        </w:rPr>
        <w:t>2</w:t>
      </w:r>
      <w:r w:rsidRPr="006C3201">
        <w:rPr>
          <w:noProof/>
        </w:rPr>
        <w:t>60 mln</w:t>
      </w:r>
      <w:r w:rsidR="00110A93" w:rsidRPr="006C3201">
        <w:rPr>
          <w:noProof/>
        </w:rPr>
        <w:t>. W</w:t>
      </w:r>
      <w:r w:rsidR="00110A93">
        <w:rPr>
          <w:noProof/>
        </w:rPr>
        <w:t> </w:t>
      </w:r>
      <w:r w:rsidR="00110A93" w:rsidRPr="006C3201">
        <w:rPr>
          <w:noProof/>
        </w:rPr>
        <w:t>tak</w:t>
      </w:r>
      <w:r w:rsidRPr="006C3201">
        <w:rPr>
          <w:noProof/>
        </w:rPr>
        <w:t>im przypadku wprowadzona liczba uprawnień będzie wynosić 100 mln</w:t>
      </w:r>
      <w:r w:rsidR="00110A93" w:rsidRPr="006C3201">
        <w:rPr>
          <w:noProof/>
        </w:rPr>
        <w:t xml:space="preserve"> i</w:t>
      </w:r>
      <w:r w:rsidR="00110A93">
        <w:rPr>
          <w:noProof/>
        </w:rPr>
        <w:t> </w:t>
      </w:r>
      <w:r w:rsidR="00110A93" w:rsidRPr="006C3201">
        <w:rPr>
          <w:noProof/>
        </w:rPr>
        <w:t>zos</w:t>
      </w:r>
      <w:r w:rsidRPr="006C3201">
        <w:rPr>
          <w:noProof/>
        </w:rPr>
        <w:t>tanie pomniejszona</w:t>
      </w:r>
      <w:r w:rsidR="00110A93" w:rsidRPr="006C3201">
        <w:rPr>
          <w:noProof/>
        </w:rPr>
        <w:t xml:space="preserve"> o</w:t>
      </w:r>
      <w:r w:rsidR="00110A93">
        <w:rPr>
          <w:noProof/>
        </w:rPr>
        <w:t> </w:t>
      </w:r>
      <w:r w:rsidR="00110A93" w:rsidRPr="006C3201">
        <w:rPr>
          <w:noProof/>
        </w:rPr>
        <w:t>dwu</w:t>
      </w:r>
      <w:r w:rsidRPr="006C3201">
        <w:rPr>
          <w:noProof/>
        </w:rPr>
        <w:t>krotność różnicy między TNAC</w:t>
      </w:r>
      <w:r w:rsidR="00110A93" w:rsidRPr="006C3201">
        <w:rPr>
          <w:noProof/>
        </w:rPr>
        <w:t xml:space="preserve"> a</w:t>
      </w:r>
      <w:r w:rsidR="00110A93">
        <w:rPr>
          <w:noProof/>
        </w:rPr>
        <w:t> </w:t>
      </w:r>
      <w:r w:rsidR="00110A93" w:rsidRPr="006C3201">
        <w:rPr>
          <w:noProof/>
        </w:rPr>
        <w:t>pro</w:t>
      </w:r>
      <w:r w:rsidRPr="006C3201">
        <w:rPr>
          <w:noProof/>
        </w:rPr>
        <w:t>giem 210 mln. Wniosek odnosi się do „efektu progu”, który miałby miejsce, gdyby TNAC była bardzo zbliżona do dolnego progu, co decyduje</w:t>
      </w:r>
      <w:r w:rsidR="00110A93" w:rsidRPr="006C3201">
        <w:rPr>
          <w:noProof/>
        </w:rPr>
        <w:t xml:space="preserve"> o</w:t>
      </w:r>
      <w:r w:rsidR="00110A93">
        <w:rPr>
          <w:noProof/>
        </w:rPr>
        <w:t> </w:t>
      </w:r>
      <w:r w:rsidR="00110A93" w:rsidRPr="006C3201">
        <w:rPr>
          <w:noProof/>
        </w:rPr>
        <w:t>wpr</w:t>
      </w:r>
      <w:r w:rsidRPr="006C3201">
        <w:rPr>
          <w:noProof/>
        </w:rPr>
        <w:t>owadzeniu uprawnień</w:t>
      </w:r>
      <w:r w:rsidR="00110A93" w:rsidRPr="006C3201">
        <w:rPr>
          <w:noProof/>
        </w:rPr>
        <w:t xml:space="preserve"> z</w:t>
      </w:r>
      <w:r w:rsidR="00110A93">
        <w:rPr>
          <w:noProof/>
        </w:rPr>
        <w:t> </w:t>
      </w:r>
      <w:r w:rsidR="00110A93" w:rsidRPr="006C3201">
        <w:rPr>
          <w:noProof/>
        </w:rPr>
        <w:t>rez</w:t>
      </w:r>
      <w:r w:rsidRPr="006C3201">
        <w:rPr>
          <w:noProof/>
        </w:rPr>
        <w:t>erwy stabilności rynkowej na rynek</w:t>
      </w:r>
      <w:r w:rsidR="00110A93" w:rsidRPr="006C3201">
        <w:rPr>
          <w:noProof/>
        </w:rPr>
        <w:t>. W</w:t>
      </w:r>
      <w:r w:rsidR="00110A93">
        <w:rPr>
          <w:noProof/>
        </w:rPr>
        <w:t> </w:t>
      </w:r>
      <w:r w:rsidR="00110A93" w:rsidRPr="006C3201">
        <w:rPr>
          <w:noProof/>
        </w:rPr>
        <w:t>tak</w:t>
      </w:r>
      <w:r w:rsidRPr="006C3201">
        <w:rPr>
          <w:noProof/>
        </w:rPr>
        <w:t>im przypadku jedno uprawnienie mniej lub więcej w TNAC może powodować wprowadzenie,</w:t>
      </w:r>
      <w:r w:rsidR="00110A93" w:rsidRPr="006C3201">
        <w:rPr>
          <w:noProof/>
        </w:rPr>
        <w:t xml:space="preserve"> w</w:t>
      </w:r>
      <w:r w:rsidR="00110A93">
        <w:rPr>
          <w:noProof/>
        </w:rPr>
        <w:t> </w:t>
      </w:r>
      <w:r w:rsidR="00110A93" w:rsidRPr="006C3201">
        <w:rPr>
          <w:noProof/>
        </w:rPr>
        <w:t>zal</w:t>
      </w:r>
      <w:r w:rsidRPr="006C3201">
        <w:rPr>
          <w:noProof/>
        </w:rPr>
        <w:t>eżności od tego, czy TNAC jest powyżej czy poniżej progu. Niepewność co do tego, czy tak się stanie, stwarza ryzyko wystąpienia zmienności cen na rynku. Zmiana ta pomaga zapobiegać nagłym</w:t>
      </w:r>
      <w:r w:rsidR="00110A93" w:rsidRPr="006C3201">
        <w:rPr>
          <w:noProof/>
        </w:rPr>
        <w:t xml:space="preserve"> i</w:t>
      </w:r>
      <w:r w:rsidR="00110A93">
        <w:rPr>
          <w:noProof/>
        </w:rPr>
        <w:t> </w:t>
      </w:r>
      <w:r w:rsidR="00110A93" w:rsidRPr="006C3201">
        <w:rPr>
          <w:noProof/>
        </w:rPr>
        <w:t>gwa</w:t>
      </w:r>
      <w:r w:rsidRPr="006C3201">
        <w:rPr>
          <w:noProof/>
        </w:rPr>
        <w:t>łtownym wahaniom podaży na rynku</w:t>
      </w:r>
      <w:r w:rsidR="00110A93" w:rsidRPr="006C3201">
        <w:rPr>
          <w:noProof/>
        </w:rPr>
        <w:t xml:space="preserve"> i</w:t>
      </w:r>
      <w:r w:rsidR="00110A93">
        <w:rPr>
          <w:noProof/>
        </w:rPr>
        <w:t> </w:t>
      </w:r>
      <w:r w:rsidR="00110A93" w:rsidRPr="006C3201">
        <w:rPr>
          <w:noProof/>
        </w:rPr>
        <w:t>zmn</w:t>
      </w:r>
      <w:r w:rsidRPr="006C3201">
        <w:rPr>
          <w:noProof/>
        </w:rPr>
        <w:t>iejszać zmienność cen oraz przyczynia się</w:t>
      </w:r>
      <w:r w:rsidR="00110A93" w:rsidRPr="006C3201">
        <w:rPr>
          <w:noProof/>
        </w:rPr>
        <w:t xml:space="preserve"> w</w:t>
      </w:r>
      <w:r w:rsidR="00110A93">
        <w:rPr>
          <w:noProof/>
        </w:rPr>
        <w:t> </w:t>
      </w:r>
      <w:r w:rsidR="00110A93" w:rsidRPr="006C3201">
        <w:rPr>
          <w:noProof/>
        </w:rPr>
        <w:t>ten</w:t>
      </w:r>
      <w:r w:rsidRPr="006C3201">
        <w:rPr>
          <w:noProof/>
        </w:rPr>
        <w:t xml:space="preserve"> sposób zarówno do zwiększenia stabilności rynku, jak i do utrzymania stabilnego sygnału cenowego na rynku uprawnień do emisji</w:t>
      </w:r>
      <w:r w:rsidR="00110A93" w:rsidRPr="006C3201">
        <w:rPr>
          <w:noProof/>
        </w:rPr>
        <w:t xml:space="preserve"> w</w:t>
      </w:r>
      <w:r w:rsidR="00110A93">
        <w:rPr>
          <w:noProof/>
        </w:rPr>
        <w:t> </w:t>
      </w:r>
      <w:r w:rsidR="00110A93" w:rsidRPr="006C3201">
        <w:rPr>
          <w:noProof/>
        </w:rPr>
        <w:t>ram</w:t>
      </w:r>
      <w:r w:rsidRPr="006C3201">
        <w:rPr>
          <w:noProof/>
        </w:rPr>
        <w:t>ach ETS2.</w:t>
      </w:r>
    </w:p>
    <w:p w14:paraId="6EB54B44" w14:textId="77777777" w:rsidR="00604861" w:rsidRPr="006C3201" w:rsidRDefault="007C5F2A" w:rsidP="0001394D">
      <w:pPr>
        <w:pStyle w:val="Bullet0"/>
        <w:rPr>
          <w:noProof/>
        </w:rPr>
      </w:pPr>
      <w:r w:rsidRPr="006C3201">
        <w:rPr>
          <w:noProof/>
        </w:rPr>
        <w:t>W art. 1 ust. 4 dodano mechanizm zwiększenia liczby uprawnień</w:t>
      </w:r>
      <w:r w:rsidR="00110A93" w:rsidRPr="006C3201">
        <w:rPr>
          <w:noProof/>
        </w:rPr>
        <w:t xml:space="preserve"> o</w:t>
      </w:r>
      <w:r w:rsidR="00110A93">
        <w:rPr>
          <w:noProof/>
        </w:rPr>
        <w:t> </w:t>
      </w:r>
      <w:r w:rsidR="00110A93" w:rsidRPr="006C3201">
        <w:rPr>
          <w:noProof/>
        </w:rPr>
        <w:t>2</w:t>
      </w:r>
      <w:r w:rsidRPr="006C3201">
        <w:rPr>
          <w:noProof/>
        </w:rPr>
        <w:t>0 mln do liczby uprawnień, które mają zostać wprowadzone</w:t>
      </w:r>
      <w:r w:rsidR="00110A93" w:rsidRPr="006C3201">
        <w:rPr>
          <w:noProof/>
        </w:rPr>
        <w:t xml:space="preserve"> w</w:t>
      </w:r>
      <w:r w:rsidR="00110A93">
        <w:rPr>
          <w:noProof/>
        </w:rPr>
        <w:t> </w:t>
      </w:r>
      <w:r w:rsidR="00110A93" w:rsidRPr="006C3201">
        <w:rPr>
          <w:noProof/>
        </w:rPr>
        <w:t>ram</w:t>
      </w:r>
      <w:r w:rsidRPr="006C3201">
        <w:rPr>
          <w:noProof/>
        </w:rPr>
        <w:t>ach mechanizmu kontroli nadmiernych cen przewidzianego</w:t>
      </w:r>
      <w:r w:rsidR="00110A93" w:rsidRPr="006C3201">
        <w:rPr>
          <w:noProof/>
        </w:rPr>
        <w:t xml:space="preserve"> w</w:t>
      </w:r>
      <w:r w:rsidR="00110A93">
        <w:rPr>
          <w:noProof/>
        </w:rPr>
        <w:t> </w:t>
      </w:r>
      <w:r w:rsidR="00110A93" w:rsidRPr="006C3201">
        <w:rPr>
          <w:noProof/>
        </w:rPr>
        <w:t>art</w:t>
      </w:r>
      <w:r w:rsidRPr="006C3201">
        <w:rPr>
          <w:noProof/>
        </w:rPr>
        <w:t>. 30h ust. 2 dyrektywy 2003/87/WE. Ma to na celu dalszą poprawę zdolności reagowania tego mechanizmu na nieuzasadnione wahania cen oraz zwiększenie przewidywalności rynku</w:t>
      </w:r>
      <w:r w:rsidR="00110A93" w:rsidRPr="006C3201">
        <w:rPr>
          <w:noProof/>
        </w:rPr>
        <w:t>. W</w:t>
      </w:r>
      <w:r w:rsidR="00110A93">
        <w:rPr>
          <w:noProof/>
        </w:rPr>
        <w:t> </w:t>
      </w:r>
      <w:r w:rsidR="00110A93" w:rsidRPr="006C3201">
        <w:rPr>
          <w:noProof/>
        </w:rPr>
        <w:t>dyr</w:t>
      </w:r>
      <w:r w:rsidRPr="006C3201">
        <w:rPr>
          <w:noProof/>
        </w:rPr>
        <w:t>ektywie 2003/87/WE przewidziano mechanizm zapewniający stabilność cen</w:t>
      </w:r>
      <w:r w:rsidR="00110A93" w:rsidRPr="006C3201">
        <w:rPr>
          <w:noProof/>
        </w:rPr>
        <w:t xml:space="preserve"> w</w:t>
      </w:r>
      <w:r w:rsidR="00110A93">
        <w:rPr>
          <w:noProof/>
        </w:rPr>
        <w:t> </w:t>
      </w:r>
      <w:r w:rsidR="00110A93" w:rsidRPr="006C3201">
        <w:rPr>
          <w:noProof/>
        </w:rPr>
        <w:t>pie</w:t>
      </w:r>
      <w:r w:rsidRPr="006C3201">
        <w:rPr>
          <w:noProof/>
        </w:rPr>
        <w:t>rwszych latach funkcjonowania ETS2 przez uwolnienie 20 mln uprawnień</w:t>
      </w:r>
      <w:r w:rsidR="00110A93" w:rsidRPr="006C3201">
        <w:rPr>
          <w:noProof/>
        </w:rPr>
        <w:t xml:space="preserve"> z</w:t>
      </w:r>
      <w:r w:rsidR="00110A93">
        <w:rPr>
          <w:noProof/>
        </w:rPr>
        <w:t> </w:t>
      </w:r>
      <w:r w:rsidR="00110A93" w:rsidRPr="006C3201">
        <w:rPr>
          <w:noProof/>
        </w:rPr>
        <w:t>rez</w:t>
      </w:r>
      <w:r w:rsidRPr="006C3201">
        <w:rPr>
          <w:noProof/>
        </w:rPr>
        <w:t>erwy stabilności rynkowej, jeżeli opłata za emisję przekroczy poziom 45 EUR za tonę. Zgodnie</w:t>
      </w:r>
      <w:r w:rsidR="00110A93" w:rsidRPr="006C3201">
        <w:rPr>
          <w:noProof/>
        </w:rPr>
        <w:t xml:space="preserve"> z</w:t>
      </w:r>
      <w:r w:rsidR="00110A93">
        <w:rPr>
          <w:noProof/>
        </w:rPr>
        <w:t> </w:t>
      </w:r>
      <w:r w:rsidR="00110A93" w:rsidRPr="006C3201">
        <w:rPr>
          <w:noProof/>
        </w:rPr>
        <w:t>art</w:t>
      </w:r>
      <w:r w:rsidRPr="006C3201">
        <w:rPr>
          <w:noProof/>
        </w:rPr>
        <w:t>. 30h ust. 7 środek ten można zastosować dwukrotnie</w:t>
      </w:r>
      <w:r w:rsidR="00110A93" w:rsidRPr="006C3201">
        <w:rPr>
          <w:noProof/>
        </w:rPr>
        <w:t xml:space="preserve"> w</w:t>
      </w:r>
      <w:r w:rsidR="00110A93">
        <w:rPr>
          <w:noProof/>
        </w:rPr>
        <w:t> </w:t>
      </w:r>
      <w:r w:rsidR="00110A93" w:rsidRPr="006C3201">
        <w:rPr>
          <w:noProof/>
        </w:rPr>
        <w:t>okr</w:t>
      </w:r>
      <w:r w:rsidRPr="006C3201">
        <w:rPr>
          <w:noProof/>
        </w:rPr>
        <w:t>esie 12 miesięcy. Zmiana ta skutecznie wzmacnia ten mechanizm, gdyż umożliwia uwolnienie większej liczby uprawnień na rynku</w:t>
      </w:r>
      <w:r w:rsidR="00110A93" w:rsidRPr="006C3201">
        <w:rPr>
          <w:noProof/>
        </w:rPr>
        <w:t xml:space="preserve"> w</w:t>
      </w:r>
      <w:r w:rsidR="00110A93">
        <w:rPr>
          <w:noProof/>
        </w:rPr>
        <w:t> </w:t>
      </w:r>
      <w:r w:rsidR="00110A93" w:rsidRPr="006C3201">
        <w:rPr>
          <w:noProof/>
        </w:rPr>
        <w:t>cel</w:t>
      </w:r>
      <w:r w:rsidRPr="006C3201">
        <w:rPr>
          <w:noProof/>
        </w:rPr>
        <w:t>u zwiększenia zaufania do rynku, co jest ważne dla planowania inwestycji</w:t>
      </w:r>
      <w:r w:rsidR="00110A93" w:rsidRPr="006C3201">
        <w:rPr>
          <w:noProof/>
        </w:rPr>
        <w:t xml:space="preserve"> w</w:t>
      </w:r>
      <w:r w:rsidR="00110A93">
        <w:rPr>
          <w:noProof/>
        </w:rPr>
        <w:t> </w:t>
      </w:r>
      <w:r w:rsidR="00110A93" w:rsidRPr="006C3201">
        <w:rPr>
          <w:noProof/>
        </w:rPr>
        <w:t>dek</w:t>
      </w:r>
      <w:r w:rsidRPr="006C3201">
        <w:rPr>
          <w:noProof/>
        </w:rPr>
        <w:t>arbonizację.</w:t>
      </w:r>
    </w:p>
    <w:p w14:paraId="3C156052" w14:textId="77777777" w:rsidR="00604861" w:rsidRPr="006C3201" w:rsidRDefault="00604861">
      <w:pPr>
        <w:pBdr>
          <w:top w:val="nil"/>
          <w:left w:val="nil"/>
          <w:bottom w:val="nil"/>
          <w:right w:val="nil"/>
          <w:between w:val="nil"/>
          <w:bar w:val="nil"/>
        </w:pBdr>
        <w:spacing w:before="0" w:after="240"/>
        <w:rPr>
          <w:noProof/>
        </w:rPr>
      </w:pPr>
    </w:p>
    <w:p w14:paraId="1B1D03EE" w14:textId="77777777" w:rsidR="00604861" w:rsidRPr="006C3201" w:rsidRDefault="00604861">
      <w:pPr>
        <w:rPr>
          <w:noProof/>
        </w:rPr>
        <w:sectPr w:rsidR="00604861" w:rsidRPr="006C3201" w:rsidSect="00F93B7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432C88A5" w14:textId="77777777" w:rsidR="005A7456" w:rsidRDefault="0090025E">
      <w:pPr>
        <w:pStyle w:val="Rfrenceinterinstitutionnelle"/>
        <w:rPr>
          <w:noProof/>
        </w:rPr>
      </w:pPr>
      <w:r>
        <w:rPr>
          <w:noProof/>
        </w:rPr>
        <w:t>2025/0380 (COD)</w:t>
      </w:r>
    </w:p>
    <w:p w14:paraId="1E82EAD9" w14:textId="77777777" w:rsidR="00604861" w:rsidRPr="006C3201" w:rsidRDefault="00110A93" w:rsidP="00110A93">
      <w:pPr>
        <w:pStyle w:val="Statut"/>
        <w:rPr>
          <w:noProof/>
        </w:rPr>
      </w:pPr>
      <w:r w:rsidRPr="00110A93">
        <w:rPr>
          <w:noProof/>
        </w:rPr>
        <w:t>Wniosek</w:t>
      </w:r>
    </w:p>
    <w:p w14:paraId="1F78568F" w14:textId="77777777" w:rsidR="00604861" w:rsidRPr="006C3201" w:rsidRDefault="00110A93" w:rsidP="00110A93">
      <w:pPr>
        <w:pStyle w:val="Typedudocument"/>
        <w:rPr>
          <w:noProof/>
        </w:rPr>
      </w:pPr>
      <w:r w:rsidRPr="00110A93">
        <w:rPr>
          <w:noProof/>
        </w:rPr>
        <w:t>DECYZJA PARLAMENTU EUROPEJSKIEGO I RADY</w:t>
      </w:r>
    </w:p>
    <w:p w14:paraId="669D699D" w14:textId="77777777" w:rsidR="00604861" w:rsidRPr="006C3201" w:rsidRDefault="00110A93" w:rsidP="00110A93">
      <w:pPr>
        <w:pStyle w:val="Titreobjet"/>
        <w:rPr>
          <w:noProof/>
        </w:rPr>
      </w:pPr>
      <w:r w:rsidRPr="00110A93">
        <w:rPr>
          <w:noProof/>
        </w:rPr>
        <w:t>zmieniająca decyzję (UE) 2015/1814 w odniesieniu do rezerwy stabilności rynkowej dla sektora budowlanego, sektora transportu drogowego i sektorów dodatkowych</w:t>
      </w:r>
    </w:p>
    <w:p w14:paraId="3FE998AE" w14:textId="77777777" w:rsidR="00D51000" w:rsidRPr="006C3201" w:rsidRDefault="00110A93" w:rsidP="00110A93">
      <w:pPr>
        <w:pStyle w:val="IntrtEEE"/>
        <w:rPr>
          <w:noProof/>
        </w:rPr>
      </w:pPr>
      <w:r w:rsidRPr="00110A93">
        <w:rPr>
          <w:noProof/>
        </w:rPr>
        <w:t>(Tekst mający znaczenie dla EOG)</w:t>
      </w:r>
    </w:p>
    <w:p w14:paraId="7F933395" w14:textId="77777777" w:rsidR="00604861" w:rsidRPr="006C3201" w:rsidRDefault="00604861">
      <w:pPr>
        <w:pStyle w:val="Institutionquiagit"/>
        <w:rPr>
          <w:noProof/>
        </w:rPr>
      </w:pPr>
      <w:r w:rsidRPr="006C3201">
        <w:rPr>
          <w:noProof/>
        </w:rPr>
        <w:t>PARLAMENT EUROPEJSKI I RADA UNII EUROPEJSKIEJ,</w:t>
      </w:r>
    </w:p>
    <w:p w14:paraId="4D2EDC4E" w14:textId="77777777" w:rsidR="00604861" w:rsidRPr="006C3201" w:rsidRDefault="00604861">
      <w:pPr>
        <w:rPr>
          <w:noProof/>
        </w:rPr>
      </w:pPr>
      <w:r w:rsidRPr="006C3201">
        <w:rPr>
          <w:noProof/>
        </w:rPr>
        <w:t>uwzględniając Traktat</w:t>
      </w:r>
      <w:r w:rsidR="00110A93" w:rsidRPr="006C3201">
        <w:rPr>
          <w:noProof/>
        </w:rPr>
        <w:t xml:space="preserve"> o</w:t>
      </w:r>
      <w:r w:rsidR="00110A93">
        <w:rPr>
          <w:noProof/>
        </w:rPr>
        <w:t> </w:t>
      </w:r>
      <w:r w:rsidR="00110A93" w:rsidRPr="006C3201">
        <w:rPr>
          <w:noProof/>
        </w:rPr>
        <w:t>fun</w:t>
      </w:r>
      <w:r w:rsidRPr="006C3201">
        <w:rPr>
          <w:noProof/>
        </w:rPr>
        <w:t>kcjonowaniu Unii Europejskiej,</w:t>
      </w:r>
      <w:r w:rsidR="00110A93" w:rsidRPr="006C3201">
        <w:rPr>
          <w:noProof/>
        </w:rPr>
        <w:t xml:space="preserve"> w</w:t>
      </w:r>
      <w:r w:rsidR="00110A93">
        <w:rPr>
          <w:noProof/>
        </w:rPr>
        <w:t> </w:t>
      </w:r>
      <w:r w:rsidR="00110A93" w:rsidRPr="006C3201">
        <w:rPr>
          <w:noProof/>
        </w:rPr>
        <w:t>szc</w:t>
      </w:r>
      <w:r w:rsidRPr="006C3201">
        <w:rPr>
          <w:noProof/>
        </w:rPr>
        <w:t xml:space="preserve">zególności jego </w:t>
      </w:r>
      <w:r w:rsidRPr="00110A93">
        <w:rPr>
          <w:noProof/>
        </w:rPr>
        <w:t>art.</w:t>
      </w:r>
      <w:r w:rsidR="00110A93" w:rsidRPr="00110A93">
        <w:rPr>
          <w:noProof/>
        </w:rPr>
        <w:t> </w:t>
      </w:r>
      <w:r w:rsidRPr="00110A93">
        <w:rPr>
          <w:noProof/>
        </w:rPr>
        <w:t>1</w:t>
      </w:r>
      <w:r w:rsidRPr="006C3201">
        <w:rPr>
          <w:noProof/>
        </w:rPr>
        <w:t xml:space="preserve">92 </w:t>
      </w:r>
      <w:r w:rsidRPr="00110A93">
        <w:rPr>
          <w:noProof/>
        </w:rPr>
        <w:t>ust.</w:t>
      </w:r>
      <w:r w:rsidR="00110A93" w:rsidRPr="00110A93">
        <w:rPr>
          <w:noProof/>
        </w:rPr>
        <w:t> </w:t>
      </w:r>
      <w:r w:rsidRPr="00110A93">
        <w:rPr>
          <w:noProof/>
        </w:rPr>
        <w:t>1</w:t>
      </w:r>
      <w:r w:rsidRPr="006C3201">
        <w:rPr>
          <w:noProof/>
        </w:rPr>
        <w:t>,</w:t>
      </w:r>
    </w:p>
    <w:p w14:paraId="19C67BDF" w14:textId="77777777" w:rsidR="00604861" w:rsidRPr="006C3201" w:rsidRDefault="00604861">
      <w:pPr>
        <w:rPr>
          <w:noProof/>
        </w:rPr>
      </w:pPr>
      <w:r w:rsidRPr="006C3201">
        <w:rPr>
          <w:noProof/>
        </w:rPr>
        <w:t>uwzględniając wniosek Komisji Europejskiej,</w:t>
      </w:r>
    </w:p>
    <w:p w14:paraId="6E8AE430" w14:textId="77777777" w:rsidR="00604861" w:rsidRPr="006C3201" w:rsidRDefault="00604861">
      <w:pPr>
        <w:rPr>
          <w:noProof/>
        </w:rPr>
      </w:pPr>
      <w:r w:rsidRPr="006C3201">
        <w:rPr>
          <w:noProof/>
        </w:rPr>
        <w:t>po przekazaniu projektu aktu ustawodawczego parlamentom narodowym,</w:t>
      </w:r>
    </w:p>
    <w:p w14:paraId="6160FEE5" w14:textId="77777777" w:rsidR="00604861" w:rsidRPr="006C3201" w:rsidRDefault="00604861">
      <w:pPr>
        <w:rPr>
          <w:noProof/>
        </w:rPr>
      </w:pPr>
      <w:r w:rsidRPr="006C3201">
        <w:rPr>
          <w:noProof/>
        </w:rPr>
        <w:t>uwzględniając opinię Europejskiego Komitetu Ekonomiczno-Społecznego</w:t>
      </w:r>
      <w:r w:rsidRPr="006C3201">
        <w:rPr>
          <w:rStyle w:val="Odwoanieprzypisudolnego"/>
          <w:noProof/>
        </w:rPr>
        <w:footnoteReference w:id="4"/>
      </w:r>
      <w:r w:rsidRPr="006C3201">
        <w:rPr>
          <w:noProof/>
        </w:rPr>
        <w:t xml:space="preserve">, </w:t>
      </w:r>
    </w:p>
    <w:p w14:paraId="611F81F6" w14:textId="77777777" w:rsidR="00604861" w:rsidRPr="006C3201" w:rsidRDefault="00604861">
      <w:pPr>
        <w:rPr>
          <w:noProof/>
        </w:rPr>
      </w:pPr>
      <w:r w:rsidRPr="006C3201">
        <w:rPr>
          <w:noProof/>
        </w:rPr>
        <w:t>uwzględniając opinię Komitetu Regionów</w:t>
      </w:r>
      <w:r w:rsidRPr="006C3201">
        <w:rPr>
          <w:rStyle w:val="Odwoanieprzypisudolnego"/>
          <w:noProof/>
        </w:rPr>
        <w:footnoteReference w:id="5"/>
      </w:r>
      <w:r w:rsidRPr="006C3201">
        <w:rPr>
          <w:noProof/>
        </w:rPr>
        <w:t xml:space="preserve">, </w:t>
      </w:r>
    </w:p>
    <w:p w14:paraId="10C9B45B" w14:textId="77777777" w:rsidR="00604861" w:rsidRPr="006C3201" w:rsidRDefault="00604861">
      <w:pPr>
        <w:rPr>
          <w:noProof/>
        </w:rPr>
      </w:pPr>
      <w:r w:rsidRPr="006C3201">
        <w:rPr>
          <w:noProof/>
        </w:rPr>
        <w:t>stanowiąc zgodnie ze zwykłą procedurą ustawodawczą,</w:t>
      </w:r>
    </w:p>
    <w:p w14:paraId="2518AF72" w14:textId="77777777" w:rsidR="00604861" w:rsidRPr="006C3201" w:rsidRDefault="00604861">
      <w:pPr>
        <w:rPr>
          <w:noProof/>
        </w:rPr>
      </w:pPr>
      <w:r w:rsidRPr="006C3201">
        <w:rPr>
          <w:noProof/>
        </w:rPr>
        <w:t>a także mając na uwadze, co następuje:</w:t>
      </w:r>
    </w:p>
    <w:p w14:paraId="3F0F7E95" w14:textId="77777777" w:rsidR="00A779A8" w:rsidRPr="006C3201" w:rsidRDefault="00C35A98" w:rsidP="00C35A98">
      <w:pPr>
        <w:pStyle w:val="ManualConsidrant"/>
        <w:rPr>
          <w:noProof/>
        </w:rPr>
      </w:pPr>
      <w:r w:rsidRPr="00C35A98">
        <w:rPr>
          <w:noProof/>
        </w:rPr>
        <w:t>(1)</w:t>
      </w:r>
      <w:r w:rsidRPr="00C35A98">
        <w:rPr>
          <w:noProof/>
        </w:rPr>
        <w:tab/>
      </w:r>
      <w:r w:rsidR="00A779A8" w:rsidRPr="006C3201">
        <w:rPr>
          <w:noProof/>
        </w:rPr>
        <w:t>Porozumienie paryskie, przyjęte</w:t>
      </w:r>
      <w:r w:rsidR="00110A93" w:rsidRPr="006C3201">
        <w:rPr>
          <w:noProof/>
        </w:rPr>
        <w:t xml:space="preserve"> w</w:t>
      </w:r>
      <w:r w:rsidR="00110A93">
        <w:rPr>
          <w:noProof/>
        </w:rPr>
        <w:t> </w:t>
      </w:r>
      <w:r w:rsidR="00110A93" w:rsidRPr="006C3201">
        <w:rPr>
          <w:noProof/>
        </w:rPr>
        <w:t>gru</w:t>
      </w:r>
      <w:r w:rsidR="00A779A8" w:rsidRPr="006C3201">
        <w:rPr>
          <w:noProof/>
        </w:rPr>
        <w:t>dniu 2015 r. na podstawie Ramowej konwencji Narodów Zjednoczonych</w:t>
      </w:r>
      <w:r w:rsidR="00110A93" w:rsidRPr="006C3201">
        <w:rPr>
          <w:noProof/>
        </w:rPr>
        <w:t xml:space="preserve"> w</w:t>
      </w:r>
      <w:r w:rsidR="00110A93">
        <w:rPr>
          <w:noProof/>
        </w:rPr>
        <w:t> </w:t>
      </w:r>
      <w:r w:rsidR="00110A93" w:rsidRPr="006C3201">
        <w:rPr>
          <w:noProof/>
        </w:rPr>
        <w:t>spr</w:t>
      </w:r>
      <w:r w:rsidR="00A779A8" w:rsidRPr="006C3201">
        <w:rPr>
          <w:noProof/>
        </w:rPr>
        <w:t>awie zmian klimatu (UNFCCC), weszło</w:t>
      </w:r>
      <w:r w:rsidR="00110A93" w:rsidRPr="006C3201">
        <w:rPr>
          <w:noProof/>
        </w:rPr>
        <w:t xml:space="preserve"> w</w:t>
      </w:r>
      <w:r w:rsidR="00110A93">
        <w:rPr>
          <w:noProof/>
        </w:rPr>
        <w:t> </w:t>
      </w:r>
      <w:r w:rsidR="00110A93" w:rsidRPr="006C3201">
        <w:rPr>
          <w:noProof/>
        </w:rPr>
        <w:t>życ</w:t>
      </w:r>
      <w:r w:rsidR="00A779A8" w:rsidRPr="006C3201">
        <w:rPr>
          <w:noProof/>
        </w:rPr>
        <w:t>ie</w:t>
      </w:r>
      <w:r w:rsidR="00110A93" w:rsidRPr="006C3201">
        <w:rPr>
          <w:noProof/>
        </w:rPr>
        <w:t xml:space="preserve"> w</w:t>
      </w:r>
      <w:r w:rsidR="00110A93">
        <w:rPr>
          <w:noProof/>
        </w:rPr>
        <w:t> </w:t>
      </w:r>
      <w:r w:rsidR="00110A93" w:rsidRPr="006C3201">
        <w:rPr>
          <w:noProof/>
        </w:rPr>
        <w:t>lis</w:t>
      </w:r>
      <w:r w:rsidR="00A779A8" w:rsidRPr="006C3201">
        <w:rPr>
          <w:noProof/>
        </w:rPr>
        <w:t xml:space="preserve">topadzie 2016 r. („porozumienie paryskie”). Strony porozumienia paryskiego uzgodniły, że ograniczą wzrost średniej temperatury na świecie do poziomu znacznie niższego niż </w:t>
      </w:r>
      <w:r w:rsidR="00A779A8" w:rsidRPr="00110A93">
        <w:rPr>
          <w:noProof/>
        </w:rPr>
        <w:t>2</w:t>
      </w:r>
      <w:r w:rsidR="00110A93" w:rsidRPr="00110A93">
        <w:rPr>
          <w:noProof/>
        </w:rPr>
        <w:t> </w:t>
      </w:r>
      <w:r w:rsidR="00A779A8" w:rsidRPr="00110A93">
        <w:rPr>
          <w:noProof/>
        </w:rPr>
        <w:t>°C</w:t>
      </w:r>
      <w:r w:rsidR="00A779A8" w:rsidRPr="006C3201">
        <w:rPr>
          <w:noProof/>
        </w:rPr>
        <w:t xml:space="preserve"> powyżej poziomu sprzed epoki przemysłowej oraz podejmą wysiłki mające na celu ograniczenie wzrostu temperatury </w:t>
      </w:r>
      <w:r w:rsidR="00A779A8" w:rsidRPr="00110A93">
        <w:rPr>
          <w:noProof/>
        </w:rPr>
        <w:t>do</w:t>
      </w:r>
      <w:r w:rsidR="00110A93" w:rsidRPr="00110A93">
        <w:rPr>
          <w:noProof/>
        </w:rPr>
        <w:t> </w:t>
      </w:r>
      <w:r w:rsidR="00A779A8" w:rsidRPr="00110A93">
        <w:rPr>
          <w:noProof/>
        </w:rPr>
        <w:t>1</w:t>
      </w:r>
      <w:r w:rsidR="00A779A8" w:rsidRPr="006C3201">
        <w:rPr>
          <w:noProof/>
        </w:rPr>
        <w:t>,</w:t>
      </w:r>
      <w:r w:rsidR="00A779A8" w:rsidRPr="00110A93">
        <w:rPr>
          <w:noProof/>
        </w:rPr>
        <w:t>5</w:t>
      </w:r>
      <w:r w:rsidR="00110A93" w:rsidRPr="00110A93">
        <w:rPr>
          <w:noProof/>
        </w:rPr>
        <w:t> </w:t>
      </w:r>
      <w:r w:rsidR="00A779A8" w:rsidRPr="00110A93">
        <w:rPr>
          <w:noProof/>
        </w:rPr>
        <w:t>°C</w:t>
      </w:r>
      <w:r w:rsidR="00A779A8" w:rsidRPr="006C3201">
        <w:rPr>
          <w:noProof/>
        </w:rPr>
        <w:t xml:space="preserve"> powyżej poziomu sprzed epoki przemysłowej.</w:t>
      </w:r>
    </w:p>
    <w:p w14:paraId="5077EF9F" w14:textId="77777777" w:rsidR="00F21621" w:rsidRPr="006C3201" w:rsidRDefault="00C35A98" w:rsidP="00C35A98">
      <w:pPr>
        <w:pStyle w:val="ManualConsidrant"/>
        <w:rPr>
          <w:noProof/>
        </w:rPr>
      </w:pPr>
      <w:r w:rsidRPr="00C35A98">
        <w:rPr>
          <w:noProof/>
        </w:rPr>
        <w:t>(2)</w:t>
      </w:r>
      <w:r w:rsidRPr="00C35A98">
        <w:rPr>
          <w:noProof/>
        </w:rPr>
        <w:tab/>
      </w:r>
      <w:r w:rsidR="00F21621" w:rsidRPr="006C3201">
        <w:rPr>
          <w:noProof/>
        </w:rPr>
        <w:t>Decyzją Parlamentu Europejskiego</w:t>
      </w:r>
      <w:r w:rsidR="00110A93" w:rsidRPr="006C3201">
        <w:rPr>
          <w:noProof/>
        </w:rPr>
        <w:t xml:space="preserve"> i</w:t>
      </w:r>
      <w:r w:rsidR="00110A93">
        <w:rPr>
          <w:noProof/>
        </w:rPr>
        <w:t> </w:t>
      </w:r>
      <w:r w:rsidR="00110A93" w:rsidRPr="006C3201">
        <w:rPr>
          <w:noProof/>
        </w:rPr>
        <w:t>Rad</w:t>
      </w:r>
      <w:r w:rsidR="00F21621" w:rsidRPr="006C3201">
        <w:rPr>
          <w:noProof/>
        </w:rPr>
        <w:t>y (UE) 2015/1814</w:t>
      </w:r>
      <w:r w:rsidR="00F21621" w:rsidRPr="006C3201">
        <w:rPr>
          <w:rStyle w:val="Odwoanieprzypisudolnego"/>
          <w:noProof/>
        </w:rPr>
        <w:footnoteReference w:id="6"/>
      </w:r>
      <w:r w:rsidR="00F21621" w:rsidRPr="006C3201">
        <w:rPr>
          <w:noProof/>
        </w:rPr>
        <w:t xml:space="preserve"> ustanowiono rezerwę stabilności rynkowej</w:t>
      </w:r>
      <w:r w:rsidR="00110A93" w:rsidRPr="006C3201">
        <w:rPr>
          <w:noProof/>
        </w:rPr>
        <w:t xml:space="preserve"> w</w:t>
      </w:r>
      <w:r w:rsidR="00110A93">
        <w:rPr>
          <w:noProof/>
        </w:rPr>
        <w:t> </w:t>
      </w:r>
      <w:r w:rsidR="00110A93" w:rsidRPr="006C3201">
        <w:rPr>
          <w:noProof/>
        </w:rPr>
        <w:t>cel</w:t>
      </w:r>
      <w:r w:rsidR="00F21621" w:rsidRPr="006C3201">
        <w:rPr>
          <w:noProof/>
        </w:rPr>
        <w:t>u zmniejszenia ryzyka nierównowagi podaży</w:t>
      </w:r>
      <w:r w:rsidR="00110A93" w:rsidRPr="006C3201">
        <w:rPr>
          <w:noProof/>
        </w:rPr>
        <w:t xml:space="preserve"> i</w:t>
      </w:r>
      <w:r w:rsidR="00110A93">
        <w:rPr>
          <w:noProof/>
        </w:rPr>
        <w:t> </w:t>
      </w:r>
      <w:r w:rsidR="00110A93" w:rsidRPr="006C3201">
        <w:rPr>
          <w:noProof/>
        </w:rPr>
        <w:t>pop</w:t>
      </w:r>
      <w:r w:rsidR="00F21621" w:rsidRPr="006C3201">
        <w:rPr>
          <w:noProof/>
        </w:rPr>
        <w:t>ytu związanego</w:t>
      </w:r>
      <w:r w:rsidR="00110A93" w:rsidRPr="006C3201">
        <w:rPr>
          <w:noProof/>
        </w:rPr>
        <w:t xml:space="preserve"> z</w:t>
      </w:r>
      <w:r w:rsidR="00110A93">
        <w:rPr>
          <w:noProof/>
        </w:rPr>
        <w:t> </w:t>
      </w:r>
      <w:r w:rsidR="00110A93" w:rsidRPr="006C3201">
        <w:rPr>
          <w:noProof/>
        </w:rPr>
        <w:t>roz</w:t>
      </w:r>
      <w:r w:rsidR="00F21621" w:rsidRPr="006C3201">
        <w:rPr>
          <w:noProof/>
        </w:rPr>
        <w:t>poczęciem handlu uprawnieniami do emisji</w:t>
      </w:r>
      <w:r w:rsidR="00110A93" w:rsidRPr="006C3201">
        <w:rPr>
          <w:noProof/>
        </w:rPr>
        <w:t xml:space="preserve"> w</w:t>
      </w:r>
      <w:r w:rsidR="00110A93">
        <w:rPr>
          <w:noProof/>
        </w:rPr>
        <w:t> </w:t>
      </w:r>
      <w:r w:rsidR="00110A93" w:rsidRPr="006C3201">
        <w:rPr>
          <w:noProof/>
        </w:rPr>
        <w:t>sek</w:t>
      </w:r>
      <w:r w:rsidR="00F21621" w:rsidRPr="006C3201">
        <w:rPr>
          <w:noProof/>
        </w:rPr>
        <w:t>torze budowlanym, sektorze transportu drogowego</w:t>
      </w:r>
      <w:r w:rsidR="00110A93" w:rsidRPr="006C3201">
        <w:rPr>
          <w:noProof/>
        </w:rPr>
        <w:t xml:space="preserve"> i</w:t>
      </w:r>
      <w:r w:rsidR="00110A93">
        <w:rPr>
          <w:noProof/>
        </w:rPr>
        <w:t> </w:t>
      </w:r>
      <w:r w:rsidR="00110A93" w:rsidRPr="006C3201">
        <w:rPr>
          <w:noProof/>
        </w:rPr>
        <w:t>sek</w:t>
      </w:r>
      <w:r w:rsidR="00F21621" w:rsidRPr="006C3201">
        <w:rPr>
          <w:noProof/>
        </w:rPr>
        <w:t>torach dodatkowych,</w:t>
      </w:r>
      <w:r w:rsidR="00110A93" w:rsidRPr="006C3201">
        <w:rPr>
          <w:noProof/>
        </w:rPr>
        <w:t xml:space="preserve"> a</w:t>
      </w:r>
      <w:r w:rsidR="00110A93">
        <w:rPr>
          <w:noProof/>
        </w:rPr>
        <w:t> </w:t>
      </w:r>
      <w:r w:rsidR="00110A93" w:rsidRPr="006C3201">
        <w:rPr>
          <w:noProof/>
        </w:rPr>
        <w:t>tak</w:t>
      </w:r>
      <w:r w:rsidR="00F21621" w:rsidRPr="006C3201">
        <w:rPr>
          <w:noProof/>
        </w:rPr>
        <w:t>że</w:t>
      </w:r>
      <w:r w:rsidR="00110A93" w:rsidRPr="006C3201">
        <w:rPr>
          <w:noProof/>
        </w:rPr>
        <w:t xml:space="preserve"> w</w:t>
      </w:r>
      <w:r w:rsidR="00110A93">
        <w:rPr>
          <w:noProof/>
        </w:rPr>
        <w:t> </w:t>
      </w:r>
      <w:r w:rsidR="00110A93" w:rsidRPr="006C3201">
        <w:rPr>
          <w:noProof/>
        </w:rPr>
        <w:t>cel</w:t>
      </w:r>
      <w:r w:rsidR="00F21621" w:rsidRPr="006C3201">
        <w:rPr>
          <w:noProof/>
        </w:rPr>
        <w:t>u zwiększenia jego odporności na wstrząsy rynkowe.</w:t>
      </w:r>
    </w:p>
    <w:p w14:paraId="24308A45" w14:textId="77777777" w:rsidR="00B30AA3" w:rsidRPr="006C3201" w:rsidRDefault="00C35A98" w:rsidP="00C35A98">
      <w:pPr>
        <w:pStyle w:val="ManualConsidrant"/>
        <w:rPr>
          <w:noProof/>
        </w:rPr>
      </w:pPr>
      <w:r w:rsidRPr="00C35A98">
        <w:rPr>
          <w:noProof/>
        </w:rPr>
        <w:t>(3)</w:t>
      </w:r>
      <w:r w:rsidRPr="00C35A98">
        <w:rPr>
          <w:noProof/>
        </w:rPr>
        <w:tab/>
      </w:r>
      <w:r w:rsidR="00B30AA3" w:rsidRPr="006C3201">
        <w:rPr>
          <w:noProof/>
        </w:rPr>
        <w:t>Przeprowadzona analiza przewidywanego funkcjonowania rezerwy,</w:t>
      </w:r>
      <w:r w:rsidR="00110A93" w:rsidRPr="006C3201">
        <w:rPr>
          <w:noProof/>
        </w:rPr>
        <w:t xml:space="preserve"> z</w:t>
      </w:r>
      <w:r w:rsidR="00110A93">
        <w:rPr>
          <w:noProof/>
        </w:rPr>
        <w:t> </w:t>
      </w:r>
      <w:r w:rsidR="00110A93" w:rsidRPr="006C3201">
        <w:rPr>
          <w:noProof/>
        </w:rPr>
        <w:t>uwz</w:t>
      </w:r>
      <w:r w:rsidR="00B30AA3" w:rsidRPr="006C3201">
        <w:rPr>
          <w:noProof/>
        </w:rPr>
        <w:t>ględnieniem najnowszych informacji, wskazuje, że ukierunkowane zmiany niektórych parametrów przyczyniłyby się do zwiększenia przewidywalności rynku</w:t>
      </w:r>
      <w:r w:rsidR="00110A93" w:rsidRPr="006C3201">
        <w:rPr>
          <w:noProof/>
        </w:rPr>
        <w:t xml:space="preserve"> i</w:t>
      </w:r>
      <w:r w:rsidR="00110A93">
        <w:rPr>
          <w:noProof/>
        </w:rPr>
        <w:t> </w:t>
      </w:r>
      <w:r w:rsidR="00110A93" w:rsidRPr="006C3201">
        <w:rPr>
          <w:noProof/>
        </w:rPr>
        <w:t>sta</w:t>
      </w:r>
      <w:r w:rsidR="00B30AA3" w:rsidRPr="006C3201">
        <w:rPr>
          <w:noProof/>
        </w:rPr>
        <w:t>bilności zmian cen</w:t>
      </w:r>
      <w:r w:rsidR="00110A93" w:rsidRPr="006C3201">
        <w:rPr>
          <w:noProof/>
        </w:rPr>
        <w:t xml:space="preserve"> w</w:t>
      </w:r>
      <w:r w:rsidR="00110A93">
        <w:rPr>
          <w:noProof/>
        </w:rPr>
        <w:t> </w:t>
      </w:r>
      <w:r w:rsidR="00110A93" w:rsidRPr="006C3201">
        <w:rPr>
          <w:noProof/>
        </w:rPr>
        <w:t>pie</w:t>
      </w:r>
      <w:r w:rsidR="00B30AA3" w:rsidRPr="006C3201">
        <w:rPr>
          <w:noProof/>
        </w:rPr>
        <w:t>rwszych latach funkcjonowania nowego systemu.</w:t>
      </w:r>
    </w:p>
    <w:p w14:paraId="753534EE" w14:textId="77777777" w:rsidR="007B495A" w:rsidRPr="006C3201" w:rsidRDefault="00C35A98" w:rsidP="00C35A98">
      <w:pPr>
        <w:pStyle w:val="ManualConsidrant"/>
        <w:rPr>
          <w:noProof/>
        </w:rPr>
      </w:pPr>
      <w:r w:rsidRPr="00C35A98">
        <w:rPr>
          <w:noProof/>
        </w:rPr>
        <w:t>(4)</w:t>
      </w:r>
      <w:r w:rsidRPr="00C35A98">
        <w:rPr>
          <w:noProof/>
        </w:rPr>
        <w:tab/>
      </w:r>
      <w:r w:rsidR="007B495A" w:rsidRPr="006C3201">
        <w:rPr>
          <w:noProof/>
        </w:rPr>
        <w:t>Aby zwiększyć długoterminową przewidywalność rynku, uprawnienia umieszczone</w:t>
      </w:r>
      <w:r w:rsidR="00110A93" w:rsidRPr="006C3201">
        <w:rPr>
          <w:noProof/>
        </w:rPr>
        <w:t xml:space="preserve"> w</w:t>
      </w:r>
      <w:r w:rsidR="00110A93">
        <w:rPr>
          <w:noProof/>
        </w:rPr>
        <w:t> </w:t>
      </w:r>
      <w:r w:rsidR="00110A93" w:rsidRPr="006C3201">
        <w:rPr>
          <w:noProof/>
        </w:rPr>
        <w:t>rez</w:t>
      </w:r>
      <w:r w:rsidR="007B495A" w:rsidRPr="006C3201">
        <w:rPr>
          <w:noProof/>
        </w:rPr>
        <w:t>erwie dla sektora budowlanego, sektora transportu drogowego</w:t>
      </w:r>
      <w:r w:rsidR="00110A93" w:rsidRPr="006C3201">
        <w:rPr>
          <w:noProof/>
        </w:rPr>
        <w:t xml:space="preserve"> i</w:t>
      </w:r>
      <w:r w:rsidR="00110A93">
        <w:rPr>
          <w:noProof/>
        </w:rPr>
        <w:t> </w:t>
      </w:r>
      <w:r w:rsidR="00110A93" w:rsidRPr="006C3201">
        <w:rPr>
          <w:noProof/>
        </w:rPr>
        <w:t>sek</w:t>
      </w:r>
      <w:r w:rsidR="007B495A" w:rsidRPr="006C3201">
        <w:rPr>
          <w:noProof/>
        </w:rPr>
        <w:t>torów dodatkowych, które to uprawnienia nie zostały uwolnione, powinny zachować ważność po dniu 31 grudnia 2030 r.</w:t>
      </w:r>
    </w:p>
    <w:p w14:paraId="153C93B0" w14:textId="77777777" w:rsidR="00F300EC" w:rsidRPr="006C3201" w:rsidRDefault="00C35A98" w:rsidP="00C35A98">
      <w:pPr>
        <w:pStyle w:val="ManualConsidrant"/>
        <w:rPr>
          <w:noProof/>
        </w:rPr>
      </w:pPr>
      <w:r w:rsidRPr="00C35A98">
        <w:rPr>
          <w:noProof/>
        </w:rPr>
        <w:t>(5)</w:t>
      </w:r>
      <w:r w:rsidRPr="00C35A98">
        <w:rPr>
          <w:noProof/>
        </w:rPr>
        <w:tab/>
      </w:r>
      <w:r w:rsidR="00F300EC" w:rsidRPr="006C3201">
        <w:rPr>
          <w:noProof/>
        </w:rPr>
        <w:t>W przypadku gdy łączna liczba uprawnień znajdujących się</w:t>
      </w:r>
      <w:r w:rsidR="00110A93" w:rsidRPr="006C3201">
        <w:rPr>
          <w:noProof/>
        </w:rPr>
        <w:t xml:space="preserve"> w</w:t>
      </w:r>
      <w:r w:rsidR="00110A93">
        <w:rPr>
          <w:noProof/>
        </w:rPr>
        <w:t> </w:t>
      </w:r>
      <w:r w:rsidR="00110A93" w:rsidRPr="006C3201">
        <w:rPr>
          <w:noProof/>
        </w:rPr>
        <w:t>obi</w:t>
      </w:r>
      <w:r w:rsidR="00F300EC" w:rsidRPr="006C3201">
        <w:rPr>
          <w:noProof/>
        </w:rPr>
        <w:t>egu osiągnie poziom poniżej 260 mln uprawnień, bardziej stopniowe</w:t>
      </w:r>
      <w:r w:rsidR="00110A93" w:rsidRPr="006C3201">
        <w:rPr>
          <w:noProof/>
        </w:rPr>
        <w:t xml:space="preserve"> i</w:t>
      </w:r>
      <w:r w:rsidR="00110A93">
        <w:rPr>
          <w:noProof/>
        </w:rPr>
        <w:t> </w:t>
      </w:r>
      <w:r w:rsidR="00110A93" w:rsidRPr="006C3201">
        <w:rPr>
          <w:noProof/>
        </w:rPr>
        <w:t>ela</w:t>
      </w:r>
      <w:r w:rsidR="00F300EC" w:rsidRPr="006C3201">
        <w:rPr>
          <w:noProof/>
        </w:rPr>
        <w:t>styczne uwalnianie uprawnień przyczyniłoby się do dalszej poprawy stabilności</w:t>
      </w:r>
      <w:r w:rsidR="00110A93" w:rsidRPr="006C3201">
        <w:rPr>
          <w:noProof/>
        </w:rPr>
        <w:t xml:space="preserve"> i</w:t>
      </w:r>
      <w:r w:rsidR="00110A93">
        <w:rPr>
          <w:noProof/>
        </w:rPr>
        <w:t> </w:t>
      </w:r>
      <w:r w:rsidR="00110A93" w:rsidRPr="006C3201">
        <w:rPr>
          <w:noProof/>
        </w:rPr>
        <w:t>prz</w:t>
      </w:r>
      <w:r w:rsidR="00F300EC" w:rsidRPr="006C3201">
        <w:rPr>
          <w:noProof/>
        </w:rPr>
        <w:t>ewidywalności rynku dla jego uczestników</w:t>
      </w:r>
      <w:r w:rsidR="00110A93" w:rsidRPr="006C3201">
        <w:rPr>
          <w:noProof/>
        </w:rPr>
        <w:t>. W</w:t>
      </w:r>
      <w:r w:rsidR="00110A93">
        <w:rPr>
          <w:noProof/>
        </w:rPr>
        <w:t> </w:t>
      </w:r>
      <w:r w:rsidR="00110A93" w:rsidRPr="006C3201">
        <w:rPr>
          <w:noProof/>
        </w:rPr>
        <w:t>zwi</w:t>
      </w:r>
      <w:r w:rsidR="00F300EC" w:rsidRPr="006C3201">
        <w:rPr>
          <w:noProof/>
        </w:rPr>
        <w:t>ązku</w:t>
      </w:r>
      <w:r w:rsidR="00110A93" w:rsidRPr="006C3201">
        <w:rPr>
          <w:noProof/>
        </w:rPr>
        <w:t xml:space="preserve"> z</w:t>
      </w:r>
      <w:r w:rsidR="00110A93">
        <w:rPr>
          <w:noProof/>
        </w:rPr>
        <w:t> </w:t>
      </w:r>
      <w:r w:rsidR="00110A93" w:rsidRPr="006C3201">
        <w:rPr>
          <w:noProof/>
        </w:rPr>
        <w:t>tym</w:t>
      </w:r>
      <w:r w:rsidR="00F300EC" w:rsidRPr="006C3201">
        <w:rPr>
          <w:noProof/>
        </w:rPr>
        <w:t xml:space="preserve"> mechanizm wprowadzania uprawnień powinien uwzględniać różnicę między łączną liczbą uprawnień znajdujących się</w:t>
      </w:r>
      <w:r w:rsidR="00110A93" w:rsidRPr="006C3201">
        <w:rPr>
          <w:noProof/>
        </w:rPr>
        <w:t xml:space="preserve"> w</w:t>
      </w:r>
      <w:r w:rsidR="00110A93">
        <w:rPr>
          <w:noProof/>
        </w:rPr>
        <w:t> </w:t>
      </w:r>
      <w:r w:rsidR="00110A93" w:rsidRPr="006C3201">
        <w:rPr>
          <w:noProof/>
        </w:rPr>
        <w:t>obi</w:t>
      </w:r>
      <w:r w:rsidR="00F300EC" w:rsidRPr="006C3201">
        <w:rPr>
          <w:noProof/>
        </w:rPr>
        <w:t>egu</w:t>
      </w:r>
      <w:r w:rsidR="00110A93" w:rsidRPr="006C3201">
        <w:rPr>
          <w:noProof/>
        </w:rPr>
        <w:t xml:space="preserve"> a</w:t>
      </w:r>
      <w:r w:rsidR="00110A93">
        <w:rPr>
          <w:noProof/>
        </w:rPr>
        <w:t> </w:t>
      </w:r>
      <w:r w:rsidR="00110A93" w:rsidRPr="006C3201">
        <w:rPr>
          <w:noProof/>
        </w:rPr>
        <w:t>niż</w:t>
      </w:r>
      <w:r w:rsidR="00F300EC" w:rsidRPr="006C3201">
        <w:rPr>
          <w:noProof/>
        </w:rPr>
        <w:t>szym progiem.</w:t>
      </w:r>
    </w:p>
    <w:p w14:paraId="4FFA78EA" w14:textId="77777777" w:rsidR="000163AE" w:rsidRPr="006C3201" w:rsidRDefault="00C35A98" w:rsidP="00C35A98">
      <w:pPr>
        <w:pStyle w:val="ManualConsidrant"/>
        <w:rPr>
          <w:noProof/>
        </w:rPr>
      </w:pPr>
      <w:r w:rsidRPr="00C35A98">
        <w:rPr>
          <w:noProof/>
        </w:rPr>
        <w:t>(6)</w:t>
      </w:r>
      <w:r w:rsidRPr="00C35A98">
        <w:rPr>
          <w:noProof/>
        </w:rPr>
        <w:tab/>
      </w:r>
      <w:r w:rsidR="000163AE" w:rsidRPr="006C3201">
        <w:rPr>
          <w:noProof/>
        </w:rPr>
        <w:t>W celu dalszej poprawy zdolności reagowania mechanizmu na nieuzasadnione wahania cen</w:t>
      </w:r>
      <w:r w:rsidR="00110A93" w:rsidRPr="006C3201">
        <w:rPr>
          <w:noProof/>
        </w:rPr>
        <w:t xml:space="preserve"> i</w:t>
      </w:r>
      <w:r w:rsidR="00110A93">
        <w:rPr>
          <w:noProof/>
        </w:rPr>
        <w:t> </w:t>
      </w:r>
      <w:r w:rsidR="00110A93" w:rsidRPr="006C3201">
        <w:rPr>
          <w:noProof/>
        </w:rPr>
        <w:t>zwi</w:t>
      </w:r>
      <w:r w:rsidR="000163AE" w:rsidRPr="006C3201">
        <w:rPr>
          <w:noProof/>
        </w:rPr>
        <w:t>ększenia przewidywalności rynku należy ostrożnie wzmocnić mechanizm mający na celu zwiększenie stabilności cen</w:t>
      </w:r>
      <w:r w:rsidR="00110A93" w:rsidRPr="006C3201">
        <w:rPr>
          <w:noProof/>
        </w:rPr>
        <w:t xml:space="preserve"> w</w:t>
      </w:r>
      <w:r w:rsidR="00110A93">
        <w:rPr>
          <w:noProof/>
        </w:rPr>
        <w:t> </w:t>
      </w:r>
      <w:r w:rsidR="00110A93" w:rsidRPr="006C3201">
        <w:rPr>
          <w:noProof/>
        </w:rPr>
        <w:t>pie</w:t>
      </w:r>
      <w:r w:rsidR="000163AE" w:rsidRPr="006C3201">
        <w:rPr>
          <w:noProof/>
        </w:rPr>
        <w:t>rwszych trzech latach funkcjonowania systemu handlu uprawnieniami do emisji</w:t>
      </w:r>
      <w:r w:rsidR="00110A93" w:rsidRPr="006C3201">
        <w:rPr>
          <w:noProof/>
        </w:rPr>
        <w:t xml:space="preserve"> w</w:t>
      </w:r>
      <w:r w:rsidR="00110A93">
        <w:rPr>
          <w:noProof/>
        </w:rPr>
        <w:t> </w:t>
      </w:r>
      <w:r w:rsidR="00110A93" w:rsidRPr="006C3201">
        <w:rPr>
          <w:noProof/>
        </w:rPr>
        <w:t>odn</w:t>
      </w:r>
      <w:r w:rsidR="000163AE" w:rsidRPr="006C3201">
        <w:rPr>
          <w:noProof/>
        </w:rPr>
        <w:t>iesieniu do sektora budowlanego, sektora transportu drogowego</w:t>
      </w:r>
      <w:r w:rsidR="00110A93" w:rsidRPr="006C3201">
        <w:rPr>
          <w:noProof/>
        </w:rPr>
        <w:t xml:space="preserve"> i</w:t>
      </w:r>
      <w:r w:rsidR="00110A93">
        <w:rPr>
          <w:noProof/>
        </w:rPr>
        <w:t> </w:t>
      </w:r>
      <w:r w:rsidR="00110A93" w:rsidRPr="006C3201">
        <w:rPr>
          <w:noProof/>
        </w:rPr>
        <w:t>sek</w:t>
      </w:r>
      <w:r w:rsidR="000163AE" w:rsidRPr="006C3201">
        <w:rPr>
          <w:noProof/>
        </w:rPr>
        <w:t>torów dodatkowych. Mogłoby to wiązać się</w:t>
      </w:r>
      <w:r w:rsidR="00110A93" w:rsidRPr="006C3201">
        <w:rPr>
          <w:noProof/>
        </w:rPr>
        <w:t xml:space="preserve"> z</w:t>
      </w:r>
      <w:r w:rsidR="00110A93">
        <w:rPr>
          <w:noProof/>
        </w:rPr>
        <w:t> </w:t>
      </w:r>
      <w:r w:rsidR="00110A93" w:rsidRPr="006C3201">
        <w:rPr>
          <w:noProof/>
        </w:rPr>
        <w:t>uwo</w:t>
      </w:r>
      <w:r w:rsidR="000163AE" w:rsidRPr="006C3201">
        <w:rPr>
          <w:noProof/>
        </w:rPr>
        <w:t>lnieniem większej liczby uprawnień na rynku. Jeżeli środek jest stosowany dwukrotnie</w:t>
      </w:r>
      <w:r w:rsidR="00110A93" w:rsidRPr="006C3201">
        <w:rPr>
          <w:noProof/>
        </w:rPr>
        <w:t xml:space="preserve"> w</w:t>
      </w:r>
      <w:r w:rsidR="00110A93">
        <w:rPr>
          <w:noProof/>
        </w:rPr>
        <w:t> </w:t>
      </w:r>
      <w:r w:rsidR="00110A93" w:rsidRPr="006C3201">
        <w:rPr>
          <w:noProof/>
        </w:rPr>
        <w:t>tym</w:t>
      </w:r>
      <w:r w:rsidR="000163AE" w:rsidRPr="006C3201">
        <w:rPr>
          <w:noProof/>
        </w:rPr>
        <w:t xml:space="preserve"> samym okresie 12 miesięcy, dodatkowe uwolnienie powinno nastąpić dwukrotnie.</w:t>
      </w:r>
    </w:p>
    <w:p w14:paraId="56FD88C4" w14:textId="77777777" w:rsidR="00604861" w:rsidRPr="006C3201" w:rsidRDefault="00C35A98" w:rsidP="00C35A98">
      <w:pPr>
        <w:pStyle w:val="ManualConsidrant"/>
        <w:rPr>
          <w:noProof/>
        </w:rPr>
      </w:pPr>
      <w:r w:rsidRPr="00C35A98">
        <w:rPr>
          <w:noProof/>
        </w:rPr>
        <w:t>(7)</w:t>
      </w:r>
      <w:r w:rsidRPr="00C35A98">
        <w:rPr>
          <w:noProof/>
        </w:rPr>
        <w:tab/>
      </w:r>
      <w:r w:rsidR="00BC62F2" w:rsidRPr="006C3201">
        <w:rPr>
          <w:noProof/>
        </w:rPr>
        <w:t>Należy zatem odpowiednio zmienić decyzję (UE) 2015/1814,</w:t>
      </w:r>
    </w:p>
    <w:p w14:paraId="5774A649" w14:textId="77777777" w:rsidR="0063096C" w:rsidRPr="006C3201" w:rsidRDefault="0063096C" w:rsidP="0063096C">
      <w:pPr>
        <w:rPr>
          <w:noProof/>
        </w:rPr>
      </w:pPr>
    </w:p>
    <w:p w14:paraId="311C2B9E" w14:textId="77777777" w:rsidR="00604861" w:rsidRPr="006C3201" w:rsidRDefault="00604861">
      <w:pPr>
        <w:pStyle w:val="Formuledadoption"/>
        <w:rPr>
          <w:noProof/>
        </w:rPr>
      </w:pPr>
      <w:r w:rsidRPr="006C3201">
        <w:rPr>
          <w:noProof/>
        </w:rPr>
        <w:t xml:space="preserve">PRZYJMUJĄ NINIEJSZĄ DECYZJĘ: </w:t>
      </w:r>
    </w:p>
    <w:p w14:paraId="20C211DC" w14:textId="77777777" w:rsidR="00604861" w:rsidRPr="006C3201" w:rsidRDefault="00604861">
      <w:pPr>
        <w:pStyle w:val="Titrearticle"/>
        <w:rPr>
          <w:noProof/>
        </w:rPr>
      </w:pPr>
      <w:r w:rsidRPr="006C3201">
        <w:rPr>
          <w:noProof/>
        </w:rPr>
        <w:t>Artykuł 1</w:t>
      </w:r>
    </w:p>
    <w:p w14:paraId="5033E702" w14:textId="77777777" w:rsidR="008513EB" w:rsidRPr="006C3201" w:rsidRDefault="008513EB" w:rsidP="008513EB">
      <w:pPr>
        <w:rPr>
          <w:noProof/>
        </w:rPr>
      </w:pPr>
      <w:r w:rsidRPr="006C3201">
        <w:rPr>
          <w:noProof/>
        </w:rPr>
        <w:t xml:space="preserve">W art. 1a decyzji (UE) 2015/1814 wprowadza się następujące zmiany: </w:t>
      </w:r>
    </w:p>
    <w:p w14:paraId="72321981" w14:textId="77777777" w:rsidR="008E375A" w:rsidRPr="006C3201" w:rsidRDefault="00110A93" w:rsidP="00110A93">
      <w:pPr>
        <w:pStyle w:val="Point0"/>
        <w:rPr>
          <w:noProof/>
        </w:rPr>
      </w:pPr>
      <w:r>
        <w:rPr>
          <w:noProof/>
        </w:rPr>
        <w:t>1)</w:t>
      </w:r>
      <w:r>
        <w:rPr>
          <w:noProof/>
        </w:rPr>
        <w:tab/>
      </w:r>
      <w:r w:rsidR="00985389" w:rsidRPr="006C3201">
        <w:rPr>
          <w:noProof/>
        </w:rPr>
        <w:t>w ust. 3 skreśla się zdanie drugie;</w:t>
      </w:r>
    </w:p>
    <w:p w14:paraId="07096BA5" w14:textId="77777777" w:rsidR="00800909" w:rsidRPr="006C3201" w:rsidRDefault="00110A93" w:rsidP="00110A93">
      <w:pPr>
        <w:pStyle w:val="Point0"/>
        <w:rPr>
          <w:noProof/>
        </w:rPr>
      </w:pPr>
      <w:r>
        <w:rPr>
          <w:noProof/>
        </w:rPr>
        <w:t>2)</w:t>
      </w:r>
      <w:r>
        <w:rPr>
          <w:noProof/>
        </w:rPr>
        <w:tab/>
      </w:r>
      <w:r w:rsidR="00985389" w:rsidRPr="006C3201">
        <w:rPr>
          <w:noProof/>
        </w:rPr>
        <w:t>w ust. 4 zdanie drugie otrzymuje brzmienie: „Łączna liczba uprawnień znajdujących się</w:t>
      </w:r>
      <w:r w:rsidRPr="006C3201">
        <w:rPr>
          <w:noProof/>
        </w:rPr>
        <w:t xml:space="preserve"> w</w:t>
      </w:r>
      <w:r>
        <w:rPr>
          <w:noProof/>
        </w:rPr>
        <w:t> </w:t>
      </w:r>
      <w:r w:rsidRPr="006C3201">
        <w:rPr>
          <w:noProof/>
        </w:rPr>
        <w:t>obi</w:t>
      </w:r>
      <w:r w:rsidR="00985389" w:rsidRPr="006C3201">
        <w:rPr>
          <w:noProof/>
        </w:rPr>
        <w:t>egu zgodnie</w:t>
      </w:r>
      <w:r w:rsidRPr="006C3201">
        <w:rPr>
          <w:noProof/>
        </w:rPr>
        <w:t xml:space="preserve"> z</w:t>
      </w:r>
      <w:r>
        <w:rPr>
          <w:noProof/>
        </w:rPr>
        <w:t> </w:t>
      </w:r>
      <w:r w:rsidRPr="006C3201">
        <w:rPr>
          <w:noProof/>
        </w:rPr>
        <w:t>nin</w:t>
      </w:r>
      <w:r w:rsidR="00985389" w:rsidRPr="006C3201">
        <w:rPr>
          <w:noProof/>
        </w:rPr>
        <w:t>iejszym artykułem</w:t>
      </w:r>
      <w:r w:rsidRPr="006C3201">
        <w:rPr>
          <w:noProof/>
        </w:rPr>
        <w:t xml:space="preserve"> w</w:t>
      </w:r>
      <w:r>
        <w:rPr>
          <w:noProof/>
        </w:rPr>
        <w:t> </w:t>
      </w:r>
      <w:r w:rsidRPr="006C3201">
        <w:rPr>
          <w:noProof/>
        </w:rPr>
        <w:t>dan</w:t>
      </w:r>
      <w:r w:rsidR="00985389" w:rsidRPr="006C3201">
        <w:rPr>
          <w:noProof/>
        </w:rPr>
        <w:t>ym roku odpowiada skumulowanej liczbie wydanych uprawnień objętych tym rozdziałem, po odjęciu skumulowanych ton zweryfikowanych emisji objętych tym rozdziałem</w:t>
      </w:r>
      <w:r w:rsidRPr="006C3201">
        <w:rPr>
          <w:noProof/>
        </w:rPr>
        <w:t xml:space="preserve"> w</w:t>
      </w:r>
      <w:r>
        <w:rPr>
          <w:noProof/>
        </w:rPr>
        <w:t> </w:t>
      </w:r>
      <w:r w:rsidRPr="006C3201">
        <w:rPr>
          <w:noProof/>
        </w:rPr>
        <w:t>okr</w:t>
      </w:r>
      <w:r w:rsidR="00985389" w:rsidRPr="006C3201">
        <w:rPr>
          <w:noProof/>
        </w:rPr>
        <w:t>esie od dnia 1 stycznia [2027 r.] do dnia 31 grudnia tego samego roku oraz wszelkich uprawnień objętych tym rozdziałem anulowanych zgodnie</w:t>
      </w:r>
      <w:r w:rsidRPr="006C3201">
        <w:rPr>
          <w:noProof/>
        </w:rPr>
        <w:t xml:space="preserve"> z</w:t>
      </w:r>
      <w:r>
        <w:rPr>
          <w:noProof/>
        </w:rPr>
        <w:t> </w:t>
      </w:r>
      <w:r w:rsidRPr="006C3201">
        <w:rPr>
          <w:noProof/>
        </w:rPr>
        <w:t>art</w:t>
      </w:r>
      <w:r w:rsidR="00985389" w:rsidRPr="006C3201">
        <w:rPr>
          <w:noProof/>
        </w:rPr>
        <w:t>. 12 ust. 4 dyrektywy 2003/87/WE.”;</w:t>
      </w:r>
    </w:p>
    <w:p w14:paraId="0F733D23" w14:textId="77777777" w:rsidR="00C501B7" w:rsidRPr="006C3201" w:rsidRDefault="00110A93" w:rsidP="00110A93">
      <w:pPr>
        <w:pStyle w:val="Point0"/>
        <w:rPr>
          <w:noProof/>
        </w:rPr>
      </w:pPr>
      <w:r>
        <w:rPr>
          <w:noProof/>
        </w:rPr>
        <w:t>3)</w:t>
      </w:r>
      <w:r>
        <w:rPr>
          <w:noProof/>
        </w:rPr>
        <w:tab/>
      </w:r>
      <w:r w:rsidR="00985389" w:rsidRPr="006C3201">
        <w:rPr>
          <w:noProof/>
        </w:rPr>
        <w:t>w ust. 5 dodaje się akapit</w:t>
      </w:r>
      <w:r w:rsidRPr="006C3201">
        <w:rPr>
          <w:noProof/>
        </w:rPr>
        <w:t xml:space="preserve"> w</w:t>
      </w:r>
      <w:r>
        <w:rPr>
          <w:noProof/>
        </w:rPr>
        <w:t> </w:t>
      </w:r>
      <w:r w:rsidRPr="006C3201">
        <w:rPr>
          <w:noProof/>
        </w:rPr>
        <w:t>brz</w:t>
      </w:r>
      <w:r w:rsidR="00985389" w:rsidRPr="006C3201">
        <w:rPr>
          <w:noProof/>
        </w:rPr>
        <w:t>mieniu: „W danym roku, jeżeli łączna liczba uprawnień znajdujących się</w:t>
      </w:r>
      <w:r w:rsidRPr="006C3201">
        <w:rPr>
          <w:noProof/>
        </w:rPr>
        <w:t xml:space="preserve"> w</w:t>
      </w:r>
      <w:r>
        <w:rPr>
          <w:noProof/>
        </w:rPr>
        <w:t> </w:t>
      </w:r>
      <w:r w:rsidRPr="006C3201">
        <w:rPr>
          <w:noProof/>
        </w:rPr>
        <w:t>obi</w:t>
      </w:r>
      <w:r w:rsidR="00985389" w:rsidRPr="006C3201">
        <w:rPr>
          <w:noProof/>
        </w:rPr>
        <w:t xml:space="preserve">egu wynosi </w:t>
      </w:r>
      <w:r w:rsidR="00985389" w:rsidRPr="00110A93">
        <w:rPr>
          <w:noProof/>
        </w:rPr>
        <w:t>od</w:t>
      </w:r>
      <w:r w:rsidRPr="00110A93">
        <w:rPr>
          <w:noProof/>
        </w:rPr>
        <w:t> </w:t>
      </w:r>
      <w:r w:rsidR="00985389" w:rsidRPr="00110A93">
        <w:rPr>
          <w:noProof/>
        </w:rPr>
        <w:t>2</w:t>
      </w:r>
      <w:r w:rsidR="00985389" w:rsidRPr="006C3201">
        <w:rPr>
          <w:noProof/>
        </w:rPr>
        <w:t xml:space="preserve">10 mln </w:t>
      </w:r>
      <w:r w:rsidR="00985389" w:rsidRPr="00110A93">
        <w:rPr>
          <w:noProof/>
        </w:rPr>
        <w:t>do</w:t>
      </w:r>
      <w:r w:rsidRPr="00110A93">
        <w:rPr>
          <w:noProof/>
        </w:rPr>
        <w:t> </w:t>
      </w:r>
      <w:r w:rsidR="00985389" w:rsidRPr="00110A93">
        <w:rPr>
          <w:noProof/>
        </w:rPr>
        <w:t>2</w:t>
      </w:r>
      <w:r w:rsidR="00985389" w:rsidRPr="006C3201">
        <w:rPr>
          <w:noProof/>
        </w:rPr>
        <w:t>60 mln,</w:t>
      </w:r>
      <w:r w:rsidRPr="006C3201">
        <w:rPr>
          <w:noProof/>
        </w:rPr>
        <w:t xml:space="preserve"> z</w:t>
      </w:r>
      <w:r>
        <w:rPr>
          <w:noProof/>
        </w:rPr>
        <w:t> </w:t>
      </w:r>
      <w:r w:rsidRPr="006C3201">
        <w:rPr>
          <w:noProof/>
        </w:rPr>
        <w:t>rez</w:t>
      </w:r>
      <w:r w:rsidR="00985389" w:rsidRPr="006C3201">
        <w:rPr>
          <w:noProof/>
        </w:rPr>
        <w:t xml:space="preserve">erwy uwalnia się dodatkowe uprawnienia. Dodatkową liczbę uprawnień oblicza się przez odjęcie </w:t>
      </w:r>
      <w:r w:rsidR="00985389" w:rsidRPr="00110A93">
        <w:rPr>
          <w:noProof/>
        </w:rPr>
        <w:t>od</w:t>
      </w:r>
      <w:r w:rsidRPr="00110A93">
        <w:rPr>
          <w:noProof/>
        </w:rPr>
        <w:t> </w:t>
      </w:r>
      <w:r w:rsidR="00985389" w:rsidRPr="00110A93">
        <w:rPr>
          <w:noProof/>
        </w:rPr>
        <w:t>1</w:t>
      </w:r>
      <w:r w:rsidR="00985389" w:rsidRPr="006C3201">
        <w:rPr>
          <w:noProof/>
        </w:rPr>
        <w:t>00 mln dwukrotności różnicy między łączną liczbą uprawnień znajdujących się</w:t>
      </w:r>
      <w:r w:rsidRPr="006C3201">
        <w:rPr>
          <w:noProof/>
        </w:rPr>
        <w:t xml:space="preserve"> w</w:t>
      </w:r>
      <w:r>
        <w:rPr>
          <w:noProof/>
        </w:rPr>
        <w:t> </w:t>
      </w:r>
      <w:r w:rsidRPr="006C3201">
        <w:rPr>
          <w:noProof/>
        </w:rPr>
        <w:t>obi</w:t>
      </w:r>
      <w:r w:rsidR="00985389" w:rsidRPr="006C3201">
        <w:rPr>
          <w:noProof/>
        </w:rPr>
        <w:t>egu</w:t>
      </w:r>
      <w:r w:rsidRPr="006C3201">
        <w:rPr>
          <w:noProof/>
        </w:rPr>
        <w:t xml:space="preserve"> a</w:t>
      </w:r>
      <w:r>
        <w:rPr>
          <w:noProof/>
        </w:rPr>
        <w:t> </w:t>
      </w:r>
      <w:r w:rsidRPr="006C3201">
        <w:rPr>
          <w:noProof/>
        </w:rPr>
        <w:t>2</w:t>
      </w:r>
      <w:r w:rsidR="00985389" w:rsidRPr="006C3201">
        <w:rPr>
          <w:noProof/>
        </w:rPr>
        <w:t>10 mln. Tę dodatkową liczbę dodaje się do liczby uprawnień, które mają być sprzedane na aukcji przez państwa członkowskie zgodnie</w:t>
      </w:r>
      <w:r w:rsidRPr="006C3201">
        <w:rPr>
          <w:noProof/>
        </w:rPr>
        <w:t xml:space="preserve"> z</w:t>
      </w:r>
      <w:r>
        <w:rPr>
          <w:noProof/>
        </w:rPr>
        <w:t> </w:t>
      </w:r>
      <w:r w:rsidRPr="006C3201">
        <w:rPr>
          <w:noProof/>
        </w:rPr>
        <w:t>art</w:t>
      </w:r>
      <w:r w:rsidR="00985389" w:rsidRPr="006C3201">
        <w:rPr>
          <w:noProof/>
        </w:rPr>
        <w:t>. 10 ust. 2 dyrektywy 2003/87/WE, począwszy od dnia 1 września danego roku.”;</w:t>
      </w:r>
    </w:p>
    <w:p w14:paraId="52FD10ED" w14:textId="77777777" w:rsidR="00604861" w:rsidRPr="006C3201" w:rsidRDefault="00110A93" w:rsidP="00110A93">
      <w:pPr>
        <w:pStyle w:val="Point0"/>
        <w:rPr>
          <w:noProof/>
        </w:rPr>
      </w:pPr>
      <w:r>
        <w:rPr>
          <w:noProof/>
        </w:rPr>
        <w:t>4)</w:t>
      </w:r>
      <w:r>
        <w:rPr>
          <w:noProof/>
        </w:rPr>
        <w:tab/>
      </w:r>
      <w:r w:rsidR="00D76C68" w:rsidRPr="006C3201">
        <w:rPr>
          <w:noProof/>
        </w:rPr>
        <w:t>w ust. 7 między zdaniem pierwszym</w:t>
      </w:r>
      <w:r w:rsidRPr="006C3201">
        <w:rPr>
          <w:noProof/>
        </w:rPr>
        <w:t xml:space="preserve"> a</w:t>
      </w:r>
      <w:r>
        <w:rPr>
          <w:noProof/>
        </w:rPr>
        <w:t> </w:t>
      </w:r>
      <w:r w:rsidRPr="006C3201">
        <w:rPr>
          <w:noProof/>
        </w:rPr>
        <w:t>dru</w:t>
      </w:r>
      <w:r w:rsidR="00D76C68" w:rsidRPr="006C3201">
        <w:rPr>
          <w:noProof/>
        </w:rPr>
        <w:t>gim dodaje się zdanie</w:t>
      </w:r>
      <w:r w:rsidRPr="006C3201">
        <w:rPr>
          <w:noProof/>
        </w:rPr>
        <w:t xml:space="preserve"> w</w:t>
      </w:r>
      <w:r>
        <w:rPr>
          <w:noProof/>
        </w:rPr>
        <w:t> </w:t>
      </w:r>
      <w:r w:rsidRPr="006C3201">
        <w:rPr>
          <w:noProof/>
        </w:rPr>
        <w:t>brz</w:t>
      </w:r>
      <w:r w:rsidR="00D76C68" w:rsidRPr="006C3201">
        <w:rPr>
          <w:noProof/>
        </w:rPr>
        <w:t>mieniu: „W przypadku uwolnienia uprawnień</w:t>
      </w:r>
      <w:r w:rsidRPr="006C3201">
        <w:rPr>
          <w:noProof/>
        </w:rPr>
        <w:t xml:space="preserve"> z</w:t>
      </w:r>
      <w:r>
        <w:rPr>
          <w:noProof/>
        </w:rPr>
        <w:t> </w:t>
      </w:r>
      <w:r w:rsidRPr="006C3201">
        <w:rPr>
          <w:noProof/>
        </w:rPr>
        <w:t>rez</w:t>
      </w:r>
      <w:r w:rsidR="00D76C68" w:rsidRPr="006C3201">
        <w:rPr>
          <w:noProof/>
        </w:rPr>
        <w:t>erwy zgodnie</w:t>
      </w:r>
      <w:r w:rsidRPr="006C3201">
        <w:rPr>
          <w:noProof/>
        </w:rPr>
        <w:t xml:space="preserve"> z</w:t>
      </w:r>
      <w:r>
        <w:rPr>
          <w:noProof/>
        </w:rPr>
        <w:t> </w:t>
      </w:r>
      <w:r w:rsidRPr="006C3201">
        <w:rPr>
          <w:noProof/>
        </w:rPr>
        <w:t>art</w:t>
      </w:r>
      <w:r w:rsidR="00D76C68" w:rsidRPr="006C3201">
        <w:rPr>
          <w:noProof/>
        </w:rPr>
        <w:t>. 30h ust. 2 dyrektywy 2003/87/WE do liczby uprawnień, które mają zostać uwolnione</w:t>
      </w:r>
      <w:r w:rsidRPr="006C3201">
        <w:rPr>
          <w:noProof/>
        </w:rPr>
        <w:t xml:space="preserve"> z</w:t>
      </w:r>
      <w:r>
        <w:rPr>
          <w:noProof/>
        </w:rPr>
        <w:t> </w:t>
      </w:r>
      <w:r w:rsidRPr="006C3201">
        <w:rPr>
          <w:noProof/>
        </w:rPr>
        <w:t>rez</w:t>
      </w:r>
      <w:r w:rsidR="00D76C68" w:rsidRPr="006C3201">
        <w:rPr>
          <w:noProof/>
        </w:rPr>
        <w:t xml:space="preserve">erwy, dodaje </w:t>
      </w:r>
      <w:r w:rsidR="00D76C68" w:rsidRPr="00110A93">
        <w:rPr>
          <w:noProof/>
        </w:rPr>
        <w:t>się</w:t>
      </w:r>
      <w:r w:rsidRPr="00110A93">
        <w:rPr>
          <w:noProof/>
        </w:rPr>
        <w:t> </w:t>
      </w:r>
      <w:r w:rsidR="00D76C68" w:rsidRPr="00110A93">
        <w:rPr>
          <w:noProof/>
        </w:rPr>
        <w:t>2</w:t>
      </w:r>
      <w:r w:rsidR="00D76C68" w:rsidRPr="006C3201">
        <w:rPr>
          <w:noProof/>
        </w:rPr>
        <w:t>0 mln dodatkowych uprawnień.”.</w:t>
      </w:r>
    </w:p>
    <w:p w14:paraId="517F2A31" w14:textId="77777777" w:rsidR="00604861" w:rsidRPr="006C3201" w:rsidRDefault="00604861" w:rsidP="00BD7AEF">
      <w:pPr>
        <w:pStyle w:val="Titrearticle"/>
        <w:rPr>
          <w:noProof/>
        </w:rPr>
      </w:pPr>
      <w:r w:rsidRPr="006C3201">
        <w:rPr>
          <w:noProof/>
        </w:rPr>
        <w:t>Artykuł 2</w:t>
      </w:r>
    </w:p>
    <w:p w14:paraId="16826854" w14:textId="77777777" w:rsidR="00604861" w:rsidRPr="006C3201" w:rsidRDefault="00604861">
      <w:pPr>
        <w:keepNext/>
        <w:keepLines/>
        <w:rPr>
          <w:noProof/>
        </w:rPr>
      </w:pPr>
      <w:r w:rsidRPr="006C3201">
        <w:rPr>
          <w:noProof/>
        </w:rPr>
        <w:t>Niniejsza decyzja wchodzi</w:t>
      </w:r>
      <w:r w:rsidR="00110A93" w:rsidRPr="006C3201">
        <w:rPr>
          <w:noProof/>
        </w:rPr>
        <w:t xml:space="preserve"> w</w:t>
      </w:r>
      <w:r w:rsidR="00110A93">
        <w:rPr>
          <w:noProof/>
        </w:rPr>
        <w:t> </w:t>
      </w:r>
      <w:r w:rsidR="00110A93" w:rsidRPr="006C3201">
        <w:rPr>
          <w:noProof/>
        </w:rPr>
        <w:t>życ</w:t>
      </w:r>
      <w:r w:rsidRPr="006C3201">
        <w:rPr>
          <w:noProof/>
        </w:rPr>
        <w:t>ie dwudziestego dnia po jej opublikowaniu</w:t>
      </w:r>
      <w:r w:rsidR="00110A93" w:rsidRPr="006C3201">
        <w:rPr>
          <w:noProof/>
        </w:rPr>
        <w:t xml:space="preserve"> w</w:t>
      </w:r>
      <w:r w:rsidR="00110A93">
        <w:rPr>
          <w:noProof/>
        </w:rPr>
        <w:t> </w:t>
      </w:r>
      <w:r w:rsidR="00110A93" w:rsidRPr="006C3201">
        <w:rPr>
          <w:i/>
          <w:noProof/>
        </w:rPr>
        <w:t>Dzi</w:t>
      </w:r>
      <w:r w:rsidRPr="006C3201">
        <w:rPr>
          <w:i/>
          <w:noProof/>
        </w:rPr>
        <w:t>enniku Urzędowym Unii Europejskiej</w:t>
      </w:r>
      <w:r w:rsidRPr="006C3201">
        <w:rPr>
          <w:noProof/>
        </w:rPr>
        <w:t>.</w:t>
      </w:r>
    </w:p>
    <w:p w14:paraId="23E91FC8" w14:textId="77777777" w:rsidR="00604861" w:rsidRPr="006C3201" w:rsidRDefault="00110A93" w:rsidP="00BD7AEF">
      <w:pPr>
        <w:pStyle w:val="Fait"/>
        <w:rPr>
          <w:noProof/>
        </w:rPr>
      </w:pPr>
      <w:r>
        <w:rPr>
          <w:noProof/>
        </w:rPr>
        <w:t>Sporządzono w Brukseli dnia  r.</w:t>
      </w:r>
    </w:p>
    <w:p w14:paraId="4174F726" w14:textId="77777777" w:rsidR="00604861" w:rsidRPr="006C3201" w:rsidRDefault="00604861" w:rsidP="00BD7AEF">
      <w:pPr>
        <w:pStyle w:val="Institutionquisigne"/>
        <w:rPr>
          <w:noProof/>
        </w:rPr>
      </w:pPr>
      <w:r w:rsidRPr="006C3201">
        <w:rPr>
          <w:noProof/>
        </w:rPr>
        <w:t>W imieniu Parlamentu Europejskiego</w:t>
      </w:r>
      <w:r w:rsidRPr="006C3201">
        <w:rPr>
          <w:noProof/>
        </w:rPr>
        <w:tab/>
        <w:t>W imieniu Rady</w:t>
      </w:r>
    </w:p>
    <w:p w14:paraId="3F3A4F30" w14:textId="77777777" w:rsidR="003C2C11" w:rsidRPr="006C3201" w:rsidRDefault="00604861" w:rsidP="00604861">
      <w:pPr>
        <w:pStyle w:val="Personnequisigne"/>
        <w:rPr>
          <w:noProof/>
        </w:rPr>
      </w:pPr>
      <w:r w:rsidRPr="006C3201">
        <w:rPr>
          <w:noProof/>
        </w:rPr>
        <w:t>Przewodnicząca</w:t>
      </w:r>
      <w:r w:rsidRPr="006C3201">
        <w:rPr>
          <w:noProof/>
        </w:rPr>
        <w:tab/>
        <w:t>Przewodniczący</w:t>
      </w:r>
    </w:p>
    <w:p w14:paraId="3AFCAADF" w14:textId="77777777" w:rsidR="004A4D71" w:rsidRPr="006C3201" w:rsidRDefault="004A4D71">
      <w:pPr>
        <w:spacing w:before="0" w:after="200" w:line="276" w:lineRule="auto"/>
        <w:jc w:val="left"/>
        <w:rPr>
          <w:b/>
          <w:noProof/>
          <w:u w:val="single"/>
        </w:rPr>
      </w:pPr>
      <w:r w:rsidRPr="006C3201">
        <w:rPr>
          <w:noProof/>
        </w:rPr>
        <w:br w:type="page"/>
      </w:r>
    </w:p>
    <w:p w14:paraId="0A33FCF7" w14:textId="77777777" w:rsidR="007F1C3A" w:rsidRPr="006C3201" w:rsidRDefault="007F1C3A" w:rsidP="007F1C3A">
      <w:pPr>
        <w:rPr>
          <w:noProof/>
        </w:rPr>
        <w:sectPr w:rsidR="007F1C3A" w:rsidRPr="006C3201" w:rsidSect="00F93B7D">
          <w:footnotePr>
            <w:numRestart w:val="eachSect"/>
          </w:footnotePr>
          <w:pgSz w:w="11907" w:h="16839"/>
          <w:pgMar w:top="1134" w:right="1417" w:bottom="1134" w:left="1417" w:header="709" w:footer="709" w:gutter="0"/>
          <w:cols w:space="720"/>
          <w:docGrid w:linePitch="360"/>
        </w:sectPr>
      </w:pPr>
    </w:p>
    <w:p w14:paraId="077C3BF1" w14:textId="77777777" w:rsidR="00D048D1" w:rsidRPr="006C3201" w:rsidRDefault="00D048D1" w:rsidP="00D048D1">
      <w:pPr>
        <w:pStyle w:val="Fichefinanciretitre"/>
        <w:keepNext/>
        <w:rPr>
          <w:noProof/>
        </w:rPr>
      </w:pPr>
      <w:r w:rsidRPr="006C3201">
        <w:rPr>
          <w:noProof/>
        </w:rPr>
        <w:t>OCENA SKUTKÓW FINANSOWYCH I CYFROWYCH REGULACJI</w:t>
      </w:r>
    </w:p>
    <w:sdt>
      <w:sdtPr>
        <w:rPr>
          <w:b w:val="0"/>
          <w:noProof/>
          <w:sz w:val="24"/>
          <w:szCs w:val="24"/>
        </w:rPr>
        <w:id w:val="-2060395080"/>
        <w:docPartObj>
          <w:docPartGallery w:val="Table of Contents"/>
          <w:docPartUnique/>
        </w:docPartObj>
      </w:sdtPr>
      <w:sdtEndPr/>
      <w:sdtContent>
        <w:p w14:paraId="44144678" w14:textId="77777777" w:rsidR="00D048D1" w:rsidRPr="006C3201" w:rsidRDefault="00D048D1" w:rsidP="00D048D1">
          <w:pPr>
            <w:pStyle w:val="Nagwekspisutreci"/>
            <w:rPr>
              <w:noProof/>
            </w:rPr>
          </w:pPr>
          <w:r w:rsidRPr="006C3201">
            <w:rPr>
              <w:noProof/>
            </w:rPr>
            <w:t>Spis treści</w:t>
          </w:r>
        </w:p>
        <w:p w14:paraId="58E05317" w14:textId="77777777" w:rsidR="00110A93" w:rsidRDefault="00D048D1">
          <w:pPr>
            <w:pStyle w:val="Spistreci1"/>
            <w:rPr>
              <w:rFonts w:asciiTheme="minorHAnsi" w:eastAsiaTheme="minorEastAsia" w:hAnsiTheme="minorHAnsi" w:cstheme="minorBidi"/>
              <w:noProof/>
              <w:kern w:val="2"/>
              <w:szCs w:val="24"/>
              <w:lang w:val="en-IE" w:eastAsia="en-IE"/>
              <w14:ligatures w14:val="standardContextual"/>
            </w:rPr>
          </w:pPr>
          <w:r w:rsidRPr="006C3201">
            <w:rPr>
              <w:noProof/>
            </w:rPr>
            <w:fldChar w:fldCharType="begin"/>
          </w:r>
          <w:r w:rsidRPr="006C3201">
            <w:rPr>
              <w:noProof/>
            </w:rPr>
            <w:instrText xml:space="preserve"> TOC \o "1-3" \h \z \u </w:instrText>
          </w:r>
          <w:r w:rsidRPr="006C3201">
            <w:rPr>
              <w:noProof/>
            </w:rPr>
            <w:fldChar w:fldCharType="separate"/>
          </w:r>
          <w:hyperlink w:anchor="_Toc214887207" w:history="1">
            <w:r w:rsidR="00110A93" w:rsidRPr="00C54898">
              <w:rPr>
                <w:rStyle w:val="Hipercze"/>
                <w:noProof/>
              </w:rPr>
              <w:t>1.</w:t>
            </w:r>
            <w:r w:rsidR="00110A93">
              <w:rPr>
                <w:rFonts w:asciiTheme="minorHAnsi" w:eastAsiaTheme="minorEastAsia" w:hAnsiTheme="minorHAnsi" w:cstheme="minorBidi"/>
                <w:noProof/>
                <w:kern w:val="2"/>
                <w:szCs w:val="24"/>
                <w:lang w:val="en-IE" w:eastAsia="en-IE"/>
                <w14:ligatures w14:val="standardContextual"/>
              </w:rPr>
              <w:tab/>
            </w:r>
            <w:r w:rsidR="00110A93" w:rsidRPr="00C54898">
              <w:rPr>
                <w:rStyle w:val="Hipercze"/>
                <w:noProof/>
              </w:rPr>
              <w:t>STRUKTURA WNIOSKU/INICJATYWY</w:t>
            </w:r>
            <w:r w:rsidR="00110A93">
              <w:rPr>
                <w:noProof/>
                <w:webHidden/>
              </w:rPr>
              <w:tab/>
            </w:r>
            <w:r w:rsidR="00110A93">
              <w:rPr>
                <w:noProof/>
                <w:webHidden/>
              </w:rPr>
              <w:fldChar w:fldCharType="begin"/>
            </w:r>
            <w:r w:rsidR="00110A93">
              <w:rPr>
                <w:noProof/>
                <w:webHidden/>
              </w:rPr>
              <w:instrText xml:space="preserve"> PAGEREF _Toc214887207 \h </w:instrText>
            </w:r>
            <w:r w:rsidR="00110A93">
              <w:rPr>
                <w:noProof/>
                <w:webHidden/>
              </w:rPr>
            </w:r>
            <w:r w:rsidR="00110A93">
              <w:rPr>
                <w:noProof/>
                <w:webHidden/>
              </w:rPr>
              <w:fldChar w:fldCharType="separate"/>
            </w:r>
            <w:r w:rsidR="00110A93">
              <w:rPr>
                <w:noProof/>
                <w:webHidden/>
              </w:rPr>
              <w:t>4</w:t>
            </w:r>
            <w:r w:rsidR="00110A93">
              <w:rPr>
                <w:noProof/>
                <w:webHidden/>
              </w:rPr>
              <w:fldChar w:fldCharType="end"/>
            </w:r>
          </w:hyperlink>
        </w:p>
        <w:p w14:paraId="30E08FF8"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08" w:history="1">
            <w:r w:rsidRPr="00C54898">
              <w:rPr>
                <w:rStyle w:val="Hipercze"/>
                <w:noProof/>
              </w:rPr>
              <w:t>1.1.</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Tytuł wniosku/inicjatywy</w:t>
            </w:r>
            <w:r>
              <w:rPr>
                <w:noProof/>
                <w:webHidden/>
              </w:rPr>
              <w:tab/>
            </w:r>
            <w:r>
              <w:rPr>
                <w:noProof/>
                <w:webHidden/>
              </w:rPr>
              <w:fldChar w:fldCharType="begin"/>
            </w:r>
            <w:r>
              <w:rPr>
                <w:noProof/>
                <w:webHidden/>
              </w:rPr>
              <w:instrText xml:space="preserve"> PAGEREF _Toc214887208 \h </w:instrText>
            </w:r>
            <w:r>
              <w:rPr>
                <w:noProof/>
                <w:webHidden/>
              </w:rPr>
            </w:r>
            <w:r>
              <w:rPr>
                <w:noProof/>
                <w:webHidden/>
              </w:rPr>
              <w:fldChar w:fldCharType="separate"/>
            </w:r>
            <w:r>
              <w:rPr>
                <w:noProof/>
                <w:webHidden/>
              </w:rPr>
              <w:t>4</w:t>
            </w:r>
            <w:r>
              <w:rPr>
                <w:noProof/>
                <w:webHidden/>
              </w:rPr>
              <w:fldChar w:fldCharType="end"/>
            </w:r>
          </w:hyperlink>
        </w:p>
        <w:p w14:paraId="31FFE52D"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09" w:history="1">
            <w:r w:rsidRPr="00C54898">
              <w:rPr>
                <w:rStyle w:val="Hipercze"/>
                <w:noProof/>
              </w:rPr>
              <w:t>1.2.</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Obszary polityki, których dotyczy wniosek/inicjatywa</w:t>
            </w:r>
            <w:r>
              <w:rPr>
                <w:noProof/>
                <w:webHidden/>
              </w:rPr>
              <w:tab/>
            </w:r>
            <w:r>
              <w:rPr>
                <w:noProof/>
                <w:webHidden/>
              </w:rPr>
              <w:fldChar w:fldCharType="begin"/>
            </w:r>
            <w:r>
              <w:rPr>
                <w:noProof/>
                <w:webHidden/>
              </w:rPr>
              <w:instrText xml:space="preserve"> PAGEREF _Toc214887209 \h </w:instrText>
            </w:r>
            <w:r>
              <w:rPr>
                <w:noProof/>
                <w:webHidden/>
              </w:rPr>
            </w:r>
            <w:r>
              <w:rPr>
                <w:noProof/>
                <w:webHidden/>
              </w:rPr>
              <w:fldChar w:fldCharType="separate"/>
            </w:r>
            <w:r>
              <w:rPr>
                <w:noProof/>
                <w:webHidden/>
              </w:rPr>
              <w:t>4</w:t>
            </w:r>
            <w:r>
              <w:rPr>
                <w:noProof/>
                <w:webHidden/>
              </w:rPr>
              <w:fldChar w:fldCharType="end"/>
            </w:r>
          </w:hyperlink>
        </w:p>
        <w:p w14:paraId="4107BF26"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10" w:history="1">
            <w:r w:rsidRPr="00C54898">
              <w:rPr>
                <w:rStyle w:val="Hipercze"/>
                <w:noProof/>
              </w:rPr>
              <w:t>1.3.</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Cel(e)</w:t>
            </w:r>
            <w:r>
              <w:rPr>
                <w:noProof/>
                <w:webHidden/>
              </w:rPr>
              <w:tab/>
            </w:r>
            <w:r>
              <w:rPr>
                <w:noProof/>
                <w:webHidden/>
              </w:rPr>
              <w:fldChar w:fldCharType="begin"/>
            </w:r>
            <w:r>
              <w:rPr>
                <w:noProof/>
                <w:webHidden/>
              </w:rPr>
              <w:instrText xml:space="preserve"> PAGEREF _Toc214887210 \h </w:instrText>
            </w:r>
            <w:r>
              <w:rPr>
                <w:noProof/>
                <w:webHidden/>
              </w:rPr>
            </w:r>
            <w:r>
              <w:rPr>
                <w:noProof/>
                <w:webHidden/>
              </w:rPr>
              <w:fldChar w:fldCharType="separate"/>
            </w:r>
            <w:r>
              <w:rPr>
                <w:noProof/>
                <w:webHidden/>
              </w:rPr>
              <w:t>4</w:t>
            </w:r>
            <w:r>
              <w:rPr>
                <w:noProof/>
                <w:webHidden/>
              </w:rPr>
              <w:fldChar w:fldCharType="end"/>
            </w:r>
          </w:hyperlink>
        </w:p>
        <w:p w14:paraId="613CD970"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11" w:history="1">
            <w:r w:rsidRPr="00C54898">
              <w:rPr>
                <w:rStyle w:val="Hipercze"/>
                <w:noProof/>
              </w:rPr>
              <w:t>1.3.1.</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Cel(e) ogólny(-e)</w:t>
            </w:r>
            <w:r>
              <w:rPr>
                <w:noProof/>
                <w:webHidden/>
              </w:rPr>
              <w:tab/>
            </w:r>
            <w:r>
              <w:rPr>
                <w:noProof/>
                <w:webHidden/>
              </w:rPr>
              <w:fldChar w:fldCharType="begin"/>
            </w:r>
            <w:r>
              <w:rPr>
                <w:noProof/>
                <w:webHidden/>
              </w:rPr>
              <w:instrText xml:space="preserve"> PAGEREF _Toc214887211 \h </w:instrText>
            </w:r>
            <w:r>
              <w:rPr>
                <w:noProof/>
                <w:webHidden/>
              </w:rPr>
            </w:r>
            <w:r>
              <w:rPr>
                <w:noProof/>
                <w:webHidden/>
              </w:rPr>
              <w:fldChar w:fldCharType="separate"/>
            </w:r>
            <w:r>
              <w:rPr>
                <w:noProof/>
                <w:webHidden/>
              </w:rPr>
              <w:t>4</w:t>
            </w:r>
            <w:r>
              <w:rPr>
                <w:noProof/>
                <w:webHidden/>
              </w:rPr>
              <w:fldChar w:fldCharType="end"/>
            </w:r>
          </w:hyperlink>
        </w:p>
        <w:p w14:paraId="766E8636"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12" w:history="1">
            <w:r w:rsidRPr="00C54898">
              <w:rPr>
                <w:rStyle w:val="Hipercze"/>
                <w:noProof/>
              </w:rPr>
              <w:t>1.3.2.</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Cel(e) szczegółowy(-e)</w:t>
            </w:r>
            <w:r>
              <w:rPr>
                <w:noProof/>
                <w:webHidden/>
              </w:rPr>
              <w:tab/>
            </w:r>
            <w:r>
              <w:rPr>
                <w:noProof/>
                <w:webHidden/>
              </w:rPr>
              <w:fldChar w:fldCharType="begin"/>
            </w:r>
            <w:r>
              <w:rPr>
                <w:noProof/>
                <w:webHidden/>
              </w:rPr>
              <w:instrText xml:space="preserve"> PAGEREF _Toc214887212 \h </w:instrText>
            </w:r>
            <w:r>
              <w:rPr>
                <w:noProof/>
                <w:webHidden/>
              </w:rPr>
            </w:r>
            <w:r>
              <w:rPr>
                <w:noProof/>
                <w:webHidden/>
              </w:rPr>
              <w:fldChar w:fldCharType="separate"/>
            </w:r>
            <w:r>
              <w:rPr>
                <w:noProof/>
                <w:webHidden/>
              </w:rPr>
              <w:t>4</w:t>
            </w:r>
            <w:r>
              <w:rPr>
                <w:noProof/>
                <w:webHidden/>
              </w:rPr>
              <w:fldChar w:fldCharType="end"/>
            </w:r>
          </w:hyperlink>
        </w:p>
        <w:p w14:paraId="091FAE5F"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13" w:history="1">
            <w:r w:rsidRPr="00C54898">
              <w:rPr>
                <w:rStyle w:val="Hipercze"/>
                <w:noProof/>
              </w:rPr>
              <w:t>1.3.3.</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Oczekiwane wyniki i</w:t>
            </w:r>
            <w:r>
              <w:rPr>
                <w:rStyle w:val="Hipercze"/>
                <w:noProof/>
              </w:rPr>
              <w:t> </w:t>
            </w:r>
            <w:r w:rsidRPr="00C54898">
              <w:rPr>
                <w:rStyle w:val="Hipercze"/>
                <w:noProof/>
              </w:rPr>
              <w:t>wpływ</w:t>
            </w:r>
            <w:r>
              <w:rPr>
                <w:noProof/>
                <w:webHidden/>
              </w:rPr>
              <w:tab/>
            </w:r>
            <w:r>
              <w:rPr>
                <w:noProof/>
                <w:webHidden/>
              </w:rPr>
              <w:fldChar w:fldCharType="begin"/>
            </w:r>
            <w:r>
              <w:rPr>
                <w:noProof/>
                <w:webHidden/>
              </w:rPr>
              <w:instrText xml:space="preserve"> PAGEREF _Toc214887213 \h </w:instrText>
            </w:r>
            <w:r>
              <w:rPr>
                <w:noProof/>
                <w:webHidden/>
              </w:rPr>
            </w:r>
            <w:r>
              <w:rPr>
                <w:noProof/>
                <w:webHidden/>
              </w:rPr>
              <w:fldChar w:fldCharType="separate"/>
            </w:r>
            <w:r>
              <w:rPr>
                <w:noProof/>
                <w:webHidden/>
              </w:rPr>
              <w:t>4</w:t>
            </w:r>
            <w:r>
              <w:rPr>
                <w:noProof/>
                <w:webHidden/>
              </w:rPr>
              <w:fldChar w:fldCharType="end"/>
            </w:r>
          </w:hyperlink>
        </w:p>
        <w:p w14:paraId="1F712398"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14" w:history="1">
            <w:r w:rsidRPr="00C54898">
              <w:rPr>
                <w:rStyle w:val="Hipercze"/>
                <w:noProof/>
              </w:rPr>
              <w:t>1.3.4.</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Wskaźniki dotyczące realizacji celów</w:t>
            </w:r>
            <w:r>
              <w:rPr>
                <w:noProof/>
                <w:webHidden/>
              </w:rPr>
              <w:tab/>
            </w:r>
            <w:r>
              <w:rPr>
                <w:noProof/>
                <w:webHidden/>
              </w:rPr>
              <w:fldChar w:fldCharType="begin"/>
            </w:r>
            <w:r>
              <w:rPr>
                <w:noProof/>
                <w:webHidden/>
              </w:rPr>
              <w:instrText xml:space="preserve"> PAGEREF _Toc214887214 \h </w:instrText>
            </w:r>
            <w:r>
              <w:rPr>
                <w:noProof/>
                <w:webHidden/>
              </w:rPr>
            </w:r>
            <w:r>
              <w:rPr>
                <w:noProof/>
                <w:webHidden/>
              </w:rPr>
              <w:fldChar w:fldCharType="separate"/>
            </w:r>
            <w:r>
              <w:rPr>
                <w:noProof/>
                <w:webHidden/>
              </w:rPr>
              <w:t>4</w:t>
            </w:r>
            <w:r>
              <w:rPr>
                <w:noProof/>
                <w:webHidden/>
              </w:rPr>
              <w:fldChar w:fldCharType="end"/>
            </w:r>
          </w:hyperlink>
        </w:p>
        <w:p w14:paraId="526F30B8"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15" w:history="1">
            <w:r w:rsidRPr="00C54898">
              <w:rPr>
                <w:rStyle w:val="Hipercze"/>
                <w:noProof/>
              </w:rPr>
              <w:t>1.4.</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Wniosek/inicjatywa dotyczy:</w:t>
            </w:r>
            <w:r>
              <w:rPr>
                <w:noProof/>
                <w:webHidden/>
              </w:rPr>
              <w:tab/>
            </w:r>
            <w:r>
              <w:rPr>
                <w:noProof/>
                <w:webHidden/>
              </w:rPr>
              <w:fldChar w:fldCharType="begin"/>
            </w:r>
            <w:r>
              <w:rPr>
                <w:noProof/>
                <w:webHidden/>
              </w:rPr>
              <w:instrText xml:space="preserve"> PAGEREF _Toc214887215 \h </w:instrText>
            </w:r>
            <w:r>
              <w:rPr>
                <w:noProof/>
                <w:webHidden/>
              </w:rPr>
            </w:r>
            <w:r>
              <w:rPr>
                <w:noProof/>
                <w:webHidden/>
              </w:rPr>
              <w:fldChar w:fldCharType="separate"/>
            </w:r>
            <w:r>
              <w:rPr>
                <w:noProof/>
                <w:webHidden/>
              </w:rPr>
              <w:t>4</w:t>
            </w:r>
            <w:r>
              <w:rPr>
                <w:noProof/>
                <w:webHidden/>
              </w:rPr>
              <w:fldChar w:fldCharType="end"/>
            </w:r>
          </w:hyperlink>
        </w:p>
        <w:p w14:paraId="0EACED05"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16" w:history="1">
            <w:r w:rsidRPr="00C54898">
              <w:rPr>
                <w:rStyle w:val="Hipercze"/>
                <w:noProof/>
              </w:rPr>
              <w:t>1.5.</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Uzasadnienie wniosku/inicjatywy</w:t>
            </w:r>
            <w:r>
              <w:rPr>
                <w:noProof/>
                <w:webHidden/>
              </w:rPr>
              <w:tab/>
            </w:r>
            <w:r>
              <w:rPr>
                <w:noProof/>
                <w:webHidden/>
              </w:rPr>
              <w:fldChar w:fldCharType="begin"/>
            </w:r>
            <w:r>
              <w:rPr>
                <w:noProof/>
                <w:webHidden/>
              </w:rPr>
              <w:instrText xml:space="preserve"> PAGEREF _Toc214887216 \h </w:instrText>
            </w:r>
            <w:r>
              <w:rPr>
                <w:noProof/>
                <w:webHidden/>
              </w:rPr>
            </w:r>
            <w:r>
              <w:rPr>
                <w:noProof/>
                <w:webHidden/>
              </w:rPr>
              <w:fldChar w:fldCharType="separate"/>
            </w:r>
            <w:r>
              <w:rPr>
                <w:noProof/>
                <w:webHidden/>
              </w:rPr>
              <w:t>5</w:t>
            </w:r>
            <w:r>
              <w:rPr>
                <w:noProof/>
                <w:webHidden/>
              </w:rPr>
              <w:fldChar w:fldCharType="end"/>
            </w:r>
          </w:hyperlink>
        </w:p>
        <w:p w14:paraId="1B0D9B0E"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17" w:history="1">
            <w:r w:rsidRPr="00C54898">
              <w:rPr>
                <w:rStyle w:val="Hipercze"/>
                <w:noProof/>
              </w:rPr>
              <w:t>1.5.1.</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Potrzeby, które należy zaspokoić w</w:t>
            </w:r>
            <w:r>
              <w:rPr>
                <w:rStyle w:val="Hipercze"/>
                <w:noProof/>
              </w:rPr>
              <w:t> </w:t>
            </w:r>
            <w:r w:rsidRPr="00C54898">
              <w:rPr>
                <w:rStyle w:val="Hipercze"/>
                <w:noProof/>
              </w:rPr>
              <w:t>perspektywie krótko- lub długoterminowej, w</w:t>
            </w:r>
            <w:r>
              <w:rPr>
                <w:rStyle w:val="Hipercze"/>
                <w:noProof/>
              </w:rPr>
              <w:t> </w:t>
            </w:r>
            <w:r w:rsidRPr="00C54898">
              <w:rPr>
                <w:rStyle w:val="Hipercze"/>
                <w:noProof/>
              </w:rPr>
              <w:t>tym szczegółowy terminarz przebiegu realizacji inicjatywy</w:t>
            </w:r>
            <w:r>
              <w:rPr>
                <w:noProof/>
                <w:webHidden/>
              </w:rPr>
              <w:tab/>
            </w:r>
            <w:r>
              <w:rPr>
                <w:noProof/>
                <w:webHidden/>
              </w:rPr>
              <w:fldChar w:fldCharType="begin"/>
            </w:r>
            <w:r>
              <w:rPr>
                <w:noProof/>
                <w:webHidden/>
              </w:rPr>
              <w:instrText xml:space="preserve"> PAGEREF _Toc214887217 \h </w:instrText>
            </w:r>
            <w:r>
              <w:rPr>
                <w:noProof/>
                <w:webHidden/>
              </w:rPr>
            </w:r>
            <w:r>
              <w:rPr>
                <w:noProof/>
                <w:webHidden/>
              </w:rPr>
              <w:fldChar w:fldCharType="separate"/>
            </w:r>
            <w:r>
              <w:rPr>
                <w:noProof/>
                <w:webHidden/>
              </w:rPr>
              <w:t>5</w:t>
            </w:r>
            <w:r>
              <w:rPr>
                <w:noProof/>
                <w:webHidden/>
              </w:rPr>
              <w:fldChar w:fldCharType="end"/>
            </w:r>
          </w:hyperlink>
        </w:p>
        <w:p w14:paraId="74023170"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18" w:history="1">
            <w:r w:rsidRPr="00C54898">
              <w:rPr>
                <w:rStyle w:val="Hipercze"/>
                <w:noProof/>
              </w:rPr>
              <w:t>1.5.2.</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Wartość dodana z</w:t>
            </w:r>
            <w:r>
              <w:rPr>
                <w:rStyle w:val="Hipercze"/>
                <w:noProof/>
              </w:rPr>
              <w:t> </w:t>
            </w:r>
            <w:r w:rsidRPr="00C54898">
              <w:rPr>
                <w:rStyle w:val="Hipercze"/>
                <w:noProof/>
              </w:rPr>
              <w:t>tytułu zaangażowania Unii Europejskiej (może wynikać z</w:t>
            </w:r>
            <w:r>
              <w:rPr>
                <w:rStyle w:val="Hipercze"/>
                <w:noProof/>
              </w:rPr>
              <w:t> </w:t>
            </w:r>
            <w:r w:rsidRPr="00C54898">
              <w:rPr>
                <w:rStyle w:val="Hipercze"/>
                <w:noProof/>
              </w:rPr>
              <w:t>różnych czynników, na przykład korzyści koordynacyjnych, pewności prawa, większej efektywności lub komplementarności). Na potrzeby tej sekcji „wartość dodaną z</w:t>
            </w:r>
            <w:r>
              <w:rPr>
                <w:rStyle w:val="Hipercze"/>
                <w:noProof/>
              </w:rPr>
              <w:t> </w:t>
            </w:r>
            <w:r w:rsidRPr="00C54898">
              <w:rPr>
                <w:rStyle w:val="Hipercze"/>
                <w:noProof/>
              </w:rPr>
              <w:t>tytułu zaangażowania Unii Europejskiej” należy rozumieć jako wartość wynikającą z</w:t>
            </w:r>
            <w:r>
              <w:rPr>
                <w:rStyle w:val="Hipercze"/>
                <w:noProof/>
              </w:rPr>
              <w:t> </w:t>
            </w:r>
            <w:r w:rsidRPr="00C54898">
              <w:rPr>
                <w:rStyle w:val="Hipercze"/>
                <w:noProof/>
              </w:rPr>
              <w:t>unijnej interwencji, wykraczającą poza wartość, która zostałaby wytworzona przez same państwa członkowskie.</w:t>
            </w:r>
            <w:r>
              <w:rPr>
                <w:noProof/>
                <w:webHidden/>
              </w:rPr>
              <w:tab/>
            </w:r>
            <w:r>
              <w:rPr>
                <w:noProof/>
                <w:webHidden/>
              </w:rPr>
              <w:fldChar w:fldCharType="begin"/>
            </w:r>
            <w:r>
              <w:rPr>
                <w:noProof/>
                <w:webHidden/>
              </w:rPr>
              <w:instrText xml:space="preserve"> PAGEREF _Toc214887218 \h </w:instrText>
            </w:r>
            <w:r>
              <w:rPr>
                <w:noProof/>
                <w:webHidden/>
              </w:rPr>
            </w:r>
            <w:r>
              <w:rPr>
                <w:noProof/>
                <w:webHidden/>
              </w:rPr>
              <w:fldChar w:fldCharType="separate"/>
            </w:r>
            <w:r>
              <w:rPr>
                <w:noProof/>
                <w:webHidden/>
              </w:rPr>
              <w:t>5</w:t>
            </w:r>
            <w:r>
              <w:rPr>
                <w:noProof/>
                <w:webHidden/>
              </w:rPr>
              <w:fldChar w:fldCharType="end"/>
            </w:r>
          </w:hyperlink>
        </w:p>
        <w:p w14:paraId="132F8F39"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19" w:history="1">
            <w:r w:rsidRPr="00C54898">
              <w:rPr>
                <w:rStyle w:val="Hipercze"/>
                <w:noProof/>
              </w:rPr>
              <w:t>1.5.3.</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Główne wnioski wyciągnięte z</w:t>
            </w:r>
            <w:r>
              <w:rPr>
                <w:rStyle w:val="Hipercze"/>
                <w:noProof/>
              </w:rPr>
              <w:t> </w:t>
            </w:r>
            <w:r w:rsidRPr="00C54898">
              <w:rPr>
                <w:rStyle w:val="Hipercze"/>
                <w:noProof/>
              </w:rPr>
              <w:t>podobnych działań</w:t>
            </w:r>
            <w:r>
              <w:rPr>
                <w:noProof/>
                <w:webHidden/>
              </w:rPr>
              <w:tab/>
            </w:r>
            <w:r>
              <w:rPr>
                <w:noProof/>
                <w:webHidden/>
              </w:rPr>
              <w:fldChar w:fldCharType="begin"/>
            </w:r>
            <w:r>
              <w:rPr>
                <w:noProof/>
                <w:webHidden/>
              </w:rPr>
              <w:instrText xml:space="preserve"> PAGEREF _Toc214887219 \h </w:instrText>
            </w:r>
            <w:r>
              <w:rPr>
                <w:noProof/>
                <w:webHidden/>
              </w:rPr>
            </w:r>
            <w:r>
              <w:rPr>
                <w:noProof/>
                <w:webHidden/>
              </w:rPr>
              <w:fldChar w:fldCharType="separate"/>
            </w:r>
            <w:r>
              <w:rPr>
                <w:noProof/>
                <w:webHidden/>
              </w:rPr>
              <w:t>5</w:t>
            </w:r>
            <w:r>
              <w:rPr>
                <w:noProof/>
                <w:webHidden/>
              </w:rPr>
              <w:fldChar w:fldCharType="end"/>
            </w:r>
          </w:hyperlink>
        </w:p>
        <w:p w14:paraId="22964929"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20" w:history="1">
            <w:r w:rsidRPr="00C54898">
              <w:rPr>
                <w:rStyle w:val="Hipercze"/>
                <w:noProof/>
              </w:rPr>
              <w:t>1.5.4.</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Spójność z</w:t>
            </w:r>
            <w:r>
              <w:rPr>
                <w:rStyle w:val="Hipercze"/>
                <w:noProof/>
              </w:rPr>
              <w:t> </w:t>
            </w:r>
            <w:r w:rsidRPr="00C54898">
              <w:rPr>
                <w:rStyle w:val="Hipercze"/>
                <w:noProof/>
              </w:rPr>
              <w:t>wieloletnimi ramami finansowymi oraz możliwa synergia z</w:t>
            </w:r>
            <w:r>
              <w:rPr>
                <w:rStyle w:val="Hipercze"/>
                <w:noProof/>
              </w:rPr>
              <w:t> </w:t>
            </w:r>
            <w:r w:rsidRPr="00C54898">
              <w:rPr>
                <w:rStyle w:val="Hipercze"/>
                <w:noProof/>
              </w:rPr>
              <w:t>innymi właściwymi instrumentami</w:t>
            </w:r>
            <w:r>
              <w:rPr>
                <w:noProof/>
                <w:webHidden/>
              </w:rPr>
              <w:tab/>
            </w:r>
            <w:r>
              <w:rPr>
                <w:noProof/>
                <w:webHidden/>
              </w:rPr>
              <w:fldChar w:fldCharType="begin"/>
            </w:r>
            <w:r>
              <w:rPr>
                <w:noProof/>
                <w:webHidden/>
              </w:rPr>
              <w:instrText xml:space="preserve"> PAGEREF _Toc214887220 \h </w:instrText>
            </w:r>
            <w:r>
              <w:rPr>
                <w:noProof/>
                <w:webHidden/>
              </w:rPr>
            </w:r>
            <w:r>
              <w:rPr>
                <w:noProof/>
                <w:webHidden/>
              </w:rPr>
              <w:fldChar w:fldCharType="separate"/>
            </w:r>
            <w:r>
              <w:rPr>
                <w:noProof/>
                <w:webHidden/>
              </w:rPr>
              <w:t>5</w:t>
            </w:r>
            <w:r>
              <w:rPr>
                <w:noProof/>
                <w:webHidden/>
              </w:rPr>
              <w:fldChar w:fldCharType="end"/>
            </w:r>
          </w:hyperlink>
        </w:p>
        <w:p w14:paraId="7A81805C"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21" w:history="1">
            <w:r w:rsidRPr="00C54898">
              <w:rPr>
                <w:rStyle w:val="Hipercze"/>
                <w:noProof/>
              </w:rPr>
              <w:t>1.5.5.</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Ocena różnych dostępnych możliwości finansowania, w</w:t>
            </w:r>
            <w:r>
              <w:rPr>
                <w:rStyle w:val="Hipercze"/>
                <w:noProof/>
              </w:rPr>
              <w:t> </w:t>
            </w:r>
            <w:r w:rsidRPr="00C54898">
              <w:rPr>
                <w:rStyle w:val="Hipercze"/>
                <w:noProof/>
              </w:rPr>
              <w:t>tym możliwości przegrupowania środków</w:t>
            </w:r>
            <w:r>
              <w:rPr>
                <w:noProof/>
                <w:webHidden/>
              </w:rPr>
              <w:tab/>
            </w:r>
            <w:r>
              <w:rPr>
                <w:noProof/>
                <w:webHidden/>
              </w:rPr>
              <w:fldChar w:fldCharType="begin"/>
            </w:r>
            <w:r>
              <w:rPr>
                <w:noProof/>
                <w:webHidden/>
              </w:rPr>
              <w:instrText xml:space="preserve"> PAGEREF _Toc214887221 \h </w:instrText>
            </w:r>
            <w:r>
              <w:rPr>
                <w:noProof/>
                <w:webHidden/>
              </w:rPr>
            </w:r>
            <w:r>
              <w:rPr>
                <w:noProof/>
                <w:webHidden/>
              </w:rPr>
              <w:fldChar w:fldCharType="separate"/>
            </w:r>
            <w:r>
              <w:rPr>
                <w:noProof/>
                <w:webHidden/>
              </w:rPr>
              <w:t>5</w:t>
            </w:r>
            <w:r>
              <w:rPr>
                <w:noProof/>
                <w:webHidden/>
              </w:rPr>
              <w:fldChar w:fldCharType="end"/>
            </w:r>
          </w:hyperlink>
        </w:p>
        <w:p w14:paraId="55263ACA"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22" w:history="1">
            <w:r w:rsidRPr="00C54898">
              <w:rPr>
                <w:rStyle w:val="Hipercze"/>
                <w:noProof/>
              </w:rPr>
              <w:t>1.6.</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Czas trwania wniosku/inicjatywy i</w:t>
            </w:r>
            <w:r>
              <w:rPr>
                <w:rStyle w:val="Hipercze"/>
                <w:noProof/>
              </w:rPr>
              <w:t> </w:t>
            </w:r>
            <w:r w:rsidRPr="00C54898">
              <w:rPr>
                <w:rStyle w:val="Hipercze"/>
                <w:noProof/>
              </w:rPr>
              <w:t>jego/jej wpływu finansowego</w:t>
            </w:r>
            <w:r>
              <w:rPr>
                <w:noProof/>
                <w:webHidden/>
              </w:rPr>
              <w:tab/>
            </w:r>
            <w:r>
              <w:rPr>
                <w:noProof/>
                <w:webHidden/>
              </w:rPr>
              <w:fldChar w:fldCharType="begin"/>
            </w:r>
            <w:r>
              <w:rPr>
                <w:noProof/>
                <w:webHidden/>
              </w:rPr>
              <w:instrText xml:space="preserve"> PAGEREF _Toc214887222 \h </w:instrText>
            </w:r>
            <w:r>
              <w:rPr>
                <w:noProof/>
                <w:webHidden/>
              </w:rPr>
            </w:r>
            <w:r>
              <w:rPr>
                <w:noProof/>
                <w:webHidden/>
              </w:rPr>
              <w:fldChar w:fldCharType="separate"/>
            </w:r>
            <w:r>
              <w:rPr>
                <w:noProof/>
                <w:webHidden/>
              </w:rPr>
              <w:t>6</w:t>
            </w:r>
            <w:r>
              <w:rPr>
                <w:noProof/>
                <w:webHidden/>
              </w:rPr>
              <w:fldChar w:fldCharType="end"/>
            </w:r>
          </w:hyperlink>
        </w:p>
        <w:p w14:paraId="36AA2A7B"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23" w:history="1">
            <w:r w:rsidRPr="00C54898">
              <w:rPr>
                <w:rStyle w:val="Hipercze"/>
                <w:noProof/>
              </w:rPr>
              <w:t>1.7.</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Planowane metody wykonania budżetu</w:t>
            </w:r>
            <w:r>
              <w:rPr>
                <w:noProof/>
                <w:webHidden/>
              </w:rPr>
              <w:tab/>
            </w:r>
            <w:r>
              <w:rPr>
                <w:noProof/>
                <w:webHidden/>
              </w:rPr>
              <w:fldChar w:fldCharType="begin"/>
            </w:r>
            <w:r>
              <w:rPr>
                <w:noProof/>
                <w:webHidden/>
              </w:rPr>
              <w:instrText xml:space="preserve"> PAGEREF _Toc214887223 \h </w:instrText>
            </w:r>
            <w:r>
              <w:rPr>
                <w:noProof/>
                <w:webHidden/>
              </w:rPr>
            </w:r>
            <w:r>
              <w:rPr>
                <w:noProof/>
                <w:webHidden/>
              </w:rPr>
              <w:fldChar w:fldCharType="separate"/>
            </w:r>
            <w:r>
              <w:rPr>
                <w:noProof/>
                <w:webHidden/>
              </w:rPr>
              <w:t>6</w:t>
            </w:r>
            <w:r>
              <w:rPr>
                <w:noProof/>
                <w:webHidden/>
              </w:rPr>
              <w:fldChar w:fldCharType="end"/>
            </w:r>
          </w:hyperlink>
        </w:p>
        <w:p w14:paraId="392C7505" w14:textId="77777777" w:rsidR="00110A93" w:rsidRDefault="00110A93">
          <w:pPr>
            <w:pStyle w:val="Spistreci1"/>
            <w:rPr>
              <w:rFonts w:asciiTheme="minorHAnsi" w:eastAsiaTheme="minorEastAsia" w:hAnsiTheme="minorHAnsi" w:cstheme="minorBidi"/>
              <w:noProof/>
              <w:kern w:val="2"/>
              <w:szCs w:val="24"/>
              <w:lang w:val="en-IE" w:eastAsia="en-IE"/>
              <w14:ligatures w14:val="standardContextual"/>
            </w:rPr>
          </w:pPr>
          <w:hyperlink w:anchor="_Toc214887224" w:history="1">
            <w:r w:rsidRPr="00C54898">
              <w:rPr>
                <w:rStyle w:val="Hipercze"/>
                <w:noProof/>
              </w:rPr>
              <w:t>2.</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ŚRODKI ZARZĄDZANIA</w:t>
            </w:r>
            <w:r>
              <w:rPr>
                <w:noProof/>
                <w:webHidden/>
              </w:rPr>
              <w:tab/>
            </w:r>
            <w:r>
              <w:rPr>
                <w:noProof/>
                <w:webHidden/>
              </w:rPr>
              <w:fldChar w:fldCharType="begin"/>
            </w:r>
            <w:r>
              <w:rPr>
                <w:noProof/>
                <w:webHidden/>
              </w:rPr>
              <w:instrText xml:space="preserve"> PAGEREF _Toc214887224 \h </w:instrText>
            </w:r>
            <w:r>
              <w:rPr>
                <w:noProof/>
                <w:webHidden/>
              </w:rPr>
            </w:r>
            <w:r>
              <w:rPr>
                <w:noProof/>
                <w:webHidden/>
              </w:rPr>
              <w:fldChar w:fldCharType="separate"/>
            </w:r>
            <w:r>
              <w:rPr>
                <w:noProof/>
                <w:webHidden/>
              </w:rPr>
              <w:t>8</w:t>
            </w:r>
            <w:r>
              <w:rPr>
                <w:noProof/>
                <w:webHidden/>
              </w:rPr>
              <w:fldChar w:fldCharType="end"/>
            </w:r>
          </w:hyperlink>
        </w:p>
        <w:p w14:paraId="79920D77"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25" w:history="1">
            <w:r w:rsidRPr="00C54898">
              <w:rPr>
                <w:rStyle w:val="Hipercze"/>
                <w:noProof/>
              </w:rPr>
              <w:t>2.1.</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Zasady nadzoru i</w:t>
            </w:r>
            <w:r>
              <w:rPr>
                <w:rStyle w:val="Hipercze"/>
                <w:noProof/>
              </w:rPr>
              <w:t> </w:t>
            </w:r>
            <w:r w:rsidRPr="00C54898">
              <w:rPr>
                <w:rStyle w:val="Hipercze"/>
                <w:noProof/>
              </w:rPr>
              <w:t>sprawozdawczości</w:t>
            </w:r>
            <w:r>
              <w:rPr>
                <w:noProof/>
                <w:webHidden/>
              </w:rPr>
              <w:tab/>
            </w:r>
            <w:r>
              <w:rPr>
                <w:noProof/>
                <w:webHidden/>
              </w:rPr>
              <w:fldChar w:fldCharType="begin"/>
            </w:r>
            <w:r>
              <w:rPr>
                <w:noProof/>
                <w:webHidden/>
              </w:rPr>
              <w:instrText xml:space="preserve"> PAGEREF _Toc214887225 \h </w:instrText>
            </w:r>
            <w:r>
              <w:rPr>
                <w:noProof/>
                <w:webHidden/>
              </w:rPr>
            </w:r>
            <w:r>
              <w:rPr>
                <w:noProof/>
                <w:webHidden/>
              </w:rPr>
              <w:fldChar w:fldCharType="separate"/>
            </w:r>
            <w:r>
              <w:rPr>
                <w:noProof/>
                <w:webHidden/>
              </w:rPr>
              <w:t>8</w:t>
            </w:r>
            <w:r>
              <w:rPr>
                <w:noProof/>
                <w:webHidden/>
              </w:rPr>
              <w:fldChar w:fldCharType="end"/>
            </w:r>
          </w:hyperlink>
        </w:p>
        <w:p w14:paraId="731B8776"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26" w:history="1">
            <w:r w:rsidRPr="00C54898">
              <w:rPr>
                <w:rStyle w:val="Hipercze"/>
                <w:noProof/>
              </w:rPr>
              <w:t>2.2.</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System zarządzania i</w:t>
            </w:r>
            <w:r>
              <w:rPr>
                <w:rStyle w:val="Hipercze"/>
                <w:noProof/>
              </w:rPr>
              <w:t> </w:t>
            </w:r>
            <w:r w:rsidRPr="00C54898">
              <w:rPr>
                <w:rStyle w:val="Hipercze"/>
                <w:noProof/>
              </w:rPr>
              <w:t>kontroli</w:t>
            </w:r>
            <w:r>
              <w:rPr>
                <w:noProof/>
                <w:webHidden/>
              </w:rPr>
              <w:tab/>
            </w:r>
            <w:r>
              <w:rPr>
                <w:noProof/>
                <w:webHidden/>
              </w:rPr>
              <w:fldChar w:fldCharType="begin"/>
            </w:r>
            <w:r>
              <w:rPr>
                <w:noProof/>
                <w:webHidden/>
              </w:rPr>
              <w:instrText xml:space="preserve"> PAGEREF _Toc214887226 \h </w:instrText>
            </w:r>
            <w:r>
              <w:rPr>
                <w:noProof/>
                <w:webHidden/>
              </w:rPr>
            </w:r>
            <w:r>
              <w:rPr>
                <w:noProof/>
                <w:webHidden/>
              </w:rPr>
              <w:fldChar w:fldCharType="separate"/>
            </w:r>
            <w:r>
              <w:rPr>
                <w:noProof/>
                <w:webHidden/>
              </w:rPr>
              <w:t>8</w:t>
            </w:r>
            <w:r>
              <w:rPr>
                <w:noProof/>
                <w:webHidden/>
              </w:rPr>
              <w:fldChar w:fldCharType="end"/>
            </w:r>
          </w:hyperlink>
        </w:p>
        <w:p w14:paraId="0228B62D"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27" w:history="1">
            <w:r w:rsidRPr="00C54898">
              <w:rPr>
                <w:rStyle w:val="Hipercze"/>
                <w:noProof/>
              </w:rPr>
              <w:t>2.2.1.</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Uzasadnienie dla proponowanych metod wykonania budżetu, mechanizmów finansowania wykonania, sposobów dokonywania płatności i</w:t>
            </w:r>
            <w:r>
              <w:rPr>
                <w:rStyle w:val="Hipercze"/>
                <w:noProof/>
              </w:rPr>
              <w:t> </w:t>
            </w:r>
            <w:r w:rsidRPr="00C54898">
              <w:rPr>
                <w:rStyle w:val="Hipercze"/>
                <w:noProof/>
              </w:rPr>
              <w:t>strategii kontroli</w:t>
            </w:r>
            <w:r>
              <w:rPr>
                <w:noProof/>
                <w:webHidden/>
              </w:rPr>
              <w:tab/>
            </w:r>
            <w:r>
              <w:rPr>
                <w:noProof/>
                <w:webHidden/>
              </w:rPr>
              <w:fldChar w:fldCharType="begin"/>
            </w:r>
            <w:r>
              <w:rPr>
                <w:noProof/>
                <w:webHidden/>
              </w:rPr>
              <w:instrText xml:space="preserve"> PAGEREF _Toc214887227 \h </w:instrText>
            </w:r>
            <w:r>
              <w:rPr>
                <w:noProof/>
                <w:webHidden/>
              </w:rPr>
            </w:r>
            <w:r>
              <w:rPr>
                <w:noProof/>
                <w:webHidden/>
              </w:rPr>
              <w:fldChar w:fldCharType="separate"/>
            </w:r>
            <w:r>
              <w:rPr>
                <w:noProof/>
                <w:webHidden/>
              </w:rPr>
              <w:t>8</w:t>
            </w:r>
            <w:r>
              <w:rPr>
                <w:noProof/>
                <w:webHidden/>
              </w:rPr>
              <w:fldChar w:fldCharType="end"/>
            </w:r>
          </w:hyperlink>
        </w:p>
        <w:p w14:paraId="6EE19D02"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28" w:history="1">
            <w:r w:rsidRPr="00C54898">
              <w:rPr>
                <w:rStyle w:val="Hipercze"/>
                <w:noProof/>
              </w:rPr>
              <w:t>2.2.2.</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Informacje dotyczące zidentyfikowanego ryzyka i</w:t>
            </w:r>
            <w:r>
              <w:rPr>
                <w:rStyle w:val="Hipercze"/>
                <w:noProof/>
              </w:rPr>
              <w:t> </w:t>
            </w:r>
            <w:r w:rsidRPr="00C54898">
              <w:rPr>
                <w:rStyle w:val="Hipercze"/>
                <w:noProof/>
              </w:rPr>
              <w:t>systemów kontroli wewnętrznej ustanowionych w</w:t>
            </w:r>
            <w:r>
              <w:rPr>
                <w:rStyle w:val="Hipercze"/>
                <w:noProof/>
              </w:rPr>
              <w:t> </w:t>
            </w:r>
            <w:r w:rsidRPr="00C54898">
              <w:rPr>
                <w:rStyle w:val="Hipercze"/>
                <w:noProof/>
              </w:rPr>
              <w:t>celu jego ograniczenia</w:t>
            </w:r>
            <w:r>
              <w:rPr>
                <w:noProof/>
                <w:webHidden/>
              </w:rPr>
              <w:tab/>
            </w:r>
            <w:r>
              <w:rPr>
                <w:noProof/>
                <w:webHidden/>
              </w:rPr>
              <w:fldChar w:fldCharType="begin"/>
            </w:r>
            <w:r>
              <w:rPr>
                <w:noProof/>
                <w:webHidden/>
              </w:rPr>
              <w:instrText xml:space="preserve"> PAGEREF _Toc214887228 \h </w:instrText>
            </w:r>
            <w:r>
              <w:rPr>
                <w:noProof/>
                <w:webHidden/>
              </w:rPr>
            </w:r>
            <w:r>
              <w:rPr>
                <w:noProof/>
                <w:webHidden/>
              </w:rPr>
              <w:fldChar w:fldCharType="separate"/>
            </w:r>
            <w:r>
              <w:rPr>
                <w:noProof/>
                <w:webHidden/>
              </w:rPr>
              <w:t>8</w:t>
            </w:r>
            <w:r>
              <w:rPr>
                <w:noProof/>
                <w:webHidden/>
              </w:rPr>
              <w:fldChar w:fldCharType="end"/>
            </w:r>
          </w:hyperlink>
        </w:p>
        <w:p w14:paraId="60514C90"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29" w:history="1">
            <w:r w:rsidRPr="00C54898">
              <w:rPr>
                <w:rStyle w:val="Hipercze"/>
                <w:noProof/>
              </w:rPr>
              <w:t>2.2.3.</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Oszacowanie i</w:t>
            </w:r>
            <w:r>
              <w:rPr>
                <w:rStyle w:val="Hipercze"/>
                <w:noProof/>
              </w:rPr>
              <w:t> </w:t>
            </w:r>
            <w:r w:rsidRPr="00C54898">
              <w:rPr>
                <w:rStyle w:val="Hipercze"/>
                <w:noProof/>
              </w:rPr>
              <w:t>uzasadnienie efektywności kosztowej kontroli (relacja kosztów kontroli do wartości zarządzanych funduszy powiązanych) oraz ocena prawdopodobnego ryzyka błędu (przy płatności i</w:t>
            </w:r>
            <w:r>
              <w:rPr>
                <w:rStyle w:val="Hipercze"/>
                <w:noProof/>
              </w:rPr>
              <w:t> </w:t>
            </w:r>
            <w:r w:rsidRPr="00C54898">
              <w:rPr>
                <w:rStyle w:val="Hipercze"/>
                <w:noProof/>
              </w:rPr>
              <w:t>przy zamykaniu)</w:t>
            </w:r>
            <w:r>
              <w:rPr>
                <w:noProof/>
                <w:webHidden/>
              </w:rPr>
              <w:tab/>
            </w:r>
            <w:r>
              <w:rPr>
                <w:noProof/>
                <w:webHidden/>
              </w:rPr>
              <w:fldChar w:fldCharType="begin"/>
            </w:r>
            <w:r>
              <w:rPr>
                <w:noProof/>
                <w:webHidden/>
              </w:rPr>
              <w:instrText xml:space="preserve"> PAGEREF _Toc214887229 \h </w:instrText>
            </w:r>
            <w:r>
              <w:rPr>
                <w:noProof/>
                <w:webHidden/>
              </w:rPr>
            </w:r>
            <w:r>
              <w:rPr>
                <w:noProof/>
                <w:webHidden/>
              </w:rPr>
              <w:fldChar w:fldCharType="separate"/>
            </w:r>
            <w:r>
              <w:rPr>
                <w:noProof/>
                <w:webHidden/>
              </w:rPr>
              <w:t>8</w:t>
            </w:r>
            <w:r>
              <w:rPr>
                <w:noProof/>
                <w:webHidden/>
              </w:rPr>
              <w:fldChar w:fldCharType="end"/>
            </w:r>
          </w:hyperlink>
        </w:p>
        <w:p w14:paraId="29F32461"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30" w:history="1">
            <w:r w:rsidRPr="00C54898">
              <w:rPr>
                <w:rStyle w:val="Hipercze"/>
                <w:noProof/>
              </w:rPr>
              <w:t>2.3.</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Środki zapobiegania nadużyciom finansowym i</w:t>
            </w:r>
            <w:r>
              <w:rPr>
                <w:rStyle w:val="Hipercze"/>
                <w:noProof/>
              </w:rPr>
              <w:t> </w:t>
            </w:r>
            <w:r w:rsidRPr="00C54898">
              <w:rPr>
                <w:rStyle w:val="Hipercze"/>
                <w:noProof/>
              </w:rPr>
              <w:t>nieprawidłowościom</w:t>
            </w:r>
            <w:r>
              <w:rPr>
                <w:noProof/>
                <w:webHidden/>
              </w:rPr>
              <w:tab/>
            </w:r>
            <w:r>
              <w:rPr>
                <w:noProof/>
                <w:webHidden/>
              </w:rPr>
              <w:fldChar w:fldCharType="begin"/>
            </w:r>
            <w:r>
              <w:rPr>
                <w:noProof/>
                <w:webHidden/>
              </w:rPr>
              <w:instrText xml:space="preserve"> PAGEREF _Toc214887230 \h </w:instrText>
            </w:r>
            <w:r>
              <w:rPr>
                <w:noProof/>
                <w:webHidden/>
              </w:rPr>
            </w:r>
            <w:r>
              <w:rPr>
                <w:noProof/>
                <w:webHidden/>
              </w:rPr>
              <w:fldChar w:fldCharType="separate"/>
            </w:r>
            <w:r>
              <w:rPr>
                <w:noProof/>
                <w:webHidden/>
              </w:rPr>
              <w:t>8</w:t>
            </w:r>
            <w:r>
              <w:rPr>
                <w:noProof/>
                <w:webHidden/>
              </w:rPr>
              <w:fldChar w:fldCharType="end"/>
            </w:r>
          </w:hyperlink>
        </w:p>
        <w:p w14:paraId="6FC75E93" w14:textId="77777777" w:rsidR="00110A93" w:rsidRDefault="00110A93">
          <w:pPr>
            <w:pStyle w:val="Spistreci1"/>
            <w:rPr>
              <w:rFonts w:asciiTheme="minorHAnsi" w:eastAsiaTheme="minorEastAsia" w:hAnsiTheme="minorHAnsi" w:cstheme="minorBidi"/>
              <w:noProof/>
              <w:kern w:val="2"/>
              <w:szCs w:val="24"/>
              <w:lang w:val="en-IE" w:eastAsia="en-IE"/>
              <w14:ligatures w14:val="standardContextual"/>
            </w:rPr>
          </w:pPr>
          <w:hyperlink w:anchor="_Toc214887231" w:history="1">
            <w:r w:rsidRPr="00C54898">
              <w:rPr>
                <w:rStyle w:val="Hipercze"/>
                <w:noProof/>
              </w:rPr>
              <w:t>3.</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SZACUNKOWY WPŁYW FINANSOWY WNIOSKU/INICJATYWY</w:t>
            </w:r>
            <w:r>
              <w:rPr>
                <w:noProof/>
                <w:webHidden/>
              </w:rPr>
              <w:tab/>
            </w:r>
            <w:r>
              <w:rPr>
                <w:noProof/>
                <w:webHidden/>
              </w:rPr>
              <w:fldChar w:fldCharType="begin"/>
            </w:r>
            <w:r>
              <w:rPr>
                <w:noProof/>
                <w:webHidden/>
              </w:rPr>
              <w:instrText xml:space="preserve"> PAGEREF _Toc214887231 \h </w:instrText>
            </w:r>
            <w:r>
              <w:rPr>
                <w:noProof/>
                <w:webHidden/>
              </w:rPr>
            </w:r>
            <w:r>
              <w:rPr>
                <w:noProof/>
                <w:webHidden/>
              </w:rPr>
              <w:fldChar w:fldCharType="separate"/>
            </w:r>
            <w:r>
              <w:rPr>
                <w:noProof/>
                <w:webHidden/>
              </w:rPr>
              <w:t>9</w:t>
            </w:r>
            <w:r>
              <w:rPr>
                <w:noProof/>
                <w:webHidden/>
              </w:rPr>
              <w:fldChar w:fldCharType="end"/>
            </w:r>
          </w:hyperlink>
        </w:p>
        <w:p w14:paraId="4E84163A"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32" w:history="1">
            <w:r w:rsidRPr="00C54898">
              <w:rPr>
                <w:rStyle w:val="Hipercze"/>
                <w:noProof/>
              </w:rPr>
              <w:t>3.1.</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Działy wieloletnich ram finansowych i</w:t>
            </w:r>
            <w:r>
              <w:rPr>
                <w:rStyle w:val="Hipercze"/>
                <w:noProof/>
              </w:rPr>
              <w:t> </w:t>
            </w:r>
            <w:r w:rsidRPr="00C54898">
              <w:rPr>
                <w:rStyle w:val="Hipercze"/>
                <w:noProof/>
              </w:rPr>
              <w:t>linie budżetowe po stronie wydatków, na które wniosek/inicjatywa ma wpływ</w:t>
            </w:r>
            <w:r>
              <w:rPr>
                <w:noProof/>
                <w:webHidden/>
              </w:rPr>
              <w:tab/>
            </w:r>
            <w:r>
              <w:rPr>
                <w:noProof/>
                <w:webHidden/>
              </w:rPr>
              <w:fldChar w:fldCharType="begin"/>
            </w:r>
            <w:r>
              <w:rPr>
                <w:noProof/>
                <w:webHidden/>
              </w:rPr>
              <w:instrText xml:space="preserve"> PAGEREF _Toc214887232 \h </w:instrText>
            </w:r>
            <w:r>
              <w:rPr>
                <w:noProof/>
                <w:webHidden/>
              </w:rPr>
            </w:r>
            <w:r>
              <w:rPr>
                <w:noProof/>
                <w:webHidden/>
              </w:rPr>
              <w:fldChar w:fldCharType="separate"/>
            </w:r>
            <w:r>
              <w:rPr>
                <w:noProof/>
                <w:webHidden/>
              </w:rPr>
              <w:t>9</w:t>
            </w:r>
            <w:r>
              <w:rPr>
                <w:noProof/>
                <w:webHidden/>
              </w:rPr>
              <w:fldChar w:fldCharType="end"/>
            </w:r>
          </w:hyperlink>
        </w:p>
        <w:p w14:paraId="3C558D68"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33" w:history="1">
            <w:r w:rsidRPr="00C54898">
              <w:rPr>
                <w:rStyle w:val="Hipercze"/>
                <w:noProof/>
              </w:rPr>
              <w:t>3.2.</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Szacunkowy wpływ finansowy wniosku na środki</w:t>
            </w:r>
            <w:r>
              <w:rPr>
                <w:noProof/>
                <w:webHidden/>
              </w:rPr>
              <w:tab/>
            </w:r>
            <w:r>
              <w:rPr>
                <w:noProof/>
                <w:webHidden/>
              </w:rPr>
              <w:fldChar w:fldCharType="begin"/>
            </w:r>
            <w:r>
              <w:rPr>
                <w:noProof/>
                <w:webHidden/>
              </w:rPr>
              <w:instrText xml:space="preserve"> PAGEREF _Toc214887233 \h </w:instrText>
            </w:r>
            <w:r>
              <w:rPr>
                <w:noProof/>
                <w:webHidden/>
              </w:rPr>
            </w:r>
            <w:r>
              <w:rPr>
                <w:noProof/>
                <w:webHidden/>
              </w:rPr>
              <w:fldChar w:fldCharType="separate"/>
            </w:r>
            <w:r>
              <w:rPr>
                <w:noProof/>
                <w:webHidden/>
              </w:rPr>
              <w:t>10</w:t>
            </w:r>
            <w:r>
              <w:rPr>
                <w:noProof/>
                <w:webHidden/>
              </w:rPr>
              <w:fldChar w:fldCharType="end"/>
            </w:r>
          </w:hyperlink>
        </w:p>
        <w:p w14:paraId="391E9C8F"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34" w:history="1">
            <w:r w:rsidRPr="00C54898">
              <w:rPr>
                <w:rStyle w:val="Hipercze"/>
                <w:noProof/>
              </w:rPr>
              <w:t>3.2.1.</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Podsumowanie szacunkowego wpływu na środki operacyjne</w:t>
            </w:r>
            <w:r>
              <w:rPr>
                <w:noProof/>
                <w:webHidden/>
              </w:rPr>
              <w:tab/>
            </w:r>
            <w:r>
              <w:rPr>
                <w:noProof/>
                <w:webHidden/>
              </w:rPr>
              <w:fldChar w:fldCharType="begin"/>
            </w:r>
            <w:r>
              <w:rPr>
                <w:noProof/>
                <w:webHidden/>
              </w:rPr>
              <w:instrText xml:space="preserve"> PAGEREF _Toc214887234 \h </w:instrText>
            </w:r>
            <w:r>
              <w:rPr>
                <w:noProof/>
                <w:webHidden/>
              </w:rPr>
            </w:r>
            <w:r>
              <w:rPr>
                <w:noProof/>
                <w:webHidden/>
              </w:rPr>
              <w:fldChar w:fldCharType="separate"/>
            </w:r>
            <w:r>
              <w:rPr>
                <w:noProof/>
                <w:webHidden/>
              </w:rPr>
              <w:t>10</w:t>
            </w:r>
            <w:r>
              <w:rPr>
                <w:noProof/>
                <w:webHidden/>
              </w:rPr>
              <w:fldChar w:fldCharType="end"/>
            </w:r>
          </w:hyperlink>
        </w:p>
        <w:p w14:paraId="6668E241"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35" w:history="1">
            <w:r w:rsidRPr="00C54898">
              <w:rPr>
                <w:rStyle w:val="Hipercze"/>
                <w:noProof/>
              </w:rPr>
              <w:t>3.2.1.1.</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Środki z</w:t>
            </w:r>
            <w:r>
              <w:rPr>
                <w:rStyle w:val="Hipercze"/>
                <w:noProof/>
              </w:rPr>
              <w:t> </w:t>
            </w:r>
            <w:r w:rsidRPr="00C54898">
              <w:rPr>
                <w:rStyle w:val="Hipercze"/>
                <w:noProof/>
              </w:rPr>
              <w:t>uchwalonego budżetu</w:t>
            </w:r>
            <w:r>
              <w:rPr>
                <w:noProof/>
                <w:webHidden/>
              </w:rPr>
              <w:tab/>
            </w:r>
            <w:r>
              <w:rPr>
                <w:noProof/>
                <w:webHidden/>
              </w:rPr>
              <w:fldChar w:fldCharType="begin"/>
            </w:r>
            <w:r>
              <w:rPr>
                <w:noProof/>
                <w:webHidden/>
              </w:rPr>
              <w:instrText xml:space="preserve"> PAGEREF _Toc214887235 \h </w:instrText>
            </w:r>
            <w:r>
              <w:rPr>
                <w:noProof/>
                <w:webHidden/>
              </w:rPr>
            </w:r>
            <w:r>
              <w:rPr>
                <w:noProof/>
                <w:webHidden/>
              </w:rPr>
              <w:fldChar w:fldCharType="separate"/>
            </w:r>
            <w:r>
              <w:rPr>
                <w:noProof/>
                <w:webHidden/>
              </w:rPr>
              <w:t>10</w:t>
            </w:r>
            <w:r>
              <w:rPr>
                <w:noProof/>
                <w:webHidden/>
              </w:rPr>
              <w:fldChar w:fldCharType="end"/>
            </w:r>
          </w:hyperlink>
        </w:p>
        <w:p w14:paraId="60BCBC51"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36" w:history="1">
            <w:r w:rsidRPr="00C54898">
              <w:rPr>
                <w:rStyle w:val="Hipercze"/>
                <w:noProof/>
              </w:rPr>
              <w:t>3.2.2.</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Szacowany produkt finansowany ze środków operacyjnych (nie wypełniać w</w:t>
            </w:r>
            <w:r>
              <w:rPr>
                <w:rStyle w:val="Hipercze"/>
                <w:noProof/>
              </w:rPr>
              <w:t> </w:t>
            </w:r>
            <w:r w:rsidRPr="00C54898">
              <w:rPr>
                <w:rStyle w:val="Hipercze"/>
                <w:noProof/>
              </w:rPr>
              <w:t>przypadku agencji zdecentralizowanych)</w:t>
            </w:r>
            <w:r>
              <w:rPr>
                <w:noProof/>
                <w:webHidden/>
              </w:rPr>
              <w:tab/>
            </w:r>
            <w:r>
              <w:rPr>
                <w:noProof/>
                <w:webHidden/>
              </w:rPr>
              <w:fldChar w:fldCharType="begin"/>
            </w:r>
            <w:r>
              <w:rPr>
                <w:noProof/>
                <w:webHidden/>
              </w:rPr>
              <w:instrText xml:space="preserve"> PAGEREF _Toc214887236 \h </w:instrText>
            </w:r>
            <w:r>
              <w:rPr>
                <w:noProof/>
                <w:webHidden/>
              </w:rPr>
            </w:r>
            <w:r>
              <w:rPr>
                <w:noProof/>
                <w:webHidden/>
              </w:rPr>
              <w:fldChar w:fldCharType="separate"/>
            </w:r>
            <w:r>
              <w:rPr>
                <w:noProof/>
                <w:webHidden/>
              </w:rPr>
              <w:t>11</w:t>
            </w:r>
            <w:r>
              <w:rPr>
                <w:noProof/>
                <w:webHidden/>
              </w:rPr>
              <w:fldChar w:fldCharType="end"/>
            </w:r>
          </w:hyperlink>
        </w:p>
        <w:p w14:paraId="43914E0F"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37" w:history="1">
            <w:r w:rsidRPr="00C54898">
              <w:rPr>
                <w:rStyle w:val="Hipercze"/>
                <w:noProof/>
              </w:rPr>
              <w:t>3.2.3.</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Podsumowanie szacunkowego wpływu na środki administracyjne</w:t>
            </w:r>
            <w:r>
              <w:rPr>
                <w:noProof/>
                <w:webHidden/>
              </w:rPr>
              <w:tab/>
            </w:r>
            <w:r>
              <w:rPr>
                <w:noProof/>
                <w:webHidden/>
              </w:rPr>
              <w:fldChar w:fldCharType="begin"/>
            </w:r>
            <w:r>
              <w:rPr>
                <w:noProof/>
                <w:webHidden/>
              </w:rPr>
              <w:instrText xml:space="preserve"> PAGEREF _Toc214887237 \h </w:instrText>
            </w:r>
            <w:r>
              <w:rPr>
                <w:noProof/>
                <w:webHidden/>
              </w:rPr>
            </w:r>
            <w:r>
              <w:rPr>
                <w:noProof/>
                <w:webHidden/>
              </w:rPr>
              <w:fldChar w:fldCharType="separate"/>
            </w:r>
            <w:r>
              <w:rPr>
                <w:noProof/>
                <w:webHidden/>
              </w:rPr>
              <w:t>13</w:t>
            </w:r>
            <w:r>
              <w:rPr>
                <w:noProof/>
                <w:webHidden/>
              </w:rPr>
              <w:fldChar w:fldCharType="end"/>
            </w:r>
          </w:hyperlink>
        </w:p>
        <w:p w14:paraId="386C7F19"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38" w:history="1">
            <w:r w:rsidRPr="00C54898">
              <w:rPr>
                <w:rStyle w:val="Hipercze"/>
                <w:noProof/>
              </w:rPr>
              <w:t>3.2.3.1. Środki z</w:t>
            </w:r>
            <w:r>
              <w:rPr>
                <w:rStyle w:val="Hipercze"/>
                <w:noProof/>
              </w:rPr>
              <w:t> </w:t>
            </w:r>
            <w:r w:rsidRPr="00C54898">
              <w:rPr>
                <w:rStyle w:val="Hipercze"/>
                <w:noProof/>
              </w:rPr>
              <w:t>uchwalonego budżetu</w:t>
            </w:r>
            <w:r>
              <w:rPr>
                <w:noProof/>
                <w:webHidden/>
              </w:rPr>
              <w:tab/>
            </w:r>
            <w:r>
              <w:rPr>
                <w:noProof/>
                <w:webHidden/>
              </w:rPr>
              <w:fldChar w:fldCharType="begin"/>
            </w:r>
            <w:r>
              <w:rPr>
                <w:noProof/>
                <w:webHidden/>
              </w:rPr>
              <w:instrText xml:space="preserve"> PAGEREF _Toc214887238 \h </w:instrText>
            </w:r>
            <w:r>
              <w:rPr>
                <w:noProof/>
                <w:webHidden/>
              </w:rPr>
            </w:r>
            <w:r>
              <w:rPr>
                <w:noProof/>
                <w:webHidden/>
              </w:rPr>
              <w:fldChar w:fldCharType="separate"/>
            </w:r>
            <w:r>
              <w:rPr>
                <w:noProof/>
                <w:webHidden/>
              </w:rPr>
              <w:t>13</w:t>
            </w:r>
            <w:r>
              <w:rPr>
                <w:noProof/>
                <w:webHidden/>
              </w:rPr>
              <w:fldChar w:fldCharType="end"/>
            </w:r>
          </w:hyperlink>
        </w:p>
        <w:p w14:paraId="3554C045"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39" w:history="1">
            <w:r w:rsidRPr="00C54898">
              <w:rPr>
                <w:rStyle w:val="Hipercze"/>
                <w:noProof/>
              </w:rPr>
              <w:t>3.2.4.</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Szacowane zapotrzebowanie na zasoby ludzkie</w:t>
            </w:r>
            <w:r>
              <w:rPr>
                <w:noProof/>
                <w:webHidden/>
              </w:rPr>
              <w:tab/>
            </w:r>
            <w:r>
              <w:rPr>
                <w:noProof/>
                <w:webHidden/>
              </w:rPr>
              <w:fldChar w:fldCharType="begin"/>
            </w:r>
            <w:r>
              <w:rPr>
                <w:noProof/>
                <w:webHidden/>
              </w:rPr>
              <w:instrText xml:space="preserve"> PAGEREF _Toc214887239 \h </w:instrText>
            </w:r>
            <w:r>
              <w:rPr>
                <w:noProof/>
                <w:webHidden/>
              </w:rPr>
            </w:r>
            <w:r>
              <w:rPr>
                <w:noProof/>
                <w:webHidden/>
              </w:rPr>
              <w:fldChar w:fldCharType="separate"/>
            </w:r>
            <w:r>
              <w:rPr>
                <w:noProof/>
                <w:webHidden/>
              </w:rPr>
              <w:t>13</w:t>
            </w:r>
            <w:r>
              <w:rPr>
                <w:noProof/>
                <w:webHidden/>
              </w:rPr>
              <w:fldChar w:fldCharType="end"/>
            </w:r>
          </w:hyperlink>
        </w:p>
        <w:p w14:paraId="0F60D6E9"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40" w:history="1">
            <w:r w:rsidRPr="00C54898">
              <w:rPr>
                <w:rStyle w:val="Hipercze"/>
                <w:noProof/>
              </w:rPr>
              <w:t>3.2.4.1.</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Finansowane z</w:t>
            </w:r>
            <w:r>
              <w:rPr>
                <w:rStyle w:val="Hipercze"/>
                <w:noProof/>
              </w:rPr>
              <w:t> </w:t>
            </w:r>
            <w:r w:rsidRPr="00C54898">
              <w:rPr>
                <w:rStyle w:val="Hipercze"/>
                <w:noProof/>
              </w:rPr>
              <w:t>uchwalonego budżetu</w:t>
            </w:r>
            <w:r>
              <w:rPr>
                <w:noProof/>
                <w:webHidden/>
              </w:rPr>
              <w:tab/>
            </w:r>
            <w:r>
              <w:rPr>
                <w:noProof/>
                <w:webHidden/>
              </w:rPr>
              <w:fldChar w:fldCharType="begin"/>
            </w:r>
            <w:r>
              <w:rPr>
                <w:noProof/>
                <w:webHidden/>
              </w:rPr>
              <w:instrText xml:space="preserve"> PAGEREF _Toc214887240 \h </w:instrText>
            </w:r>
            <w:r>
              <w:rPr>
                <w:noProof/>
                <w:webHidden/>
              </w:rPr>
            </w:r>
            <w:r>
              <w:rPr>
                <w:noProof/>
                <w:webHidden/>
              </w:rPr>
              <w:fldChar w:fldCharType="separate"/>
            </w:r>
            <w:r>
              <w:rPr>
                <w:noProof/>
                <w:webHidden/>
              </w:rPr>
              <w:t>13</w:t>
            </w:r>
            <w:r>
              <w:rPr>
                <w:noProof/>
                <w:webHidden/>
              </w:rPr>
              <w:fldChar w:fldCharType="end"/>
            </w:r>
          </w:hyperlink>
        </w:p>
        <w:p w14:paraId="112152D5"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41" w:history="1">
            <w:r w:rsidRPr="00C54898">
              <w:rPr>
                <w:rStyle w:val="Hipercze"/>
                <w:noProof/>
              </w:rPr>
              <w:t>3.2.5.</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Przegląd szacowanego wpływu na inwestycje związane z</w:t>
            </w:r>
            <w:r>
              <w:rPr>
                <w:rStyle w:val="Hipercze"/>
                <w:noProof/>
              </w:rPr>
              <w:t> </w:t>
            </w:r>
            <w:r w:rsidRPr="00C54898">
              <w:rPr>
                <w:rStyle w:val="Hipercze"/>
                <w:noProof/>
              </w:rPr>
              <w:t>technologiami cyfrowymi</w:t>
            </w:r>
            <w:r>
              <w:rPr>
                <w:noProof/>
                <w:webHidden/>
              </w:rPr>
              <w:tab/>
            </w:r>
            <w:r>
              <w:rPr>
                <w:noProof/>
                <w:webHidden/>
              </w:rPr>
              <w:fldChar w:fldCharType="begin"/>
            </w:r>
            <w:r>
              <w:rPr>
                <w:noProof/>
                <w:webHidden/>
              </w:rPr>
              <w:instrText xml:space="preserve"> PAGEREF _Toc214887241 \h </w:instrText>
            </w:r>
            <w:r>
              <w:rPr>
                <w:noProof/>
                <w:webHidden/>
              </w:rPr>
            </w:r>
            <w:r>
              <w:rPr>
                <w:noProof/>
                <w:webHidden/>
              </w:rPr>
              <w:fldChar w:fldCharType="separate"/>
            </w:r>
            <w:r>
              <w:rPr>
                <w:noProof/>
                <w:webHidden/>
              </w:rPr>
              <w:t>14</w:t>
            </w:r>
            <w:r>
              <w:rPr>
                <w:noProof/>
                <w:webHidden/>
              </w:rPr>
              <w:fldChar w:fldCharType="end"/>
            </w:r>
          </w:hyperlink>
        </w:p>
        <w:p w14:paraId="467372F8"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42" w:history="1">
            <w:r w:rsidRPr="00C54898">
              <w:rPr>
                <w:rStyle w:val="Hipercze"/>
                <w:noProof/>
              </w:rPr>
              <w:t>3.2.6.</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Zgodność z</w:t>
            </w:r>
            <w:r>
              <w:rPr>
                <w:rStyle w:val="Hipercze"/>
                <w:noProof/>
              </w:rPr>
              <w:t> </w:t>
            </w:r>
            <w:r w:rsidRPr="00C54898">
              <w:rPr>
                <w:rStyle w:val="Hipercze"/>
                <w:noProof/>
              </w:rPr>
              <w:t>obowiązującymi wieloletnimi ramami finansowymi</w:t>
            </w:r>
            <w:r>
              <w:rPr>
                <w:noProof/>
                <w:webHidden/>
              </w:rPr>
              <w:tab/>
            </w:r>
            <w:r>
              <w:rPr>
                <w:noProof/>
                <w:webHidden/>
              </w:rPr>
              <w:fldChar w:fldCharType="begin"/>
            </w:r>
            <w:r>
              <w:rPr>
                <w:noProof/>
                <w:webHidden/>
              </w:rPr>
              <w:instrText xml:space="preserve"> PAGEREF _Toc214887242 \h </w:instrText>
            </w:r>
            <w:r>
              <w:rPr>
                <w:noProof/>
                <w:webHidden/>
              </w:rPr>
            </w:r>
            <w:r>
              <w:rPr>
                <w:noProof/>
                <w:webHidden/>
              </w:rPr>
              <w:fldChar w:fldCharType="separate"/>
            </w:r>
            <w:r>
              <w:rPr>
                <w:noProof/>
                <w:webHidden/>
              </w:rPr>
              <w:t>14</w:t>
            </w:r>
            <w:r>
              <w:rPr>
                <w:noProof/>
                <w:webHidden/>
              </w:rPr>
              <w:fldChar w:fldCharType="end"/>
            </w:r>
          </w:hyperlink>
        </w:p>
        <w:p w14:paraId="560E79C5" w14:textId="77777777" w:rsidR="00110A93" w:rsidRDefault="00110A93">
          <w:pPr>
            <w:pStyle w:val="Spistreci3"/>
            <w:rPr>
              <w:rFonts w:asciiTheme="minorHAnsi" w:eastAsiaTheme="minorEastAsia" w:hAnsiTheme="minorHAnsi" w:cstheme="minorBidi"/>
              <w:noProof/>
              <w:kern w:val="2"/>
              <w:szCs w:val="24"/>
              <w:lang w:val="en-IE" w:eastAsia="en-IE"/>
              <w14:ligatures w14:val="standardContextual"/>
            </w:rPr>
          </w:pPr>
          <w:hyperlink w:anchor="_Toc214887243" w:history="1">
            <w:r w:rsidRPr="00C54898">
              <w:rPr>
                <w:rStyle w:val="Hipercze"/>
                <w:noProof/>
              </w:rPr>
              <w:t>3.2.7.</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Udział osób trzecich w</w:t>
            </w:r>
            <w:r>
              <w:rPr>
                <w:rStyle w:val="Hipercze"/>
                <w:noProof/>
              </w:rPr>
              <w:t> </w:t>
            </w:r>
            <w:r w:rsidRPr="00C54898">
              <w:rPr>
                <w:rStyle w:val="Hipercze"/>
                <w:noProof/>
              </w:rPr>
              <w:t>finansowaniu</w:t>
            </w:r>
            <w:r>
              <w:rPr>
                <w:noProof/>
                <w:webHidden/>
              </w:rPr>
              <w:tab/>
            </w:r>
            <w:r>
              <w:rPr>
                <w:noProof/>
                <w:webHidden/>
              </w:rPr>
              <w:fldChar w:fldCharType="begin"/>
            </w:r>
            <w:r>
              <w:rPr>
                <w:noProof/>
                <w:webHidden/>
              </w:rPr>
              <w:instrText xml:space="preserve"> PAGEREF _Toc214887243 \h </w:instrText>
            </w:r>
            <w:r>
              <w:rPr>
                <w:noProof/>
                <w:webHidden/>
              </w:rPr>
            </w:r>
            <w:r>
              <w:rPr>
                <w:noProof/>
                <w:webHidden/>
              </w:rPr>
              <w:fldChar w:fldCharType="separate"/>
            </w:r>
            <w:r>
              <w:rPr>
                <w:noProof/>
                <w:webHidden/>
              </w:rPr>
              <w:t>14</w:t>
            </w:r>
            <w:r>
              <w:rPr>
                <w:noProof/>
                <w:webHidden/>
              </w:rPr>
              <w:fldChar w:fldCharType="end"/>
            </w:r>
          </w:hyperlink>
        </w:p>
        <w:p w14:paraId="04626711"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44" w:history="1">
            <w:r w:rsidRPr="00C54898">
              <w:rPr>
                <w:rStyle w:val="Hipercze"/>
                <w:noProof/>
              </w:rPr>
              <w:t>3.3.</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Szacunkowy wpływ na dochody</w:t>
            </w:r>
            <w:r>
              <w:rPr>
                <w:noProof/>
                <w:webHidden/>
              </w:rPr>
              <w:tab/>
            </w:r>
            <w:r>
              <w:rPr>
                <w:noProof/>
                <w:webHidden/>
              </w:rPr>
              <w:fldChar w:fldCharType="begin"/>
            </w:r>
            <w:r>
              <w:rPr>
                <w:noProof/>
                <w:webHidden/>
              </w:rPr>
              <w:instrText xml:space="preserve"> PAGEREF _Toc214887244 \h </w:instrText>
            </w:r>
            <w:r>
              <w:rPr>
                <w:noProof/>
                <w:webHidden/>
              </w:rPr>
            </w:r>
            <w:r>
              <w:rPr>
                <w:noProof/>
                <w:webHidden/>
              </w:rPr>
              <w:fldChar w:fldCharType="separate"/>
            </w:r>
            <w:r>
              <w:rPr>
                <w:noProof/>
                <w:webHidden/>
              </w:rPr>
              <w:t>15</w:t>
            </w:r>
            <w:r>
              <w:rPr>
                <w:noProof/>
                <w:webHidden/>
              </w:rPr>
              <w:fldChar w:fldCharType="end"/>
            </w:r>
          </w:hyperlink>
        </w:p>
        <w:p w14:paraId="4E18AB40" w14:textId="77777777" w:rsidR="00110A93" w:rsidRDefault="00110A93">
          <w:pPr>
            <w:pStyle w:val="Spistreci1"/>
            <w:rPr>
              <w:rFonts w:asciiTheme="minorHAnsi" w:eastAsiaTheme="minorEastAsia" w:hAnsiTheme="minorHAnsi" w:cstheme="minorBidi"/>
              <w:noProof/>
              <w:kern w:val="2"/>
              <w:szCs w:val="24"/>
              <w:lang w:val="en-IE" w:eastAsia="en-IE"/>
              <w14:ligatures w14:val="standardContextual"/>
            </w:rPr>
          </w:pPr>
          <w:hyperlink w:anchor="_Toc214887245" w:history="1">
            <w:r w:rsidRPr="00C54898">
              <w:rPr>
                <w:rStyle w:val="Hipercze"/>
                <w:noProof/>
              </w:rPr>
              <w:t>4.</w:t>
            </w:r>
            <w:r>
              <w:rPr>
                <w:rFonts w:asciiTheme="minorHAnsi" w:eastAsiaTheme="minorEastAsia" w:hAnsiTheme="minorHAnsi" w:cstheme="minorBidi"/>
                <w:noProof/>
                <w:kern w:val="2"/>
                <w:szCs w:val="24"/>
                <w:lang w:val="en-IE" w:eastAsia="en-IE"/>
                <w14:ligatures w14:val="standardContextual"/>
              </w:rPr>
              <w:tab/>
            </w:r>
            <w:r w:rsidRPr="00C54898">
              <w:rPr>
                <w:rStyle w:val="Hipercze"/>
                <w:caps/>
                <w:noProof/>
              </w:rPr>
              <w:t>Wymiar cyfrowy</w:t>
            </w:r>
            <w:r>
              <w:rPr>
                <w:noProof/>
                <w:webHidden/>
              </w:rPr>
              <w:tab/>
            </w:r>
            <w:r>
              <w:rPr>
                <w:noProof/>
                <w:webHidden/>
              </w:rPr>
              <w:fldChar w:fldCharType="begin"/>
            </w:r>
            <w:r>
              <w:rPr>
                <w:noProof/>
                <w:webHidden/>
              </w:rPr>
              <w:instrText xml:space="preserve"> PAGEREF _Toc214887245 \h </w:instrText>
            </w:r>
            <w:r>
              <w:rPr>
                <w:noProof/>
                <w:webHidden/>
              </w:rPr>
            </w:r>
            <w:r>
              <w:rPr>
                <w:noProof/>
                <w:webHidden/>
              </w:rPr>
              <w:fldChar w:fldCharType="separate"/>
            </w:r>
            <w:r>
              <w:rPr>
                <w:noProof/>
                <w:webHidden/>
              </w:rPr>
              <w:t>15</w:t>
            </w:r>
            <w:r>
              <w:rPr>
                <w:noProof/>
                <w:webHidden/>
              </w:rPr>
              <w:fldChar w:fldCharType="end"/>
            </w:r>
          </w:hyperlink>
        </w:p>
        <w:p w14:paraId="236E994F"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46" w:history="1">
            <w:r w:rsidRPr="00C54898">
              <w:rPr>
                <w:rStyle w:val="Hipercze"/>
                <w:noProof/>
              </w:rPr>
              <w:t>4.1.</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Wymogi cyfrowe</w:t>
            </w:r>
            <w:r>
              <w:rPr>
                <w:noProof/>
                <w:webHidden/>
              </w:rPr>
              <w:tab/>
            </w:r>
            <w:r>
              <w:rPr>
                <w:noProof/>
                <w:webHidden/>
              </w:rPr>
              <w:fldChar w:fldCharType="begin"/>
            </w:r>
            <w:r>
              <w:rPr>
                <w:noProof/>
                <w:webHidden/>
              </w:rPr>
              <w:instrText xml:space="preserve"> PAGEREF _Toc214887246 \h </w:instrText>
            </w:r>
            <w:r>
              <w:rPr>
                <w:noProof/>
                <w:webHidden/>
              </w:rPr>
            </w:r>
            <w:r>
              <w:rPr>
                <w:noProof/>
                <w:webHidden/>
              </w:rPr>
              <w:fldChar w:fldCharType="separate"/>
            </w:r>
            <w:r>
              <w:rPr>
                <w:noProof/>
                <w:webHidden/>
              </w:rPr>
              <w:t>15</w:t>
            </w:r>
            <w:r>
              <w:rPr>
                <w:noProof/>
                <w:webHidden/>
              </w:rPr>
              <w:fldChar w:fldCharType="end"/>
            </w:r>
          </w:hyperlink>
        </w:p>
        <w:p w14:paraId="64FC241E"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47" w:history="1">
            <w:r w:rsidRPr="00C54898">
              <w:rPr>
                <w:rStyle w:val="Hipercze"/>
                <w:noProof/>
              </w:rPr>
              <w:t>4.2.</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Dane</w:t>
            </w:r>
            <w:r>
              <w:rPr>
                <w:noProof/>
                <w:webHidden/>
              </w:rPr>
              <w:tab/>
            </w:r>
            <w:r>
              <w:rPr>
                <w:noProof/>
                <w:webHidden/>
              </w:rPr>
              <w:fldChar w:fldCharType="begin"/>
            </w:r>
            <w:r>
              <w:rPr>
                <w:noProof/>
                <w:webHidden/>
              </w:rPr>
              <w:instrText xml:space="preserve"> PAGEREF _Toc214887247 \h </w:instrText>
            </w:r>
            <w:r>
              <w:rPr>
                <w:noProof/>
                <w:webHidden/>
              </w:rPr>
            </w:r>
            <w:r>
              <w:rPr>
                <w:noProof/>
                <w:webHidden/>
              </w:rPr>
              <w:fldChar w:fldCharType="separate"/>
            </w:r>
            <w:r>
              <w:rPr>
                <w:noProof/>
                <w:webHidden/>
              </w:rPr>
              <w:t>15</w:t>
            </w:r>
            <w:r>
              <w:rPr>
                <w:noProof/>
                <w:webHidden/>
              </w:rPr>
              <w:fldChar w:fldCharType="end"/>
            </w:r>
          </w:hyperlink>
        </w:p>
        <w:p w14:paraId="38028A7C"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48" w:history="1">
            <w:r w:rsidRPr="00C54898">
              <w:rPr>
                <w:rStyle w:val="Hipercze"/>
                <w:noProof/>
              </w:rPr>
              <w:t>4.3.</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Rozwiązania cyfrowe</w:t>
            </w:r>
            <w:r>
              <w:rPr>
                <w:noProof/>
                <w:webHidden/>
              </w:rPr>
              <w:tab/>
            </w:r>
            <w:r>
              <w:rPr>
                <w:noProof/>
                <w:webHidden/>
              </w:rPr>
              <w:fldChar w:fldCharType="begin"/>
            </w:r>
            <w:r>
              <w:rPr>
                <w:noProof/>
                <w:webHidden/>
              </w:rPr>
              <w:instrText xml:space="preserve"> PAGEREF _Toc214887248 \h </w:instrText>
            </w:r>
            <w:r>
              <w:rPr>
                <w:noProof/>
                <w:webHidden/>
              </w:rPr>
            </w:r>
            <w:r>
              <w:rPr>
                <w:noProof/>
                <w:webHidden/>
              </w:rPr>
              <w:fldChar w:fldCharType="separate"/>
            </w:r>
            <w:r>
              <w:rPr>
                <w:noProof/>
                <w:webHidden/>
              </w:rPr>
              <w:t>15</w:t>
            </w:r>
            <w:r>
              <w:rPr>
                <w:noProof/>
                <w:webHidden/>
              </w:rPr>
              <w:fldChar w:fldCharType="end"/>
            </w:r>
          </w:hyperlink>
        </w:p>
        <w:p w14:paraId="54878CFD" w14:textId="77777777" w:rsidR="00110A93" w:rsidRP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49" w:history="1">
            <w:r w:rsidRPr="00110A93">
              <w:rPr>
                <w:rStyle w:val="Hipercze"/>
                <w:noProof/>
              </w:rPr>
              <w:t>4.4.</w:t>
            </w:r>
            <w:r w:rsidRPr="00110A93">
              <w:rPr>
                <w:rFonts w:asciiTheme="minorHAnsi" w:eastAsiaTheme="minorEastAsia" w:hAnsiTheme="minorHAnsi" w:cstheme="minorBidi"/>
                <w:noProof/>
                <w:kern w:val="2"/>
                <w:szCs w:val="24"/>
                <w:lang w:val="en-IE" w:eastAsia="en-IE"/>
                <w14:ligatures w14:val="standardContextual"/>
              </w:rPr>
              <w:tab/>
            </w:r>
            <w:r w:rsidRPr="00110A93">
              <w:rPr>
                <w:rStyle w:val="Hipercze"/>
                <w:noProof/>
              </w:rPr>
              <w:t>Ocena interoperacyjności</w:t>
            </w:r>
            <w:r w:rsidRPr="00110A93">
              <w:rPr>
                <w:noProof/>
                <w:webHidden/>
              </w:rPr>
              <w:tab/>
            </w:r>
            <w:r w:rsidRPr="00110A93">
              <w:rPr>
                <w:noProof/>
                <w:webHidden/>
              </w:rPr>
              <w:fldChar w:fldCharType="begin"/>
            </w:r>
            <w:r w:rsidRPr="00110A93">
              <w:rPr>
                <w:noProof/>
                <w:webHidden/>
              </w:rPr>
              <w:instrText xml:space="preserve"> PAGEREF _Toc214887249 \h </w:instrText>
            </w:r>
            <w:r w:rsidRPr="00110A93">
              <w:rPr>
                <w:noProof/>
                <w:webHidden/>
              </w:rPr>
            </w:r>
            <w:r w:rsidRPr="00110A93">
              <w:rPr>
                <w:noProof/>
                <w:webHidden/>
              </w:rPr>
              <w:fldChar w:fldCharType="separate"/>
            </w:r>
            <w:r w:rsidRPr="00110A93">
              <w:rPr>
                <w:noProof/>
                <w:webHidden/>
              </w:rPr>
              <w:t>15</w:t>
            </w:r>
            <w:r w:rsidRPr="00110A93">
              <w:rPr>
                <w:noProof/>
                <w:webHidden/>
              </w:rPr>
              <w:fldChar w:fldCharType="end"/>
            </w:r>
          </w:hyperlink>
        </w:p>
        <w:p w14:paraId="6F38ACDC" w14:textId="77777777" w:rsidR="00110A93" w:rsidRDefault="00110A93">
          <w:pPr>
            <w:pStyle w:val="Spistreci2"/>
            <w:rPr>
              <w:rFonts w:asciiTheme="minorHAnsi" w:eastAsiaTheme="minorEastAsia" w:hAnsiTheme="minorHAnsi" w:cstheme="minorBidi"/>
              <w:noProof/>
              <w:kern w:val="2"/>
              <w:szCs w:val="24"/>
              <w:lang w:val="en-IE" w:eastAsia="en-IE"/>
              <w14:ligatures w14:val="standardContextual"/>
            </w:rPr>
          </w:pPr>
          <w:hyperlink w:anchor="_Toc214887250" w:history="1">
            <w:r w:rsidRPr="00C54898">
              <w:rPr>
                <w:rStyle w:val="Hipercze"/>
                <w:noProof/>
              </w:rPr>
              <w:t>4.5.</w:t>
            </w:r>
            <w:r>
              <w:rPr>
                <w:rFonts w:asciiTheme="minorHAnsi" w:eastAsiaTheme="minorEastAsia" w:hAnsiTheme="minorHAnsi" w:cstheme="minorBidi"/>
                <w:noProof/>
                <w:kern w:val="2"/>
                <w:szCs w:val="24"/>
                <w:lang w:val="en-IE" w:eastAsia="en-IE"/>
                <w14:ligatures w14:val="standardContextual"/>
              </w:rPr>
              <w:tab/>
            </w:r>
            <w:r w:rsidRPr="00C54898">
              <w:rPr>
                <w:rStyle w:val="Hipercze"/>
                <w:noProof/>
              </w:rPr>
              <w:t>Środki wspierające cyfrowe wdrażanie</w:t>
            </w:r>
            <w:r>
              <w:rPr>
                <w:noProof/>
                <w:webHidden/>
              </w:rPr>
              <w:tab/>
            </w:r>
            <w:r>
              <w:rPr>
                <w:noProof/>
                <w:webHidden/>
              </w:rPr>
              <w:fldChar w:fldCharType="begin"/>
            </w:r>
            <w:r>
              <w:rPr>
                <w:noProof/>
                <w:webHidden/>
              </w:rPr>
              <w:instrText xml:space="preserve"> PAGEREF _Toc214887250 \h </w:instrText>
            </w:r>
            <w:r>
              <w:rPr>
                <w:noProof/>
                <w:webHidden/>
              </w:rPr>
            </w:r>
            <w:r>
              <w:rPr>
                <w:noProof/>
                <w:webHidden/>
              </w:rPr>
              <w:fldChar w:fldCharType="separate"/>
            </w:r>
            <w:r>
              <w:rPr>
                <w:noProof/>
                <w:webHidden/>
              </w:rPr>
              <w:t>16</w:t>
            </w:r>
            <w:r>
              <w:rPr>
                <w:noProof/>
                <w:webHidden/>
              </w:rPr>
              <w:fldChar w:fldCharType="end"/>
            </w:r>
          </w:hyperlink>
        </w:p>
        <w:p w14:paraId="6C4C63CA" w14:textId="77777777" w:rsidR="00D048D1" w:rsidRPr="006C3201" w:rsidRDefault="00D048D1" w:rsidP="00D048D1">
          <w:pPr>
            <w:rPr>
              <w:noProof/>
            </w:rPr>
          </w:pPr>
          <w:r w:rsidRPr="006C3201">
            <w:rPr>
              <w:b/>
              <w:noProof/>
            </w:rPr>
            <w:fldChar w:fldCharType="end"/>
          </w:r>
        </w:p>
      </w:sdtContent>
    </w:sdt>
    <w:p w14:paraId="499D1D91" w14:textId="77777777" w:rsidR="00D048D1" w:rsidRPr="006C3201" w:rsidRDefault="00D048D1" w:rsidP="00D048D1">
      <w:pPr>
        <w:pStyle w:val="Spistreci1"/>
        <w:ind w:left="0" w:firstLine="0"/>
        <w:rPr>
          <w:noProof/>
        </w:rPr>
        <w:sectPr w:rsidR="00D048D1" w:rsidRPr="006C3201" w:rsidSect="00F93B7D">
          <w:pgSz w:w="11907" w:h="16840" w:code="9"/>
          <w:pgMar w:top="1134" w:right="1418" w:bottom="1134" w:left="1418" w:header="709" w:footer="709" w:gutter="0"/>
          <w:pgNumType w:start="1"/>
          <w:cols w:space="720"/>
          <w:docGrid w:linePitch="360"/>
        </w:sectPr>
      </w:pPr>
    </w:p>
    <w:p w14:paraId="2B840DC8" w14:textId="77777777" w:rsidR="00D048D1" w:rsidRPr="006C3201" w:rsidRDefault="00D048D1" w:rsidP="00D048D1">
      <w:pPr>
        <w:pStyle w:val="ManualHeading1"/>
        <w:rPr>
          <w:noProof/>
        </w:rPr>
      </w:pPr>
      <w:bookmarkStart w:id="21" w:name="_Toc514938007"/>
      <w:bookmarkStart w:id="22" w:name="_Toc520485025"/>
      <w:bookmarkStart w:id="23" w:name="_Toc160804567"/>
      <w:bookmarkStart w:id="24" w:name="_Toc167220259"/>
      <w:bookmarkStart w:id="25" w:name="_Toc177548992"/>
      <w:bookmarkStart w:id="26" w:name="_Toc214887207"/>
      <w:r w:rsidRPr="006C3201">
        <w:rPr>
          <w:noProof/>
        </w:rPr>
        <w:t>1.</w:t>
      </w:r>
      <w:r w:rsidRPr="006C3201">
        <w:rPr>
          <w:noProof/>
        </w:rPr>
        <w:tab/>
        <w:t>STRUKTURA WNIOSKU/INICJATYWY</w:t>
      </w:r>
      <w:bookmarkEnd w:id="21"/>
      <w:bookmarkEnd w:id="22"/>
      <w:bookmarkEnd w:id="23"/>
      <w:bookmarkEnd w:id="24"/>
      <w:bookmarkEnd w:id="25"/>
      <w:bookmarkEnd w:id="26"/>
      <w:r w:rsidRPr="006C3201">
        <w:rPr>
          <w:noProof/>
        </w:rPr>
        <w:t xml:space="preserve"> </w:t>
      </w:r>
    </w:p>
    <w:p w14:paraId="04117DCA" w14:textId="77777777" w:rsidR="00D048D1" w:rsidRPr="006C3201" w:rsidRDefault="00D048D1" w:rsidP="00D048D1">
      <w:pPr>
        <w:pStyle w:val="ManualHeading2"/>
        <w:rPr>
          <w:noProof/>
        </w:rPr>
      </w:pPr>
      <w:bookmarkStart w:id="27" w:name="_Toc514938008"/>
      <w:bookmarkStart w:id="28" w:name="_Toc520485026"/>
      <w:bookmarkStart w:id="29" w:name="_Toc160804568"/>
      <w:bookmarkStart w:id="30" w:name="_Toc167220260"/>
      <w:bookmarkStart w:id="31" w:name="_Toc177548993"/>
      <w:bookmarkStart w:id="32" w:name="_Toc214887208"/>
      <w:r w:rsidRPr="006C3201">
        <w:rPr>
          <w:noProof/>
        </w:rPr>
        <w:t>1.1.</w:t>
      </w:r>
      <w:r w:rsidRPr="006C3201">
        <w:rPr>
          <w:noProof/>
        </w:rPr>
        <w:tab/>
        <w:t>Tytuł wniosku/inicjatywy</w:t>
      </w:r>
      <w:bookmarkEnd w:id="27"/>
      <w:bookmarkEnd w:id="28"/>
      <w:bookmarkEnd w:id="29"/>
      <w:bookmarkEnd w:id="30"/>
      <w:bookmarkEnd w:id="31"/>
      <w:bookmarkEnd w:id="32"/>
    </w:p>
    <w:p w14:paraId="2E13507A"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Wniosek dotyczący decyzji Parlamentu Europejskiego</w:t>
      </w:r>
      <w:r w:rsidR="00110A93" w:rsidRPr="006C3201">
        <w:rPr>
          <w:noProof/>
        </w:rPr>
        <w:t xml:space="preserve"> i</w:t>
      </w:r>
      <w:r w:rsidR="00110A93">
        <w:rPr>
          <w:noProof/>
        </w:rPr>
        <w:t> </w:t>
      </w:r>
      <w:r w:rsidR="00110A93" w:rsidRPr="006C3201">
        <w:rPr>
          <w:noProof/>
        </w:rPr>
        <w:t>Rad</w:t>
      </w:r>
      <w:r w:rsidRPr="006C3201">
        <w:rPr>
          <w:noProof/>
        </w:rPr>
        <w:t>y zmieniającej decyzję (UE) 2015/1814</w:t>
      </w:r>
      <w:r w:rsidR="00110A93" w:rsidRPr="006C3201">
        <w:rPr>
          <w:noProof/>
        </w:rPr>
        <w:t xml:space="preserve"> w</w:t>
      </w:r>
      <w:r w:rsidR="00110A93">
        <w:rPr>
          <w:noProof/>
        </w:rPr>
        <w:t> </w:t>
      </w:r>
      <w:r w:rsidR="00110A93" w:rsidRPr="006C3201">
        <w:rPr>
          <w:noProof/>
        </w:rPr>
        <w:t>odn</w:t>
      </w:r>
      <w:r w:rsidRPr="006C3201">
        <w:rPr>
          <w:noProof/>
        </w:rPr>
        <w:t>iesieniu do funkcjonowania rezerwy stabilności rynkowej dla sektora budowlanego, sektora transportu drogowego</w:t>
      </w:r>
      <w:r w:rsidR="00110A93" w:rsidRPr="006C3201">
        <w:rPr>
          <w:noProof/>
        </w:rPr>
        <w:t xml:space="preserve"> i</w:t>
      </w:r>
      <w:r w:rsidR="00110A93">
        <w:rPr>
          <w:noProof/>
        </w:rPr>
        <w:t> </w:t>
      </w:r>
      <w:r w:rsidR="00110A93" w:rsidRPr="006C3201">
        <w:rPr>
          <w:noProof/>
        </w:rPr>
        <w:t>sek</w:t>
      </w:r>
      <w:r w:rsidRPr="006C3201">
        <w:rPr>
          <w:noProof/>
        </w:rPr>
        <w:t>torów dodatkowych.</w:t>
      </w:r>
    </w:p>
    <w:p w14:paraId="36032499" w14:textId="77777777" w:rsidR="00D048D1" w:rsidRPr="006C3201" w:rsidRDefault="00D048D1" w:rsidP="00D048D1">
      <w:pPr>
        <w:pStyle w:val="ManualHeading2"/>
        <w:rPr>
          <w:i/>
          <w:noProof/>
        </w:rPr>
      </w:pPr>
      <w:bookmarkStart w:id="33" w:name="_Toc514938011"/>
      <w:bookmarkStart w:id="34" w:name="_Toc520485027"/>
      <w:bookmarkStart w:id="35" w:name="_Toc160804569"/>
      <w:bookmarkStart w:id="36" w:name="_Toc167220261"/>
      <w:bookmarkStart w:id="37" w:name="_Toc177548994"/>
      <w:bookmarkStart w:id="38" w:name="_Toc214887209"/>
      <w:r w:rsidRPr="006C3201">
        <w:rPr>
          <w:noProof/>
        </w:rPr>
        <w:t>1.2.</w:t>
      </w:r>
      <w:r w:rsidRPr="006C3201">
        <w:rPr>
          <w:noProof/>
        </w:rPr>
        <w:tab/>
        <w:t>Obszary polityki, których dotyczy wniosek/inicjatywa</w:t>
      </w:r>
      <w:bookmarkEnd w:id="33"/>
      <w:bookmarkEnd w:id="34"/>
      <w:bookmarkEnd w:id="35"/>
      <w:bookmarkEnd w:id="36"/>
      <w:bookmarkEnd w:id="37"/>
      <w:bookmarkEnd w:id="38"/>
      <w:r w:rsidRPr="006C3201">
        <w:rPr>
          <w:i/>
          <w:noProof/>
        </w:rPr>
        <w:t xml:space="preserve"> </w:t>
      </w:r>
    </w:p>
    <w:p w14:paraId="319FD7FA"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Działania</w:t>
      </w:r>
      <w:r w:rsidR="00110A93" w:rsidRPr="006C3201">
        <w:rPr>
          <w:noProof/>
        </w:rPr>
        <w:t xml:space="preserve"> w</w:t>
      </w:r>
      <w:r w:rsidR="00110A93">
        <w:rPr>
          <w:noProof/>
        </w:rPr>
        <w:t> </w:t>
      </w:r>
      <w:r w:rsidR="00110A93" w:rsidRPr="006C3201">
        <w:rPr>
          <w:noProof/>
        </w:rPr>
        <w:t>dzi</w:t>
      </w:r>
      <w:r w:rsidRPr="006C3201">
        <w:rPr>
          <w:noProof/>
        </w:rPr>
        <w:t>edzinie klimatu</w:t>
      </w:r>
    </w:p>
    <w:p w14:paraId="5C2D55DB"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Dział 3 – Zasoby naturalne</w:t>
      </w:r>
      <w:r w:rsidR="00110A93" w:rsidRPr="006C3201">
        <w:rPr>
          <w:noProof/>
        </w:rPr>
        <w:t xml:space="preserve"> i</w:t>
      </w:r>
      <w:r w:rsidR="00110A93">
        <w:rPr>
          <w:noProof/>
        </w:rPr>
        <w:t> </w:t>
      </w:r>
      <w:r w:rsidR="00110A93" w:rsidRPr="006C3201">
        <w:rPr>
          <w:noProof/>
        </w:rPr>
        <w:t>śro</w:t>
      </w:r>
      <w:r w:rsidRPr="006C3201">
        <w:rPr>
          <w:noProof/>
        </w:rPr>
        <w:t>dowisko</w:t>
      </w:r>
    </w:p>
    <w:p w14:paraId="524389B3"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Tytuł 9 – Środowisko</w:t>
      </w:r>
      <w:r w:rsidR="00110A93" w:rsidRPr="006C3201">
        <w:rPr>
          <w:noProof/>
        </w:rPr>
        <w:t xml:space="preserve"> i</w:t>
      </w:r>
      <w:r w:rsidR="00110A93">
        <w:rPr>
          <w:noProof/>
        </w:rPr>
        <w:t> </w:t>
      </w:r>
      <w:r w:rsidR="00110A93" w:rsidRPr="006C3201">
        <w:rPr>
          <w:noProof/>
        </w:rPr>
        <w:t>dzi</w:t>
      </w:r>
      <w:r w:rsidRPr="006C3201">
        <w:rPr>
          <w:noProof/>
        </w:rPr>
        <w:t>ałania</w:t>
      </w:r>
      <w:r w:rsidR="00110A93" w:rsidRPr="006C3201">
        <w:rPr>
          <w:noProof/>
        </w:rPr>
        <w:t xml:space="preserve"> w</w:t>
      </w:r>
      <w:r w:rsidR="00110A93">
        <w:rPr>
          <w:noProof/>
        </w:rPr>
        <w:t> </w:t>
      </w:r>
      <w:r w:rsidR="00110A93" w:rsidRPr="006C3201">
        <w:rPr>
          <w:noProof/>
        </w:rPr>
        <w:t>dzi</w:t>
      </w:r>
      <w:r w:rsidRPr="006C3201">
        <w:rPr>
          <w:noProof/>
        </w:rPr>
        <w:t>edzinie klimatu</w:t>
      </w:r>
    </w:p>
    <w:p w14:paraId="04067B63" w14:textId="77777777" w:rsidR="00D048D1" w:rsidRPr="006C3201" w:rsidRDefault="00D048D1" w:rsidP="00D048D1">
      <w:pPr>
        <w:pStyle w:val="ManualHeading2"/>
        <w:rPr>
          <w:noProof/>
        </w:rPr>
      </w:pPr>
      <w:bookmarkStart w:id="39" w:name="_Toc514938015"/>
      <w:bookmarkStart w:id="40" w:name="_Toc520485029"/>
      <w:bookmarkStart w:id="41" w:name="_Toc160804571"/>
      <w:bookmarkStart w:id="42" w:name="_Toc167220263"/>
      <w:bookmarkStart w:id="43" w:name="_Toc177548995"/>
      <w:bookmarkStart w:id="44" w:name="_Toc214887210"/>
      <w:r w:rsidRPr="006C3201">
        <w:rPr>
          <w:noProof/>
        </w:rPr>
        <w:t>1.3.</w:t>
      </w:r>
      <w:r w:rsidRPr="006C3201">
        <w:rPr>
          <w:noProof/>
        </w:rPr>
        <w:tab/>
        <w:t>Cel(e)</w:t>
      </w:r>
      <w:bookmarkEnd w:id="39"/>
      <w:bookmarkEnd w:id="40"/>
      <w:bookmarkEnd w:id="41"/>
      <w:bookmarkEnd w:id="42"/>
      <w:bookmarkEnd w:id="43"/>
      <w:bookmarkEnd w:id="44"/>
    </w:p>
    <w:p w14:paraId="07B832E6" w14:textId="77777777" w:rsidR="00D048D1" w:rsidRPr="006C3201" w:rsidRDefault="00D048D1" w:rsidP="00D048D1">
      <w:pPr>
        <w:pStyle w:val="ManualHeading3"/>
        <w:rPr>
          <w:noProof/>
        </w:rPr>
      </w:pPr>
      <w:bookmarkStart w:id="45" w:name="_Toc514938016"/>
      <w:bookmarkStart w:id="46" w:name="_Toc520485030"/>
      <w:bookmarkStart w:id="47" w:name="_Toc160804572"/>
      <w:bookmarkStart w:id="48" w:name="_Toc167220264"/>
      <w:bookmarkStart w:id="49" w:name="_Toc177548996"/>
      <w:bookmarkStart w:id="50" w:name="_Toc214887211"/>
      <w:r w:rsidRPr="006C3201">
        <w:rPr>
          <w:noProof/>
        </w:rPr>
        <w:t>1.3.1.</w:t>
      </w:r>
      <w:r w:rsidRPr="006C3201">
        <w:rPr>
          <w:noProof/>
        </w:rPr>
        <w:tab/>
        <w:t>Cel(e) ogólny(-e)</w:t>
      </w:r>
      <w:bookmarkEnd w:id="45"/>
      <w:bookmarkEnd w:id="46"/>
      <w:bookmarkEnd w:id="47"/>
      <w:bookmarkEnd w:id="48"/>
      <w:bookmarkEnd w:id="49"/>
      <w:bookmarkEnd w:id="50"/>
    </w:p>
    <w:p w14:paraId="4085624B"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Wniosek ma na celu zwiększenie skuteczności rezerwy stabilności rynkowej dla sektora budowlanego, sektora transportu drogowego</w:t>
      </w:r>
      <w:r w:rsidR="00110A93" w:rsidRPr="006C3201">
        <w:rPr>
          <w:noProof/>
        </w:rPr>
        <w:t xml:space="preserve"> i</w:t>
      </w:r>
      <w:r w:rsidR="00110A93">
        <w:rPr>
          <w:noProof/>
        </w:rPr>
        <w:t> </w:t>
      </w:r>
      <w:r w:rsidR="00110A93" w:rsidRPr="006C3201">
        <w:rPr>
          <w:noProof/>
        </w:rPr>
        <w:t>sek</w:t>
      </w:r>
      <w:r w:rsidRPr="006C3201">
        <w:rPr>
          <w:noProof/>
        </w:rPr>
        <w:t>torów dodatkowych</w:t>
      </w:r>
      <w:r w:rsidR="00110A93" w:rsidRPr="006C3201">
        <w:rPr>
          <w:noProof/>
        </w:rPr>
        <w:t xml:space="preserve"> w</w:t>
      </w:r>
      <w:r w:rsidR="00110A93">
        <w:rPr>
          <w:noProof/>
        </w:rPr>
        <w:t> </w:t>
      </w:r>
      <w:r w:rsidR="00110A93" w:rsidRPr="006C3201">
        <w:rPr>
          <w:noProof/>
        </w:rPr>
        <w:t>odn</w:t>
      </w:r>
      <w:r w:rsidRPr="006C3201">
        <w:rPr>
          <w:noProof/>
        </w:rPr>
        <w:t>iesieniu do równowagi podaży</w:t>
      </w:r>
      <w:r w:rsidR="00110A93" w:rsidRPr="006C3201">
        <w:rPr>
          <w:noProof/>
        </w:rPr>
        <w:t xml:space="preserve"> i</w:t>
      </w:r>
      <w:r w:rsidR="00110A93">
        <w:rPr>
          <w:noProof/>
        </w:rPr>
        <w:t> </w:t>
      </w:r>
      <w:r w:rsidR="00110A93" w:rsidRPr="006C3201">
        <w:rPr>
          <w:noProof/>
        </w:rPr>
        <w:t>pop</w:t>
      </w:r>
      <w:r w:rsidRPr="006C3201">
        <w:rPr>
          <w:noProof/>
        </w:rPr>
        <w:t>ytu.</w:t>
      </w:r>
    </w:p>
    <w:p w14:paraId="5818AEB0" w14:textId="77777777" w:rsidR="00D048D1" w:rsidRPr="006C3201" w:rsidRDefault="00D048D1" w:rsidP="00D048D1">
      <w:pPr>
        <w:pStyle w:val="ManualHeading3"/>
        <w:rPr>
          <w:noProof/>
        </w:rPr>
      </w:pPr>
      <w:bookmarkStart w:id="51" w:name="_Toc514938018"/>
      <w:bookmarkStart w:id="52" w:name="_Toc520485031"/>
      <w:bookmarkStart w:id="53" w:name="_Toc160804573"/>
      <w:bookmarkStart w:id="54" w:name="_Toc167220265"/>
      <w:bookmarkStart w:id="55" w:name="_Toc177548997"/>
      <w:bookmarkStart w:id="56" w:name="_Toc214887212"/>
      <w:r w:rsidRPr="006C3201">
        <w:rPr>
          <w:noProof/>
        </w:rPr>
        <w:t>1.3.2.</w:t>
      </w:r>
      <w:r w:rsidRPr="006C3201">
        <w:rPr>
          <w:noProof/>
        </w:rPr>
        <w:tab/>
        <w:t>Cel(e) szczegółowy(-e)</w:t>
      </w:r>
      <w:bookmarkEnd w:id="51"/>
      <w:bookmarkEnd w:id="52"/>
      <w:bookmarkEnd w:id="53"/>
      <w:bookmarkEnd w:id="54"/>
      <w:bookmarkEnd w:id="55"/>
      <w:bookmarkEnd w:id="56"/>
    </w:p>
    <w:p w14:paraId="45F26ECD"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We wniosku zaproponowano ukierunkowane zmiany parametrów rezerwy stabilności rynkowej dla sektora budowlanego, sektora transportu drogowego</w:t>
      </w:r>
      <w:r w:rsidR="00110A93" w:rsidRPr="006C3201">
        <w:rPr>
          <w:noProof/>
        </w:rPr>
        <w:t xml:space="preserve"> i</w:t>
      </w:r>
      <w:r w:rsidR="00110A93">
        <w:rPr>
          <w:noProof/>
        </w:rPr>
        <w:t> </w:t>
      </w:r>
      <w:r w:rsidR="00110A93" w:rsidRPr="006C3201">
        <w:rPr>
          <w:noProof/>
        </w:rPr>
        <w:t>sek</w:t>
      </w:r>
      <w:r w:rsidRPr="006C3201">
        <w:rPr>
          <w:noProof/>
        </w:rPr>
        <w:t>torów dodatkowych</w:t>
      </w:r>
      <w:r w:rsidR="00110A93" w:rsidRPr="006C3201">
        <w:rPr>
          <w:noProof/>
        </w:rPr>
        <w:t xml:space="preserve"> w</w:t>
      </w:r>
      <w:r w:rsidR="00110A93">
        <w:rPr>
          <w:noProof/>
        </w:rPr>
        <w:t> </w:t>
      </w:r>
      <w:r w:rsidR="00110A93" w:rsidRPr="006C3201">
        <w:rPr>
          <w:noProof/>
        </w:rPr>
        <w:t>cel</w:t>
      </w:r>
      <w:r w:rsidRPr="006C3201">
        <w:rPr>
          <w:noProof/>
        </w:rPr>
        <w:t>u poprawy jej funkcjonowania przed pełnym uruchomieniem ETS2.</w:t>
      </w:r>
    </w:p>
    <w:p w14:paraId="009198A6" w14:textId="77777777" w:rsidR="00D048D1" w:rsidRPr="006C3201" w:rsidRDefault="00D048D1" w:rsidP="00D048D1">
      <w:pPr>
        <w:pStyle w:val="ManualHeading3"/>
        <w:rPr>
          <w:noProof/>
        </w:rPr>
      </w:pPr>
      <w:bookmarkStart w:id="57" w:name="_Toc514938019"/>
      <w:bookmarkStart w:id="58" w:name="_Toc520485032"/>
      <w:bookmarkStart w:id="59" w:name="_Toc160804574"/>
      <w:bookmarkStart w:id="60" w:name="_Toc167220266"/>
      <w:bookmarkStart w:id="61" w:name="_Toc177548998"/>
      <w:bookmarkStart w:id="62" w:name="_Toc214887213"/>
      <w:r w:rsidRPr="006C3201">
        <w:rPr>
          <w:noProof/>
        </w:rPr>
        <w:t>1.3.3.</w:t>
      </w:r>
      <w:r w:rsidRPr="006C3201">
        <w:rPr>
          <w:noProof/>
        </w:rPr>
        <w:tab/>
        <w:t>Oczekiwane wyniki</w:t>
      </w:r>
      <w:r w:rsidR="00110A93" w:rsidRPr="006C3201">
        <w:rPr>
          <w:noProof/>
        </w:rPr>
        <w:t xml:space="preserve"> i</w:t>
      </w:r>
      <w:r w:rsidR="00110A93">
        <w:rPr>
          <w:noProof/>
        </w:rPr>
        <w:t> </w:t>
      </w:r>
      <w:r w:rsidR="00110A93" w:rsidRPr="006C3201">
        <w:rPr>
          <w:noProof/>
        </w:rPr>
        <w:t>wpł</w:t>
      </w:r>
      <w:r w:rsidRPr="006C3201">
        <w:rPr>
          <w:noProof/>
        </w:rPr>
        <w:t>yw</w:t>
      </w:r>
      <w:bookmarkEnd w:id="57"/>
      <w:bookmarkEnd w:id="58"/>
      <w:bookmarkEnd w:id="59"/>
      <w:bookmarkEnd w:id="60"/>
      <w:bookmarkEnd w:id="61"/>
      <w:bookmarkEnd w:id="62"/>
    </w:p>
    <w:p w14:paraId="6C99DA8A" w14:textId="77777777" w:rsidR="00D048D1" w:rsidRPr="006C3201" w:rsidRDefault="00D048D1" w:rsidP="00D048D1">
      <w:pPr>
        <w:pStyle w:val="Text1"/>
        <w:rPr>
          <w:i/>
          <w:noProof/>
          <w:sz w:val="20"/>
        </w:rPr>
      </w:pPr>
      <w:r w:rsidRPr="006C3201">
        <w:rPr>
          <w:i/>
          <w:noProof/>
          <w:sz w:val="20"/>
        </w:rPr>
        <w:t>Należy wskazać, jakie efekty przyniesie wniosek/inicjatywa beneficjentom/grupie docelowej.</w:t>
      </w:r>
    </w:p>
    <w:p w14:paraId="6561CFDA"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Oczekuje się, że wniosek poprawi płynność, stabilność</w:t>
      </w:r>
      <w:r w:rsidR="00110A93" w:rsidRPr="006C3201">
        <w:rPr>
          <w:noProof/>
        </w:rPr>
        <w:t xml:space="preserve"> i</w:t>
      </w:r>
      <w:r w:rsidR="00110A93">
        <w:rPr>
          <w:noProof/>
        </w:rPr>
        <w:t> </w:t>
      </w:r>
      <w:r w:rsidR="00110A93" w:rsidRPr="006C3201">
        <w:rPr>
          <w:noProof/>
        </w:rPr>
        <w:t>prz</w:t>
      </w:r>
      <w:r w:rsidRPr="006C3201">
        <w:rPr>
          <w:noProof/>
        </w:rPr>
        <w:t>ewidywalność rynku przed pełnym uruchomieniem ETS2.</w:t>
      </w:r>
    </w:p>
    <w:p w14:paraId="746FBCFA" w14:textId="77777777" w:rsidR="00D048D1" w:rsidRPr="006C3201" w:rsidRDefault="00D048D1" w:rsidP="00D048D1">
      <w:pPr>
        <w:pStyle w:val="ManualHeading3"/>
        <w:rPr>
          <w:noProof/>
        </w:rPr>
      </w:pPr>
      <w:bookmarkStart w:id="63" w:name="_Toc514938023"/>
      <w:bookmarkStart w:id="64" w:name="_Toc520485033"/>
      <w:bookmarkStart w:id="65" w:name="_Toc160804575"/>
      <w:bookmarkStart w:id="66" w:name="_Toc167220267"/>
      <w:bookmarkStart w:id="67" w:name="_Toc177548999"/>
      <w:bookmarkStart w:id="68" w:name="_Toc214887214"/>
      <w:r w:rsidRPr="006C3201">
        <w:rPr>
          <w:noProof/>
        </w:rPr>
        <w:t>1.3.4.</w:t>
      </w:r>
      <w:r w:rsidRPr="006C3201">
        <w:rPr>
          <w:noProof/>
        </w:rPr>
        <w:tab/>
        <w:t>Wskaźniki dotyczące realizacji celów</w:t>
      </w:r>
      <w:bookmarkEnd w:id="63"/>
      <w:bookmarkEnd w:id="64"/>
      <w:bookmarkEnd w:id="65"/>
      <w:bookmarkEnd w:id="66"/>
      <w:bookmarkEnd w:id="67"/>
      <w:bookmarkEnd w:id="68"/>
    </w:p>
    <w:p w14:paraId="7DB1BA67" w14:textId="77777777" w:rsidR="00D048D1" w:rsidRPr="006C3201" w:rsidRDefault="00D048D1" w:rsidP="00D048D1">
      <w:pPr>
        <w:pStyle w:val="Text1"/>
        <w:rPr>
          <w:i/>
          <w:noProof/>
          <w:sz w:val="20"/>
        </w:rPr>
      </w:pPr>
      <w:r w:rsidRPr="006C3201">
        <w:rPr>
          <w:i/>
          <w:noProof/>
          <w:sz w:val="20"/>
        </w:rPr>
        <w:t>Należy wskazać wskaźniki stosowane do monitorowania postępów</w:t>
      </w:r>
      <w:r w:rsidR="00110A93" w:rsidRPr="006C3201">
        <w:rPr>
          <w:i/>
          <w:noProof/>
          <w:sz w:val="20"/>
        </w:rPr>
        <w:t xml:space="preserve"> i</w:t>
      </w:r>
      <w:r w:rsidR="00110A93">
        <w:rPr>
          <w:i/>
          <w:noProof/>
          <w:sz w:val="20"/>
        </w:rPr>
        <w:t> </w:t>
      </w:r>
      <w:r w:rsidR="00110A93" w:rsidRPr="006C3201">
        <w:rPr>
          <w:i/>
          <w:noProof/>
          <w:sz w:val="20"/>
        </w:rPr>
        <w:t>osi</w:t>
      </w:r>
      <w:r w:rsidRPr="006C3201">
        <w:rPr>
          <w:i/>
          <w:noProof/>
          <w:sz w:val="20"/>
        </w:rPr>
        <w:t>ągnięć.</w:t>
      </w:r>
    </w:p>
    <w:p w14:paraId="2648FDBA"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Rezerwa uwzględnia równowagę strukturalną podaży uprawnień</w:t>
      </w:r>
      <w:r w:rsidR="00110A93" w:rsidRPr="006C3201">
        <w:rPr>
          <w:noProof/>
        </w:rPr>
        <w:t xml:space="preserve"> i</w:t>
      </w:r>
      <w:r w:rsidR="00110A93">
        <w:rPr>
          <w:noProof/>
        </w:rPr>
        <w:t> </w:t>
      </w:r>
      <w:r w:rsidR="00110A93" w:rsidRPr="006C3201">
        <w:rPr>
          <w:noProof/>
        </w:rPr>
        <w:t>pop</w:t>
      </w:r>
      <w:r w:rsidRPr="006C3201">
        <w:rPr>
          <w:noProof/>
        </w:rPr>
        <w:t>ytu na uprawnienia na rynku.</w:t>
      </w:r>
    </w:p>
    <w:p w14:paraId="593A893B" w14:textId="77777777" w:rsidR="00D048D1" w:rsidRPr="006C3201" w:rsidRDefault="00D048D1" w:rsidP="00D048D1">
      <w:pPr>
        <w:pStyle w:val="ManualHeading2"/>
        <w:rPr>
          <w:noProof/>
        </w:rPr>
      </w:pPr>
      <w:bookmarkStart w:id="69" w:name="_Toc177549000"/>
      <w:bookmarkStart w:id="70" w:name="_Toc214887215"/>
      <w:r w:rsidRPr="006C3201">
        <w:rPr>
          <w:noProof/>
        </w:rPr>
        <w:t>1.4.</w:t>
      </w:r>
      <w:r w:rsidRPr="006C3201">
        <w:rPr>
          <w:noProof/>
        </w:rPr>
        <w:tab/>
        <w:t>Wniosek/inicjatywa dotyczy:</w:t>
      </w:r>
      <w:bookmarkEnd w:id="69"/>
      <w:bookmarkEnd w:id="70"/>
      <w:r w:rsidRPr="006C3201">
        <w:rPr>
          <w:noProof/>
        </w:rPr>
        <w:t xml:space="preserve"> </w:t>
      </w:r>
    </w:p>
    <w:p w14:paraId="35AF9345" w14:textId="77777777" w:rsidR="00D048D1" w:rsidRPr="006C3201" w:rsidRDefault="00D048D1" w:rsidP="00D048D1">
      <w:pPr>
        <w:pStyle w:val="Text1"/>
        <w:rPr>
          <w:noProof/>
          <w:sz w:val="22"/>
        </w:rPr>
      </w:pPr>
      <w:r w:rsidRPr="006C3201">
        <w:rPr>
          <w:rFonts w:ascii="Wingdings" w:hAnsi="Wingdings"/>
          <w:noProof/>
          <w:sz w:val="22"/>
        </w:rPr>
        <w:t></w:t>
      </w:r>
      <w:r w:rsidRPr="006C3201">
        <w:rPr>
          <w:i/>
          <w:noProof/>
          <w:sz w:val="22"/>
        </w:rPr>
        <w:t xml:space="preserve"> </w:t>
      </w:r>
      <w:r w:rsidRPr="006C3201">
        <w:rPr>
          <w:noProof/>
        </w:rPr>
        <w:t>nowego działania</w:t>
      </w:r>
      <w:r w:rsidRPr="006C3201">
        <w:rPr>
          <w:noProof/>
          <w:sz w:val="22"/>
        </w:rPr>
        <w:t xml:space="preserve"> </w:t>
      </w:r>
    </w:p>
    <w:p w14:paraId="2BB19B0E" w14:textId="77777777" w:rsidR="00D048D1" w:rsidRPr="006C3201" w:rsidRDefault="00D048D1" w:rsidP="00D048D1">
      <w:pPr>
        <w:pStyle w:val="Text1"/>
        <w:rPr>
          <w:noProof/>
          <w:sz w:val="22"/>
        </w:rPr>
      </w:pPr>
      <w:r w:rsidRPr="006C3201">
        <w:rPr>
          <w:rFonts w:ascii="Wingdings" w:hAnsi="Wingdings"/>
          <w:noProof/>
          <w:sz w:val="22"/>
        </w:rPr>
        <w:t></w:t>
      </w:r>
      <w:r w:rsidRPr="006C3201">
        <w:rPr>
          <w:i/>
          <w:noProof/>
          <w:sz w:val="22"/>
        </w:rPr>
        <w:t xml:space="preserve"> </w:t>
      </w:r>
      <w:r w:rsidRPr="006C3201">
        <w:rPr>
          <w:noProof/>
        </w:rPr>
        <w:t>nowego działania, będącego następstwem projektu pilotażowego/działania przygotowawczego</w:t>
      </w:r>
      <w:r w:rsidRPr="006C3201">
        <w:rPr>
          <w:rStyle w:val="Odwoanieprzypisudolnego"/>
          <w:noProof/>
        </w:rPr>
        <w:footnoteReference w:id="7"/>
      </w:r>
      <w:r w:rsidRPr="006C3201">
        <w:rPr>
          <w:noProof/>
          <w:sz w:val="22"/>
        </w:rPr>
        <w:t xml:space="preserve"> </w:t>
      </w:r>
    </w:p>
    <w:p w14:paraId="57962B85" w14:textId="77777777" w:rsidR="00D048D1" w:rsidRPr="006C3201" w:rsidRDefault="00D048D1" w:rsidP="00D048D1">
      <w:pPr>
        <w:pStyle w:val="Text1"/>
        <w:rPr>
          <w:noProof/>
          <w:sz w:val="22"/>
        </w:rPr>
      </w:pPr>
      <w:r w:rsidRPr="006C3201">
        <w:rPr>
          <w:rFonts w:ascii="Segoe UI Symbol" w:hAnsi="Segoe UI Symbol"/>
          <w:i/>
          <w:noProof/>
          <w:sz w:val="22"/>
        </w:rPr>
        <w:t>✓</w:t>
      </w:r>
      <w:r w:rsidRPr="006C3201">
        <w:rPr>
          <w:i/>
          <w:noProof/>
          <w:sz w:val="22"/>
        </w:rPr>
        <w:t xml:space="preserve"> </w:t>
      </w:r>
      <w:r w:rsidRPr="006C3201">
        <w:rPr>
          <w:noProof/>
        </w:rPr>
        <w:t>przedłużenia bieżącego działania</w:t>
      </w:r>
      <w:r w:rsidRPr="006C3201">
        <w:rPr>
          <w:noProof/>
          <w:sz w:val="22"/>
        </w:rPr>
        <w:t xml:space="preserve"> </w:t>
      </w:r>
    </w:p>
    <w:p w14:paraId="37107970" w14:textId="77777777" w:rsidR="00D048D1" w:rsidRPr="006C3201" w:rsidRDefault="00D048D1" w:rsidP="00D048D1">
      <w:pPr>
        <w:pStyle w:val="Text1"/>
        <w:rPr>
          <w:noProof/>
        </w:rPr>
      </w:pPr>
      <w:r w:rsidRPr="006C3201">
        <w:rPr>
          <w:rFonts w:ascii="Wingdings" w:hAnsi="Wingdings"/>
          <w:noProof/>
          <w:sz w:val="22"/>
        </w:rPr>
        <w:t></w:t>
      </w:r>
      <w:r w:rsidRPr="006C3201">
        <w:rPr>
          <w:i/>
          <w:noProof/>
          <w:sz w:val="22"/>
        </w:rPr>
        <w:t xml:space="preserve"> </w:t>
      </w:r>
      <w:r w:rsidRPr="006C3201">
        <w:rPr>
          <w:noProof/>
        </w:rPr>
        <w:t>połączenia lub przekształcenia co najmniej jednego działania pod kątem innego/nowego działania</w:t>
      </w:r>
    </w:p>
    <w:p w14:paraId="0E0F9BA7" w14:textId="77777777" w:rsidR="00D048D1" w:rsidRPr="006C3201" w:rsidRDefault="00D048D1" w:rsidP="00D048D1">
      <w:pPr>
        <w:pStyle w:val="ManualHeading2"/>
        <w:rPr>
          <w:bCs/>
          <w:noProof/>
          <w:szCs w:val="24"/>
        </w:rPr>
      </w:pPr>
      <w:bookmarkStart w:id="71" w:name="_Toc514938025"/>
      <w:bookmarkStart w:id="72" w:name="_Toc520485034"/>
      <w:bookmarkStart w:id="73" w:name="_Toc160804576"/>
      <w:bookmarkStart w:id="74" w:name="_Toc167220268"/>
      <w:bookmarkStart w:id="75" w:name="_Toc177549001"/>
      <w:bookmarkStart w:id="76" w:name="_Toc214887216"/>
      <w:r w:rsidRPr="006C3201">
        <w:rPr>
          <w:noProof/>
        </w:rPr>
        <w:t>1.5.</w:t>
      </w:r>
      <w:r w:rsidRPr="006C3201">
        <w:rPr>
          <w:noProof/>
        </w:rPr>
        <w:tab/>
        <w:t>Uzasadnienie wniosku/inicjatywy</w:t>
      </w:r>
      <w:bookmarkEnd w:id="71"/>
      <w:bookmarkEnd w:id="72"/>
      <w:bookmarkEnd w:id="73"/>
      <w:bookmarkEnd w:id="74"/>
      <w:bookmarkEnd w:id="75"/>
      <w:bookmarkEnd w:id="76"/>
      <w:r w:rsidRPr="006C3201">
        <w:rPr>
          <w:noProof/>
        </w:rPr>
        <w:t xml:space="preserve"> </w:t>
      </w:r>
    </w:p>
    <w:p w14:paraId="07D3009B" w14:textId="77777777" w:rsidR="00D048D1" w:rsidRPr="006C3201" w:rsidRDefault="00D048D1" w:rsidP="00D048D1">
      <w:pPr>
        <w:pStyle w:val="ManualHeading3"/>
        <w:rPr>
          <w:noProof/>
        </w:rPr>
      </w:pPr>
      <w:bookmarkStart w:id="77" w:name="_Toc514938026"/>
      <w:bookmarkStart w:id="78" w:name="_Toc520485035"/>
      <w:bookmarkStart w:id="79" w:name="_Toc160804577"/>
      <w:bookmarkStart w:id="80" w:name="_Toc167220269"/>
      <w:bookmarkStart w:id="81" w:name="_Toc177549002"/>
      <w:bookmarkStart w:id="82" w:name="_Toc214887217"/>
      <w:r w:rsidRPr="006C3201">
        <w:rPr>
          <w:noProof/>
        </w:rPr>
        <w:t>1.5.1.</w:t>
      </w:r>
      <w:r w:rsidRPr="006C3201">
        <w:rPr>
          <w:noProof/>
        </w:rPr>
        <w:tab/>
        <w:t>Potrzeby, które należy zaspokoić</w:t>
      </w:r>
      <w:r w:rsidR="00110A93" w:rsidRPr="006C3201">
        <w:rPr>
          <w:noProof/>
        </w:rPr>
        <w:t xml:space="preserve"> w</w:t>
      </w:r>
      <w:r w:rsidR="00110A93">
        <w:rPr>
          <w:noProof/>
        </w:rPr>
        <w:t> </w:t>
      </w:r>
      <w:r w:rsidR="00110A93" w:rsidRPr="006C3201">
        <w:rPr>
          <w:noProof/>
        </w:rPr>
        <w:t>per</w:t>
      </w:r>
      <w:r w:rsidRPr="006C3201">
        <w:rPr>
          <w:noProof/>
        </w:rPr>
        <w:t>spektywie krótko- lub długoterminowej,</w:t>
      </w:r>
      <w:r w:rsidR="00110A93" w:rsidRPr="006C3201">
        <w:rPr>
          <w:noProof/>
        </w:rPr>
        <w:t xml:space="preserve"> w</w:t>
      </w:r>
      <w:r w:rsidR="00110A93">
        <w:rPr>
          <w:noProof/>
        </w:rPr>
        <w:t> </w:t>
      </w:r>
      <w:r w:rsidR="00110A93" w:rsidRPr="006C3201">
        <w:rPr>
          <w:noProof/>
        </w:rPr>
        <w:t>tym</w:t>
      </w:r>
      <w:r w:rsidRPr="006C3201">
        <w:rPr>
          <w:noProof/>
        </w:rPr>
        <w:t xml:space="preserve"> szczegółowy terminarz przebiegu realizacji inicjatywy</w:t>
      </w:r>
      <w:bookmarkEnd w:id="77"/>
      <w:bookmarkEnd w:id="78"/>
      <w:bookmarkEnd w:id="79"/>
      <w:bookmarkEnd w:id="80"/>
      <w:bookmarkEnd w:id="81"/>
      <w:bookmarkEnd w:id="82"/>
    </w:p>
    <w:p w14:paraId="44CAF0DB"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Ukierunkowane zmiany parametrów rezerwy stabilności rynkowej dla sektora budowlanego, sektora transportu drogowego</w:t>
      </w:r>
      <w:r w:rsidR="00110A93" w:rsidRPr="006C3201">
        <w:rPr>
          <w:noProof/>
        </w:rPr>
        <w:t xml:space="preserve"> i</w:t>
      </w:r>
      <w:r w:rsidR="00110A93">
        <w:rPr>
          <w:noProof/>
        </w:rPr>
        <w:t> </w:t>
      </w:r>
      <w:r w:rsidR="00110A93" w:rsidRPr="006C3201">
        <w:rPr>
          <w:noProof/>
        </w:rPr>
        <w:t>sek</w:t>
      </w:r>
      <w:r w:rsidRPr="006C3201">
        <w:rPr>
          <w:noProof/>
        </w:rPr>
        <w:t>torów dodatkowych mają na celu poprawę jej funkcjonowania przed pełnym uruchomieniem ETS2.</w:t>
      </w:r>
    </w:p>
    <w:p w14:paraId="3886E464" w14:textId="77777777" w:rsidR="00D048D1" w:rsidRPr="006C3201" w:rsidRDefault="00D048D1" w:rsidP="00D048D1">
      <w:pPr>
        <w:pStyle w:val="ManualHeading3"/>
        <w:rPr>
          <w:bCs/>
          <w:noProof/>
          <w:szCs w:val="24"/>
        </w:rPr>
      </w:pPr>
      <w:bookmarkStart w:id="83" w:name="_Toc514938029"/>
      <w:bookmarkStart w:id="84" w:name="_Toc520485036"/>
      <w:bookmarkStart w:id="85" w:name="_Toc160804578"/>
      <w:bookmarkStart w:id="86" w:name="_Toc167220270"/>
      <w:bookmarkStart w:id="87" w:name="_Toc177549003"/>
      <w:bookmarkStart w:id="88" w:name="_Toc214887218"/>
      <w:r w:rsidRPr="006C3201">
        <w:rPr>
          <w:noProof/>
        </w:rPr>
        <w:t>1.5.2.</w:t>
      </w:r>
      <w:r w:rsidRPr="006C3201">
        <w:rPr>
          <w:noProof/>
        </w:rPr>
        <w:tab/>
        <w:t>Wartość dodana</w:t>
      </w:r>
      <w:r w:rsidR="00110A93" w:rsidRPr="006C3201">
        <w:rPr>
          <w:noProof/>
        </w:rPr>
        <w:t xml:space="preserve"> z</w:t>
      </w:r>
      <w:r w:rsidR="00110A93">
        <w:rPr>
          <w:noProof/>
        </w:rPr>
        <w:t> </w:t>
      </w:r>
      <w:r w:rsidR="00110A93" w:rsidRPr="006C3201">
        <w:rPr>
          <w:noProof/>
        </w:rPr>
        <w:t>tyt</w:t>
      </w:r>
      <w:r w:rsidRPr="006C3201">
        <w:rPr>
          <w:noProof/>
        </w:rPr>
        <w:t>ułu zaangażowania Unii Europejskiej (może wynikać</w:t>
      </w:r>
      <w:r w:rsidR="00110A93" w:rsidRPr="006C3201">
        <w:rPr>
          <w:noProof/>
        </w:rPr>
        <w:t xml:space="preserve"> z</w:t>
      </w:r>
      <w:r w:rsidR="00110A93">
        <w:rPr>
          <w:noProof/>
        </w:rPr>
        <w:t> </w:t>
      </w:r>
      <w:r w:rsidR="00110A93" w:rsidRPr="006C3201">
        <w:rPr>
          <w:noProof/>
        </w:rPr>
        <w:t>róż</w:t>
      </w:r>
      <w:r w:rsidRPr="006C3201">
        <w:rPr>
          <w:noProof/>
        </w:rPr>
        <w:t>nych czynników, na przykład korzyści koordynacyjnych, pewności prawa, większej efektywności lub komplementarności). Na potrzeby tej sekcji „wartość dodaną</w:t>
      </w:r>
      <w:r w:rsidR="00110A93" w:rsidRPr="006C3201">
        <w:rPr>
          <w:noProof/>
        </w:rPr>
        <w:t xml:space="preserve"> z</w:t>
      </w:r>
      <w:r w:rsidR="00110A93">
        <w:rPr>
          <w:noProof/>
        </w:rPr>
        <w:t> </w:t>
      </w:r>
      <w:r w:rsidR="00110A93" w:rsidRPr="006C3201">
        <w:rPr>
          <w:noProof/>
        </w:rPr>
        <w:t>tyt</w:t>
      </w:r>
      <w:r w:rsidRPr="006C3201">
        <w:rPr>
          <w:noProof/>
        </w:rPr>
        <w:t>ułu zaangażowania Unii Europejskiej” należy rozumieć jako wartość wynikającą</w:t>
      </w:r>
      <w:r w:rsidR="00110A93" w:rsidRPr="006C3201">
        <w:rPr>
          <w:noProof/>
        </w:rPr>
        <w:t xml:space="preserve"> z</w:t>
      </w:r>
      <w:r w:rsidR="00110A93">
        <w:rPr>
          <w:noProof/>
        </w:rPr>
        <w:t> </w:t>
      </w:r>
      <w:r w:rsidR="00110A93" w:rsidRPr="006C3201">
        <w:rPr>
          <w:noProof/>
        </w:rPr>
        <w:t>uni</w:t>
      </w:r>
      <w:r w:rsidRPr="006C3201">
        <w:rPr>
          <w:noProof/>
        </w:rPr>
        <w:t>jnej interwencji, wykraczającą poza wartość, która zostałaby wytworzona przez same państwa członkowskie.</w:t>
      </w:r>
      <w:bookmarkEnd w:id="83"/>
      <w:bookmarkEnd w:id="84"/>
      <w:bookmarkEnd w:id="85"/>
      <w:bookmarkEnd w:id="86"/>
      <w:bookmarkEnd w:id="87"/>
      <w:bookmarkEnd w:id="88"/>
    </w:p>
    <w:p w14:paraId="29F49A36"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System handlu uprawnieniami do emisji</w:t>
      </w:r>
      <w:r w:rsidR="00110A93" w:rsidRPr="006C3201">
        <w:rPr>
          <w:noProof/>
        </w:rPr>
        <w:t xml:space="preserve"> w</w:t>
      </w:r>
      <w:r w:rsidR="00110A93">
        <w:rPr>
          <w:noProof/>
        </w:rPr>
        <w:t> </w:t>
      </w:r>
      <w:r w:rsidR="00110A93" w:rsidRPr="006C3201">
        <w:rPr>
          <w:noProof/>
        </w:rPr>
        <w:t>odn</w:t>
      </w:r>
      <w:r w:rsidRPr="006C3201">
        <w:rPr>
          <w:noProof/>
        </w:rPr>
        <w:t>iesieniu do sektora budowlanego, sektora transportu drogowego</w:t>
      </w:r>
      <w:r w:rsidR="00110A93" w:rsidRPr="006C3201">
        <w:rPr>
          <w:noProof/>
        </w:rPr>
        <w:t xml:space="preserve"> i</w:t>
      </w:r>
      <w:r w:rsidR="00110A93">
        <w:rPr>
          <w:noProof/>
        </w:rPr>
        <w:t> </w:t>
      </w:r>
      <w:r w:rsidR="00110A93" w:rsidRPr="006C3201">
        <w:rPr>
          <w:noProof/>
        </w:rPr>
        <w:t>sek</w:t>
      </w:r>
      <w:r w:rsidRPr="006C3201">
        <w:rPr>
          <w:noProof/>
        </w:rPr>
        <w:t>torów dodatkowych jest instrumentem ogólnounijnym.</w:t>
      </w:r>
    </w:p>
    <w:p w14:paraId="27CCC0D7" w14:textId="77777777" w:rsidR="00D048D1" w:rsidRPr="006C3201" w:rsidRDefault="00D048D1" w:rsidP="00D048D1">
      <w:pPr>
        <w:pStyle w:val="ManualHeading3"/>
        <w:rPr>
          <w:noProof/>
        </w:rPr>
      </w:pPr>
      <w:bookmarkStart w:id="89" w:name="_Toc514938030"/>
      <w:bookmarkStart w:id="90" w:name="_Toc520485037"/>
      <w:bookmarkStart w:id="91" w:name="_Toc160804579"/>
      <w:bookmarkStart w:id="92" w:name="_Toc167220271"/>
      <w:bookmarkStart w:id="93" w:name="_Toc177549004"/>
      <w:bookmarkStart w:id="94" w:name="_Toc214887219"/>
      <w:r w:rsidRPr="006C3201">
        <w:rPr>
          <w:noProof/>
        </w:rPr>
        <w:t>1.5.3.</w:t>
      </w:r>
      <w:r w:rsidRPr="006C3201">
        <w:rPr>
          <w:noProof/>
        </w:rPr>
        <w:tab/>
        <w:t>Główne wnioski wyciągnięte</w:t>
      </w:r>
      <w:r w:rsidR="00110A93" w:rsidRPr="006C3201">
        <w:rPr>
          <w:noProof/>
        </w:rPr>
        <w:t xml:space="preserve"> z</w:t>
      </w:r>
      <w:r w:rsidR="00110A93">
        <w:rPr>
          <w:noProof/>
        </w:rPr>
        <w:t> </w:t>
      </w:r>
      <w:r w:rsidR="00110A93" w:rsidRPr="006C3201">
        <w:rPr>
          <w:noProof/>
        </w:rPr>
        <w:t>pod</w:t>
      </w:r>
      <w:r w:rsidRPr="006C3201">
        <w:rPr>
          <w:noProof/>
        </w:rPr>
        <w:t>obnych działań</w:t>
      </w:r>
      <w:bookmarkEnd w:id="89"/>
      <w:bookmarkEnd w:id="90"/>
      <w:bookmarkEnd w:id="91"/>
      <w:bookmarkEnd w:id="92"/>
      <w:bookmarkEnd w:id="93"/>
      <w:bookmarkEnd w:id="94"/>
    </w:p>
    <w:p w14:paraId="750ECCEC" w14:textId="77777777" w:rsidR="00D048D1" w:rsidRPr="006C3201" w:rsidRDefault="00111508"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 xml:space="preserve">Biorąc pod uwagę cel redukcji emisji </w:t>
      </w:r>
      <w:r w:rsidRPr="00110A93">
        <w:rPr>
          <w:noProof/>
        </w:rPr>
        <w:t>do</w:t>
      </w:r>
      <w:r w:rsidR="00110A93" w:rsidRPr="00110A93">
        <w:rPr>
          <w:noProof/>
        </w:rPr>
        <w:t> </w:t>
      </w:r>
      <w:r w:rsidRPr="00110A93">
        <w:rPr>
          <w:noProof/>
        </w:rPr>
        <w:t>2</w:t>
      </w:r>
      <w:r w:rsidRPr="006C3201">
        <w:rPr>
          <w:noProof/>
        </w:rPr>
        <w:t>030 r.</w:t>
      </w:r>
      <w:r w:rsidR="00110A93" w:rsidRPr="006C3201">
        <w:rPr>
          <w:noProof/>
        </w:rPr>
        <w:t xml:space="preserve"> i</w:t>
      </w:r>
      <w:r w:rsidR="00110A93">
        <w:rPr>
          <w:noProof/>
        </w:rPr>
        <w:t> </w:t>
      </w:r>
      <w:r w:rsidR="00110A93" w:rsidRPr="006C3201">
        <w:rPr>
          <w:noProof/>
        </w:rPr>
        <w:t>cel</w:t>
      </w:r>
      <w:r w:rsidRPr="006C3201">
        <w:rPr>
          <w:noProof/>
        </w:rPr>
        <w:t xml:space="preserve"> neutralności klimatycznej, który ma zostać osiągnięty </w:t>
      </w:r>
      <w:r w:rsidRPr="00110A93">
        <w:rPr>
          <w:noProof/>
        </w:rPr>
        <w:t>do</w:t>
      </w:r>
      <w:r w:rsidR="00110A93" w:rsidRPr="00110A93">
        <w:rPr>
          <w:noProof/>
        </w:rPr>
        <w:t> </w:t>
      </w:r>
      <w:r w:rsidRPr="00110A93">
        <w:rPr>
          <w:noProof/>
        </w:rPr>
        <w:t>2</w:t>
      </w:r>
      <w:r w:rsidRPr="006C3201">
        <w:rPr>
          <w:noProof/>
        </w:rPr>
        <w:t>050 r., potrzebne są bardziej zdecydowane działania UE,</w:t>
      </w:r>
      <w:r w:rsidR="00110A93" w:rsidRPr="006C3201">
        <w:rPr>
          <w:noProof/>
        </w:rPr>
        <w:t xml:space="preserve"> w</w:t>
      </w:r>
      <w:r w:rsidR="00110A93">
        <w:rPr>
          <w:noProof/>
        </w:rPr>
        <w:t> </w:t>
      </w:r>
      <w:r w:rsidR="00110A93" w:rsidRPr="006C3201">
        <w:rPr>
          <w:noProof/>
        </w:rPr>
        <w:t>tym</w:t>
      </w:r>
      <w:r w:rsidRPr="006C3201">
        <w:rPr>
          <w:noProof/>
        </w:rPr>
        <w:t xml:space="preserve"> przez zapewnienie skuteczniejszego, dobrze funkcjonującego</w:t>
      </w:r>
      <w:r w:rsidR="00110A93" w:rsidRPr="006C3201">
        <w:rPr>
          <w:noProof/>
        </w:rPr>
        <w:t xml:space="preserve"> i</w:t>
      </w:r>
      <w:r w:rsidR="00110A93">
        <w:rPr>
          <w:noProof/>
        </w:rPr>
        <w:t> </w:t>
      </w:r>
      <w:r w:rsidR="00110A93" w:rsidRPr="006C3201">
        <w:rPr>
          <w:noProof/>
        </w:rPr>
        <w:t>odp</w:t>
      </w:r>
      <w:r w:rsidRPr="006C3201">
        <w:rPr>
          <w:noProof/>
        </w:rPr>
        <w:t>ornego rynku uprawnień do emisji dwutlenku węgla.</w:t>
      </w:r>
    </w:p>
    <w:p w14:paraId="53D86B40" w14:textId="77777777" w:rsidR="00D048D1" w:rsidRPr="006C3201" w:rsidRDefault="00D048D1" w:rsidP="00D048D1">
      <w:pPr>
        <w:pStyle w:val="ManualHeading3"/>
        <w:rPr>
          <w:noProof/>
        </w:rPr>
      </w:pPr>
      <w:bookmarkStart w:id="95" w:name="_Toc514938033"/>
      <w:bookmarkStart w:id="96" w:name="_Toc520485038"/>
      <w:bookmarkStart w:id="97" w:name="_Toc160804580"/>
      <w:bookmarkStart w:id="98" w:name="_Toc167220272"/>
      <w:bookmarkStart w:id="99" w:name="_Toc177549005"/>
      <w:bookmarkStart w:id="100" w:name="_Toc214887220"/>
      <w:r w:rsidRPr="006C3201">
        <w:rPr>
          <w:noProof/>
        </w:rPr>
        <w:t>1.5.4.</w:t>
      </w:r>
      <w:r w:rsidRPr="006C3201">
        <w:rPr>
          <w:noProof/>
        </w:rPr>
        <w:tab/>
        <w:t>Spójność</w:t>
      </w:r>
      <w:r w:rsidR="00110A93" w:rsidRPr="006C3201">
        <w:rPr>
          <w:noProof/>
        </w:rPr>
        <w:t xml:space="preserve"> z</w:t>
      </w:r>
      <w:r w:rsidR="00110A93">
        <w:rPr>
          <w:noProof/>
        </w:rPr>
        <w:t> </w:t>
      </w:r>
      <w:r w:rsidR="00110A93" w:rsidRPr="006C3201">
        <w:rPr>
          <w:noProof/>
        </w:rPr>
        <w:t>wie</w:t>
      </w:r>
      <w:r w:rsidRPr="006C3201">
        <w:rPr>
          <w:noProof/>
        </w:rPr>
        <w:t>loletnimi ramami finansowymi oraz możliwa synergia</w:t>
      </w:r>
      <w:r w:rsidR="00110A93" w:rsidRPr="006C3201">
        <w:rPr>
          <w:noProof/>
        </w:rPr>
        <w:t xml:space="preserve"> z</w:t>
      </w:r>
      <w:r w:rsidR="00110A93">
        <w:rPr>
          <w:noProof/>
        </w:rPr>
        <w:t> </w:t>
      </w:r>
      <w:r w:rsidR="00110A93" w:rsidRPr="006C3201">
        <w:rPr>
          <w:noProof/>
        </w:rPr>
        <w:t>inn</w:t>
      </w:r>
      <w:r w:rsidRPr="006C3201">
        <w:rPr>
          <w:noProof/>
        </w:rPr>
        <w:t>ymi właściwymi instrumentami</w:t>
      </w:r>
      <w:bookmarkEnd w:id="95"/>
      <w:bookmarkEnd w:id="96"/>
      <w:bookmarkEnd w:id="97"/>
      <w:bookmarkEnd w:id="98"/>
      <w:bookmarkEnd w:id="99"/>
      <w:bookmarkEnd w:id="100"/>
    </w:p>
    <w:p w14:paraId="30975749"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 xml:space="preserve">Wniosek ma na celu uzupełnienie obowiązujących ram polityki.   </w:t>
      </w:r>
    </w:p>
    <w:p w14:paraId="38FC479D"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Jest on zgodny</w:t>
      </w:r>
      <w:r w:rsidR="00110A93" w:rsidRPr="006C3201">
        <w:rPr>
          <w:noProof/>
        </w:rPr>
        <w:t xml:space="preserve"> z</w:t>
      </w:r>
      <w:r w:rsidR="00110A93">
        <w:rPr>
          <w:noProof/>
        </w:rPr>
        <w:t> </w:t>
      </w:r>
      <w:r w:rsidR="00110A93" w:rsidRPr="006C3201">
        <w:rPr>
          <w:noProof/>
        </w:rPr>
        <w:t>wie</w:t>
      </w:r>
      <w:r w:rsidRPr="006C3201">
        <w:rPr>
          <w:noProof/>
        </w:rPr>
        <w:t>loletnimi ramami finansowymi na lata 2021–2027.</w:t>
      </w:r>
    </w:p>
    <w:p w14:paraId="41541F70" w14:textId="77777777" w:rsidR="00D048D1" w:rsidRPr="006C3201" w:rsidRDefault="00D048D1" w:rsidP="00D048D1">
      <w:pPr>
        <w:pStyle w:val="ManualHeading3"/>
        <w:rPr>
          <w:noProof/>
        </w:rPr>
      </w:pPr>
      <w:bookmarkStart w:id="101" w:name="_Toc514938036"/>
      <w:bookmarkStart w:id="102" w:name="_Toc520485039"/>
      <w:bookmarkStart w:id="103" w:name="_Toc160804581"/>
      <w:bookmarkStart w:id="104" w:name="_Toc167220273"/>
      <w:bookmarkStart w:id="105" w:name="_Toc177549006"/>
      <w:bookmarkStart w:id="106" w:name="_Toc214887221"/>
      <w:r w:rsidRPr="006C3201">
        <w:rPr>
          <w:noProof/>
        </w:rPr>
        <w:t>1.5.5.</w:t>
      </w:r>
      <w:r w:rsidRPr="006C3201">
        <w:rPr>
          <w:noProof/>
        </w:rPr>
        <w:tab/>
        <w:t>Ocena różnych dostępnych możliwości finansowania,</w:t>
      </w:r>
      <w:r w:rsidR="00110A93" w:rsidRPr="006C3201">
        <w:rPr>
          <w:noProof/>
        </w:rPr>
        <w:t xml:space="preserve"> w</w:t>
      </w:r>
      <w:r w:rsidR="00110A93">
        <w:rPr>
          <w:noProof/>
        </w:rPr>
        <w:t> </w:t>
      </w:r>
      <w:r w:rsidR="00110A93" w:rsidRPr="006C3201">
        <w:rPr>
          <w:noProof/>
        </w:rPr>
        <w:t>tym</w:t>
      </w:r>
      <w:r w:rsidRPr="006C3201">
        <w:rPr>
          <w:noProof/>
        </w:rPr>
        <w:t xml:space="preserve"> możliwości przegrupowania środków</w:t>
      </w:r>
      <w:bookmarkEnd w:id="101"/>
      <w:bookmarkEnd w:id="102"/>
      <w:bookmarkEnd w:id="103"/>
      <w:bookmarkEnd w:id="104"/>
      <w:bookmarkEnd w:id="105"/>
      <w:bookmarkEnd w:id="106"/>
    </w:p>
    <w:p w14:paraId="5346D784"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w:t>
      </w:r>
    </w:p>
    <w:p w14:paraId="5FC6B5E6" w14:textId="77777777" w:rsidR="00D048D1" w:rsidRPr="006C3201" w:rsidRDefault="00D048D1" w:rsidP="00D048D1">
      <w:pPr>
        <w:pStyle w:val="ManualHeading2"/>
        <w:rPr>
          <w:bCs/>
          <w:noProof/>
          <w:szCs w:val="24"/>
        </w:rPr>
      </w:pPr>
      <w:r w:rsidRPr="006C3201">
        <w:rPr>
          <w:noProof/>
        </w:rPr>
        <w:br w:type="page"/>
      </w:r>
      <w:bookmarkStart w:id="107" w:name="_Toc514938039"/>
      <w:bookmarkStart w:id="108" w:name="_Toc520485040"/>
      <w:bookmarkStart w:id="109" w:name="_Toc160804582"/>
      <w:bookmarkStart w:id="110" w:name="_Toc167220274"/>
      <w:bookmarkStart w:id="111" w:name="_Toc177549007"/>
      <w:bookmarkStart w:id="112" w:name="_Toc214887222"/>
      <w:r w:rsidRPr="006C3201">
        <w:rPr>
          <w:noProof/>
        </w:rPr>
        <w:t>1.6.</w:t>
      </w:r>
      <w:r w:rsidRPr="006C3201">
        <w:rPr>
          <w:noProof/>
        </w:rPr>
        <w:tab/>
        <w:t>Czas trwania wniosku/inicjatywy</w:t>
      </w:r>
      <w:r w:rsidR="00110A93" w:rsidRPr="006C3201">
        <w:rPr>
          <w:noProof/>
        </w:rPr>
        <w:t xml:space="preserve"> i</w:t>
      </w:r>
      <w:r w:rsidR="00110A93">
        <w:rPr>
          <w:noProof/>
        </w:rPr>
        <w:t> </w:t>
      </w:r>
      <w:r w:rsidR="00110A93" w:rsidRPr="006C3201">
        <w:rPr>
          <w:noProof/>
        </w:rPr>
        <w:t>jeg</w:t>
      </w:r>
      <w:r w:rsidRPr="006C3201">
        <w:rPr>
          <w:noProof/>
        </w:rPr>
        <w:t>o/jej wpływu finansowego</w:t>
      </w:r>
      <w:bookmarkEnd w:id="107"/>
      <w:bookmarkEnd w:id="108"/>
      <w:bookmarkEnd w:id="109"/>
      <w:bookmarkEnd w:id="110"/>
      <w:bookmarkEnd w:id="111"/>
      <w:bookmarkEnd w:id="112"/>
    </w:p>
    <w:p w14:paraId="653D1550" w14:textId="77777777" w:rsidR="00D048D1" w:rsidRPr="006C3201" w:rsidRDefault="00D048D1" w:rsidP="00D048D1">
      <w:pPr>
        <w:pStyle w:val="Text1"/>
        <w:rPr>
          <w:noProof/>
        </w:rPr>
      </w:pPr>
      <w:r w:rsidRPr="006C3201">
        <w:rPr>
          <w:rFonts w:ascii="Wingdings" w:hAnsi="Wingdings"/>
          <w:noProof/>
        </w:rPr>
        <w:t></w:t>
      </w:r>
      <w:r w:rsidRPr="006C3201">
        <w:rPr>
          <w:noProof/>
        </w:rPr>
        <w:t xml:space="preserve"> </w:t>
      </w:r>
      <w:r w:rsidRPr="006C3201">
        <w:rPr>
          <w:b/>
          <w:noProof/>
        </w:rPr>
        <w:t xml:space="preserve">Ograniczony czas trwania </w:t>
      </w:r>
    </w:p>
    <w:p w14:paraId="73679951" w14:textId="77777777" w:rsidR="00D048D1" w:rsidRPr="006C3201" w:rsidRDefault="00D048D1" w:rsidP="00D048D1">
      <w:pPr>
        <w:pStyle w:val="ListDash2"/>
        <w:rPr>
          <w:noProof/>
        </w:rPr>
      </w:pPr>
      <w:r w:rsidRPr="006C3201">
        <w:rPr>
          <w:rFonts w:ascii="Wingdings" w:hAnsi="Wingdings"/>
          <w:noProof/>
        </w:rPr>
        <w:t></w:t>
      </w:r>
      <w:r w:rsidRPr="006C3201">
        <w:rPr>
          <w:noProof/>
        </w:rPr>
        <w:tab/>
        <w:t xml:space="preserve">Czas trwania wniosku/inicjatywy: od [DD/MM]RRRR r. do [DD/MM]RRRR r. </w:t>
      </w:r>
    </w:p>
    <w:p w14:paraId="6871B0E9" w14:textId="77777777" w:rsidR="00D048D1" w:rsidRPr="006C3201" w:rsidRDefault="00D048D1" w:rsidP="00D048D1">
      <w:pPr>
        <w:pStyle w:val="ListDash2"/>
        <w:rPr>
          <w:noProof/>
        </w:rPr>
      </w:pPr>
      <w:r w:rsidRPr="006C3201">
        <w:rPr>
          <w:rFonts w:ascii="Wingdings" w:hAnsi="Wingdings"/>
          <w:noProof/>
        </w:rPr>
        <w:t></w:t>
      </w:r>
      <w:r w:rsidRPr="006C3201">
        <w:rPr>
          <w:noProof/>
        </w:rPr>
        <w:tab/>
        <w:t>Czas trwania wpływu finansowego: od RRRR r. do RRRR r.</w:t>
      </w:r>
      <w:r w:rsidR="00110A93" w:rsidRPr="006C3201">
        <w:rPr>
          <w:noProof/>
        </w:rPr>
        <w:t xml:space="preserve"> w</w:t>
      </w:r>
      <w:r w:rsidR="00110A93">
        <w:rPr>
          <w:noProof/>
        </w:rPr>
        <w:t> </w:t>
      </w:r>
      <w:r w:rsidR="00110A93" w:rsidRPr="006C3201">
        <w:rPr>
          <w:noProof/>
        </w:rPr>
        <w:t>odn</w:t>
      </w:r>
      <w:r w:rsidRPr="006C3201">
        <w:rPr>
          <w:noProof/>
        </w:rPr>
        <w:t>iesieniu do środków na zobowiązania oraz od RRRR r. do RRRR r.</w:t>
      </w:r>
      <w:r w:rsidR="00110A93" w:rsidRPr="006C3201">
        <w:rPr>
          <w:noProof/>
        </w:rPr>
        <w:t xml:space="preserve"> w</w:t>
      </w:r>
      <w:r w:rsidR="00110A93">
        <w:rPr>
          <w:noProof/>
        </w:rPr>
        <w:t> </w:t>
      </w:r>
      <w:r w:rsidR="00110A93" w:rsidRPr="006C3201">
        <w:rPr>
          <w:noProof/>
        </w:rPr>
        <w:t>odn</w:t>
      </w:r>
      <w:r w:rsidRPr="006C3201">
        <w:rPr>
          <w:noProof/>
        </w:rPr>
        <w:t xml:space="preserve">iesieniu do środków na płatności. </w:t>
      </w:r>
    </w:p>
    <w:p w14:paraId="6C9CB77A" w14:textId="77777777" w:rsidR="00D048D1" w:rsidRPr="006C3201" w:rsidRDefault="00D048D1" w:rsidP="00D048D1">
      <w:pPr>
        <w:pStyle w:val="Text1"/>
        <w:rPr>
          <w:noProof/>
        </w:rPr>
      </w:pPr>
      <w:r w:rsidRPr="006C3201">
        <w:rPr>
          <w:rFonts w:ascii="Segoe UI Symbol" w:hAnsi="Segoe UI Symbol"/>
          <w:i/>
          <w:noProof/>
          <w:sz w:val="22"/>
        </w:rPr>
        <w:t>✓</w:t>
      </w:r>
      <w:r w:rsidRPr="006C3201">
        <w:rPr>
          <w:b/>
          <w:i/>
          <w:noProof/>
        </w:rPr>
        <w:t xml:space="preserve"> </w:t>
      </w:r>
      <w:r w:rsidRPr="006C3201">
        <w:rPr>
          <w:b/>
          <w:noProof/>
        </w:rPr>
        <w:t>Nieograniczony czas trwania</w:t>
      </w:r>
    </w:p>
    <w:p w14:paraId="5337C58B" w14:textId="77777777" w:rsidR="00D048D1" w:rsidRPr="006C3201" w:rsidRDefault="00D048D1" w:rsidP="00D048D1">
      <w:pPr>
        <w:pStyle w:val="ListDash1"/>
        <w:rPr>
          <w:noProof/>
        </w:rPr>
      </w:pPr>
      <w:r w:rsidRPr="006C3201">
        <w:rPr>
          <w:noProof/>
        </w:rPr>
        <w:t>Wprowadzenie</w:t>
      </w:r>
      <w:r w:rsidR="00110A93" w:rsidRPr="006C3201">
        <w:rPr>
          <w:noProof/>
        </w:rPr>
        <w:t xml:space="preserve"> w</w:t>
      </w:r>
      <w:r w:rsidR="00110A93">
        <w:rPr>
          <w:noProof/>
        </w:rPr>
        <w:t> </w:t>
      </w:r>
      <w:r w:rsidR="00110A93" w:rsidRPr="006C3201">
        <w:rPr>
          <w:noProof/>
        </w:rPr>
        <w:t>życ</w:t>
      </w:r>
      <w:r w:rsidRPr="006C3201">
        <w:rPr>
          <w:noProof/>
        </w:rPr>
        <w:t>ie</w:t>
      </w:r>
      <w:r w:rsidR="00110A93" w:rsidRPr="006C3201">
        <w:rPr>
          <w:noProof/>
        </w:rPr>
        <w:t xml:space="preserve"> z</w:t>
      </w:r>
      <w:r w:rsidR="00110A93">
        <w:rPr>
          <w:noProof/>
        </w:rPr>
        <w:t> </w:t>
      </w:r>
      <w:r w:rsidR="00110A93" w:rsidRPr="006C3201">
        <w:rPr>
          <w:noProof/>
        </w:rPr>
        <w:t>okr</w:t>
      </w:r>
      <w:r w:rsidRPr="006C3201">
        <w:rPr>
          <w:noProof/>
        </w:rPr>
        <w:t>esem rozruchu od RRRR r. do RRRR r.,</w:t>
      </w:r>
    </w:p>
    <w:p w14:paraId="1DA25A03" w14:textId="77777777" w:rsidR="00D048D1" w:rsidRPr="006C3201" w:rsidRDefault="00D048D1" w:rsidP="00D048D1">
      <w:pPr>
        <w:pStyle w:val="ListDash1"/>
        <w:rPr>
          <w:noProof/>
        </w:rPr>
      </w:pPr>
      <w:r w:rsidRPr="006C3201">
        <w:rPr>
          <w:noProof/>
        </w:rPr>
        <w:t>po którym następuje faza operacyjna.</w:t>
      </w:r>
    </w:p>
    <w:p w14:paraId="7863E9DF" w14:textId="77777777" w:rsidR="00D048D1" w:rsidRPr="006C3201" w:rsidRDefault="00D048D1" w:rsidP="00D048D1">
      <w:pPr>
        <w:pStyle w:val="ManualHeading2"/>
        <w:rPr>
          <w:bCs/>
          <w:noProof/>
          <w:szCs w:val="24"/>
        </w:rPr>
      </w:pPr>
      <w:bookmarkStart w:id="113" w:name="_Toc514938040"/>
      <w:bookmarkStart w:id="114" w:name="_Toc520485041"/>
      <w:bookmarkStart w:id="115" w:name="_Toc160804583"/>
      <w:bookmarkStart w:id="116" w:name="_Toc167220275"/>
      <w:bookmarkStart w:id="117" w:name="_Toc177549008"/>
      <w:bookmarkStart w:id="118" w:name="_Toc214887223"/>
      <w:r w:rsidRPr="006C3201">
        <w:rPr>
          <w:noProof/>
        </w:rPr>
        <w:t>1.7.</w:t>
      </w:r>
      <w:r w:rsidRPr="006C3201">
        <w:rPr>
          <w:noProof/>
        </w:rPr>
        <w:tab/>
        <w:t>Planowane metody wykonania budżetu</w:t>
      </w:r>
      <w:bookmarkEnd w:id="113"/>
      <w:bookmarkEnd w:id="114"/>
      <w:bookmarkEnd w:id="115"/>
      <w:bookmarkEnd w:id="116"/>
      <w:bookmarkEnd w:id="117"/>
      <w:bookmarkEnd w:id="118"/>
    </w:p>
    <w:p w14:paraId="2C10067A" w14:textId="77777777" w:rsidR="00D048D1" w:rsidRPr="006C3201" w:rsidRDefault="00D048D1" w:rsidP="00D048D1">
      <w:pPr>
        <w:pStyle w:val="Text1"/>
        <w:rPr>
          <w:noProof/>
        </w:rPr>
      </w:pPr>
      <w:r w:rsidRPr="006C3201">
        <w:rPr>
          <w:rFonts w:ascii="Segoe UI Symbol" w:hAnsi="Segoe UI Symbol"/>
          <w:i/>
          <w:noProof/>
          <w:sz w:val="22"/>
        </w:rPr>
        <w:t>✓</w:t>
      </w:r>
      <w:r w:rsidRPr="006C3201">
        <w:rPr>
          <w:i/>
          <w:noProof/>
        </w:rPr>
        <w:t xml:space="preserve"> </w:t>
      </w:r>
      <w:r w:rsidRPr="006C3201">
        <w:rPr>
          <w:b/>
          <w:noProof/>
        </w:rPr>
        <w:t>Bezpośrednie zarządzanie</w:t>
      </w:r>
      <w:r w:rsidRPr="006C3201">
        <w:rPr>
          <w:noProof/>
        </w:rPr>
        <w:t xml:space="preserve"> przez Komisję</w:t>
      </w:r>
    </w:p>
    <w:p w14:paraId="7DD53089" w14:textId="77777777" w:rsidR="00D048D1" w:rsidRPr="006C3201" w:rsidRDefault="00D048D1" w:rsidP="00D048D1">
      <w:pPr>
        <w:pStyle w:val="ListDash2"/>
        <w:rPr>
          <w:rFonts w:cs="EUAlbertina"/>
          <w:noProof/>
        </w:rPr>
      </w:pPr>
      <w:r w:rsidRPr="00110A93">
        <w:rPr>
          <w:rFonts w:ascii="Segoe UI Symbol" w:hAnsi="Segoe UI Symbol"/>
          <w:i/>
          <w:noProof/>
          <w:sz w:val="22"/>
        </w:rPr>
        <w:t>✓</w:t>
      </w:r>
      <w:r w:rsidR="00110A93" w:rsidRPr="00110A93">
        <w:rPr>
          <w:noProof/>
        </w:rPr>
        <w:t xml:space="preserve"> w</w:t>
      </w:r>
      <w:r w:rsidR="00110A93">
        <w:rPr>
          <w:noProof/>
        </w:rPr>
        <w:t> </w:t>
      </w:r>
      <w:r w:rsidR="00110A93" w:rsidRPr="006C3201">
        <w:rPr>
          <w:noProof/>
        </w:rPr>
        <w:t>ram</w:t>
      </w:r>
      <w:r w:rsidRPr="006C3201">
        <w:rPr>
          <w:noProof/>
        </w:rPr>
        <w:t>ach jej służb,</w:t>
      </w:r>
      <w:r w:rsidR="00110A93" w:rsidRPr="006C3201">
        <w:rPr>
          <w:noProof/>
        </w:rPr>
        <w:t xml:space="preserve"> w</w:t>
      </w:r>
      <w:r w:rsidR="00110A93">
        <w:rPr>
          <w:noProof/>
        </w:rPr>
        <w:t> </w:t>
      </w:r>
      <w:r w:rsidR="00110A93" w:rsidRPr="006C3201">
        <w:rPr>
          <w:noProof/>
        </w:rPr>
        <w:t>tym</w:t>
      </w:r>
      <w:r w:rsidRPr="006C3201">
        <w:rPr>
          <w:noProof/>
        </w:rPr>
        <w:t xml:space="preserve"> za pośrednictwem jej pracowników</w:t>
      </w:r>
      <w:r w:rsidR="00110A93" w:rsidRPr="006C3201">
        <w:rPr>
          <w:noProof/>
        </w:rPr>
        <w:t xml:space="preserve"> w</w:t>
      </w:r>
      <w:r w:rsidR="00110A93">
        <w:rPr>
          <w:noProof/>
        </w:rPr>
        <w:t> </w:t>
      </w:r>
      <w:r w:rsidR="00110A93" w:rsidRPr="006C3201">
        <w:rPr>
          <w:noProof/>
        </w:rPr>
        <w:t>del</w:t>
      </w:r>
      <w:r w:rsidRPr="006C3201">
        <w:rPr>
          <w:noProof/>
        </w:rPr>
        <w:t xml:space="preserve">egaturach Unii; </w:t>
      </w:r>
    </w:p>
    <w:p w14:paraId="76B3FD24" w14:textId="77777777" w:rsidR="00D048D1" w:rsidRPr="006C3201" w:rsidRDefault="00D048D1" w:rsidP="00D048D1">
      <w:pPr>
        <w:pStyle w:val="ListDash2"/>
        <w:rPr>
          <w:noProof/>
        </w:rPr>
      </w:pPr>
      <w:r w:rsidRPr="006C3201">
        <w:rPr>
          <w:rFonts w:ascii="Wingdings" w:hAnsi="Wingdings"/>
          <w:noProof/>
        </w:rPr>
        <w:t></w:t>
      </w:r>
      <w:r w:rsidRPr="006C3201">
        <w:rPr>
          <w:noProof/>
        </w:rPr>
        <w:tab/>
        <w:t xml:space="preserve">przez agencje wykonawcze </w:t>
      </w:r>
    </w:p>
    <w:p w14:paraId="72033434" w14:textId="77777777" w:rsidR="00D048D1" w:rsidRPr="006C3201" w:rsidRDefault="00D048D1" w:rsidP="00D048D1">
      <w:pPr>
        <w:pStyle w:val="Text1"/>
        <w:rPr>
          <w:noProof/>
        </w:rPr>
      </w:pPr>
      <w:r w:rsidRPr="006C3201">
        <w:rPr>
          <w:rFonts w:ascii="Wingdings" w:hAnsi="Wingdings"/>
          <w:noProof/>
        </w:rPr>
        <w:t></w:t>
      </w:r>
      <w:r w:rsidRPr="006C3201">
        <w:rPr>
          <w:b/>
          <w:i/>
          <w:noProof/>
        </w:rPr>
        <w:t xml:space="preserve"> </w:t>
      </w:r>
      <w:r w:rsidRPr="006C3201">
        <w:rPr>
          <w:b/>
          <w:noProof/>
        </w:rPr>
        <w:t>Zarządzanie dzielone</w:t>
      </w:r>
      <w:r w:rsidR="00110A93" w:rsidRPr="006C3201">
        <w:rPr>
          <w:noProof/>
        </w:rPr>
        <w:t xml:space="preserve"> z</w:t>
      </w:r>
      <w:r w:rsidR="00110A93">
        <w:rPr>
          <w:noProof/>
        </w:rPr>
        <w:t> </w:t>
      </w:r>
      <w:r w:rsidR="00110A93" w:rsidRPr="006C3201">
        <w:rPr>
          <w:noProof/>
        </w:rPr>
        <w:t>pań</w:t>
      </w:r>
      <w:r w:rsidRPr="006C3201">
        <w:rPr>
          <w:noProof/>
        </w:rPr>
        <w:t xml:space="preserve">stwami członkowskimi </w:t>
      </w:r>
    </w:p>
    <w:p w14:paraId="7FF69EE8" w14:textId="77777777" w:rsidR="00D048D1" w:rsidRPr="006C3201" w:rsidRDefault="00D048D1" w:rsidP="00D048D1">
      <w:pPr>
        <w:pStyle w:val="Text1"/>
        <w:rPr>
          <w:noProof/>
        </w:rPr>
      </w:pPr>
      <w:r w:rsidRPr="006C3201">
        <w:rPr>
          <w:rFonts w:ascii="Wingdings" w:hAnsi="Wingdings"/>
          <w:noProof/>
        </w:rPr>
        <w:t></w:t>
      </w:r>
      <w:r w:rsidRPr="006C3201">
        <w:rPr>
          <w:i/>
          <w:noProof/>
        </w:rPr>
        <w:t xml:space="preserve"> </w:t>
      </w:r>
      <w:r w:rsidRPr="006C3201">
        <w:rPr>
          <w:b/>
          <w:noProof/>
        </w:rPr>
        <w:t>Zarządzanie pośrednie</w:t>
      </w:r>
      <w:r w:rsidRPr="006C3201">
        <w:rPr>
          <w:noProof/>
        </w:rPr>
        <w:t xml:space="preserve"> przez przekazanie zadań związanych</w:t>
      </w:r>
      <w:r w:rsidR="00110A93" w:rsidRPr="006C3201">
        <w:rPr>
          <w:noProof/>
        </w:rPr>
        <w:t xml:space="preserve"> z</w:t>
      </w:r>
      <w:r w:rsidR="00110A93">
        <w:rPr>
          <w:noProof/>
        </w:rPr>
        <w:t> </w:t>
      </w:r>
      <w:r w:rsidR="00110A93" w:rsidRPr="006C3201">
        <w:rPr>
          <w:noProof/>
        </w:rPr>
        <w:t>wyk</w:t>
      </w:r>
      <w:r w:rsidRPr="006C3201">
        <w:rPr>
          <w:noProof/>
        </w:rPr>
        <w:t>onaniem budżetu:</w:t>
      </w:r>
    </w:p>
    <w:p w14:paraId="333B1967" w14:textId="77777777" w:rsidR="00D048D1" w:rsidRPr="006C3201" w:rsidRDefault="00D048D1" w:rsidP="00D048D1">
      <w:pPr>
        <w:pStyle w:val="ListDash2"/>
        <w:rPr>
          <w:noProof/>
        </w:rPr>
      </w:pPr>
      <w:r w:rsidRPr="006C3201">
        <w:rPr>
          <w:rFonts w:ascii="Wingdings" w:hAnsi="Wingdings"/>
          <w:noProof/>
        </w:rPr>
        <w:t></w:t>
      </w:r>
      <w:r w:rsidRPr="006C3201">
        <w:rPr>
          <w:noProof/>
        </w:rPr>
        <w:t xml:space="preserve"> państwom trzecim lub organom przez nie wyznaczonym</w:t>
      </w:r>
    </w:p>
    <w:p w14:paraId="7D4A4647" w14:textId="77777777" w:rsidR="00D048D1" w:rsidRPr="006C3201" w:rsidRDefault="00D048D1" w:rsidP="00D048D1">
      <w:pPr>
        <w:pStyle w:val="ListDash2"/>
        <w:rPr>
          <w:noProof/>
        </w:rPr>
      </w:pPr>
      <w:r w:rsidRPr="006C3201">
        <w:rPr>
          <w:rFonts w:ascii="Wingdings" w:hAnsi="Wingdings"/>
          <w:noProof/>
        </w:rPr>
        <w:t></w:t>
      </w:r>
      <w:r w:rsidRPr="006C3201">
        <w:rPr>
          <w:noProof/>
        </w:rPr>
        <w:t xml:space="preserve"> organizacjom międzynarodowym</w:t>
      </w:r>
      <w:r w:rsidR="00110A93" w:rsidRPr="006C3201">
        <w:rPr>
          <w:noProof/>
        </w:rPr>
        <w:t xml:space="preserve"> i</w:t>
      </w:r>
      <w:r w:rsidR="00110A93">
        <w:rPr>
          <w:noProof/>
        </w:rPr>
        <w:t> </w:t>
      </w:r>
      <w:r w:rsidR="00110A93" w:rsidRPr="006C3201">
        <w:rPr>
          <w:noProof/>
        </w:rPr>
        <w:t>ich</w:t>
      </w:r>
      <w:r w:rsidRPr="006C3201">
        <w:rPr>
          <w:noProof/>
        </w:rPr>
        <w:t xml:space="preserve"> agencjom (wyszczególnić)</w:t>
      </w:r>
    </w:p>
    <w:p w14:paraId="25770509" w14:textId="77777777" w:rsidR="00D048D1" w:rsidRPr="006C3201" w:rsidRDefault="00D048D1" w:rsidP="00D048D1">
      <w:pPr>
        <w:pStyle w:val="ListDash2"/>
        <w:rPr>
          <w:noProof/>
        </w:rPr>
      </w:pPr>
      <w:r w:rsidRPr="006C3201">
        <w:rPr>
          <w:rFonts w:ascii="Wingdings" w:hAnsi="Wingdings"/>
          <w:noProof/>
        </w:rPr>
        <w:t></w:t>
      </w:r>
      <w:r w:rsidRPr="006C3201">
        <w:rPr>
          <w:noProof/>
        </w:rPr>
        <w:t xml:space="preserve"> Europejskiemu Bankowi Inwestycyjnemu</w:t>
      </w:r>
      <w:r w:rsidR="00110A93" w:rsidRPr="006C3201">
        <w:rPr>
          <w:noProof/>
        </w:rPr>
        <w:t xml:space="preserve"> i</w:t>
      </w:r>
      <w:r w:rsidR="00110A93">
        <w:rPr>
          <w:noProof/>
        </w:rPr>
        <w:t> </w:t>
      </w:r>
      <w:r w:rsidR="00110A93" w:rsidRPr="006C3201">
        <w:rPr>
          <w:noProof/>
        </w:rPr>
        <w:t>Eur</w:t>
      </w:r>
      <w:r w:rsidRPr="006C3201">
        <w:rPr>
          <w:noProof/>
        </w:rPr>
        <w:t>opejskiemu Funduszowi Inwestycyjnemu</w:t>
      </w:r>
    </w:p>
    <w:p w14:paraId="6208EBD4" w14:textId="77777777" w:rsidR="00D048D1" w:rsidRPr="006C3201" w:rsidRDefault="00D048D1" w:rsidP="00D048D1">
      <w:pPr>
        <w:pStyle w:val="ListDash2"/>
        <w:rPr>
          <w:noProof/>
        </w:rPr>
      </w:pPr>
      <w:r w:rsidRPr="006C3201">
        <w:rPr>
          <w:rFonts w:ascii="Wingdings" w:hAnsi="Wingdings"/>
          <w:noProof/>
        </w:rPr>
        <w:t></w:t>
      </w:r>
      <w:r w:rsidRPr="006C3201">
        <w:rPr>
          <w:noProof/>
        </w:rPr>
        <w:t xml:space="preserve"> organom,</w:t>
      </w:r>
      <w:r w:rsidR="00110A93" w:rsidRPr="006C3201">
        <w:rPr>
          <w:noProof/>
        </w:rPr>
        <w:t xml:space="preserve"> o</w:t>
      </w:r>
      <w:r w:rsidR="00110A93">
        <w:rPr>
          <w:noProof/>
        </w:rPr>
        <w:t> </w:t>
      </w:r>
      <w:r w:rsidR="00110A93" w:rsidRPr="006C3201">
        <w:rPr>
          <w:noProof/>
        </w:rPr>
        <w:t>któ</w:t>
      </w:r>
      <w:r w:rsidRPr="006C3201">
        <w:rPr>
          <w:noProof/>
        </w:rPr>
        <w:t>rych mowa</w:t>
      </w:r>
      <w:r w:rsidR="00110A93" w:rsidRPr="006C3201">
        <w:rPr>
          <w:noProof/>
        </w:rPr>
        <w:t xml:space="preserve"> w</w:t>
      </w:r>
      <w:r w:rsidR="00110A93">
        <w:rPr>
          <w:noProof/>
        </w:rPr>
        <w:t> </w:t>
      </w:r>
      <w:r w:rsidR="00110A93" w:rsidRPr="00110A93">
        <w:rPr>
          <w:noProof/>
        </w:rPr>
        <w:t>art</w:t>
      </w:r>
      <w:r w:rsidRPr="00110A93">
        <w:rPr>
          <w:noProof/>
        </w:rPr>
        <w:t>.</w:t>
      </w:r>
      <w:r w:rsidR="00110A93" w:rsidRPr="00110A93">
        <w:rPr>
          <w:noProof/>
        </w:rPr>
        <w:t> </w:t>
      </w:r>
      <w:r w:rsidRPr="00110A93">
        <w:rPr>
          <w:noProof/>
        </w:rPr>
        <w:t>7</w:t>
      </w:r>
      <w:r w:rsidRPr="006C3201">
        <w:rPr>
          <w:noProof/>
        </w:rPr>
        <w:t>0</w:t>
      </w:r>
      <w:r w:rsidR="00110A93" w:rsidRPr="006C3201">
        <w:rPr>
          <w:noProof/>
        </w:rPr>
        <w:t xml:space="preserve"> i</w:t>
      </w:r>
      <w:r w:rsidR="00110A93">
        <w:rPr>
          <w:noProof/>
        </w:rPr>
        <w:t> </w:t>
      </w:r>
      <w:r w:rsidR="00110A93" w:rsidRPr="006C3201">
        <w:rPr>
          <w:noProof/>
        </w:rPr>
        <w:t>7</w:t>
      </w:r>
      <w:r w:rsidRPr="006C3201">
        <w:rPr>
          <w:noProof/>
        </w:rPr>
        <w:t>1 rozporządzenia finansowego</w:t>
      </w:r>
    </w:p>
    <w:p w14:paraId="0B4C21C0" w14:textId="77777777" w:rsidR="00D048D1" w:rsidRPr="006C3201" w:rsidRDefault="00D048D1" w:rsidP="00D048D1">
      <w:pPr>
        <w:pStyle w:val="ListDash2"/>
        <w:rPr>
          <w:noProof/>
        </w:rPr>
      </w:pPr>
      <w:r w:rsidRPr="006C3201">
        <w:rPr>
          <w:rFonts w:ascii="Wingdings" w:hAnsi="Wingdings"/>
          <w:noProof/>
        </w:rPr>
        <w:t></w:t>
      </w:r>
      <w:r w:rsidRPr="006C3201">
        <w:rPr>
          <w:noProof/>
        </w:rPr>
        <w:t xml:space="preserve"> organom prawa publicznego</w:t>
      </w:r>
    </w:p>
    <w:p w14:paraId="02B76E4A" w14:textId="77777777" w:rsidR="00D048D1" w:rsidRPr="006C3201" w:rsidRDefault="00D048D1" w:rsidP="00D048D1">
      <w:pPr>
        <w:pStyle w:val="ListDash2"/>
        <w:rPr>
          <w:noProof/>
        </w:rPr>
      </w:pPr>
      <w:r w:rsidRPr="006C3201">
        <w:rPr>
          <w:rFonts w:ascii="Wingdings" w:hAnsi="Wingdings"/>
          <w:noProof/>
        </w:rPr>
        <w:t></w:t>
      </w:r>
      <w:r w:rsidRPr="006C3201">
        <w:rPr>
          <w:noProof/>
        </w:rPr>
        <w:t xml:space="preserve"> podmiotom podlegającym prawu prywatnemu, które świadczą usługi użyteczności publicznej,</w:t>
      </w:r>
      <w:r w:rsidR="00110A93" w:rsidRPr="006C3201">
        <w:rPr>
          <w:noProof/>
        </w:rPr>
        <w:t xml:space="preserve"> w</w:t>
      </w:r>
      <w:r w:rsidR="00110A93">
        <w:rPr>
          <w:noProof/>
        </w:rPr>
        <w:t> </w:t>
      </w:r>
      <w:r w:rsidR="00110A93" w:rsidRPr="006C3201">
        <w:rPr>
          <w:noProof/>
        </w:rPr>
        <w:t>zak</w:t>
      </w:r>
      <w:r w:rsidRPr="006C3201">
        <w:rPr>
          <w:noProof/>
        </w:rPr>
        <w:t>resie,</w:t>
      </w:r>
      <w:r w:rsidR="00110A93" w:rsidRPr="006C3201">
        <w:rPr>
          <w:noProof/>
        </w:rPr>
        <w:t xml:space="preserve"> w</w:t>
      </w:r>
      <w:r w:rsidR="00110A93">
        <w:rPr>
          <w:noProof/>
        </w:rPr>
        <w:t> </w:t>
      </w:r>
      <w:r w:rsidR="00110A93" w:rsidRPr="006C3201">
        <w:rPr>
          <w:noProof/>
        </w:rPr>
        <w:t>jak</w:t>
      </w:r>
      <w:r w:rsidRPr="006C3201">
        <w:rPr>
          <w:noProof/>
        </w:rPr>
        <w:t>im są im zapewnione odpowiednie gwarancje finansowe</w:t>
      </w:r>
    </w:p>
    <w:p w14:paraId="520EAE73" w14:textId="77777777" w:rsidR="00D048D1" w:rsidRPr="006C3201" w:rsidRDefault="00D048D1" w:rsidP="00D048D1">
      <w:pPr>
        <w:pStyle w:val="ListDash2"/>
        <w:rPr>
          <w:noProof/>
        </w:rPr>
      </w:pPr>
      <w:r w:rsidRPr="006C3201">
        <w:rPr>
          <w:rFonts w:ascii="Wingdings" w:hAnsi="Wingdings"/>
          <w:noProof/>
        </w:rPr>
        <w:t></w:t>
      </w:r>
      <w:r w:rsidRPr="006C3201">
        <w:rPr>
          <w:noProof/>
        </w:rPr>
        <w:t xml:space="preserve"> podmiotom podlegającym prawu prywatnemu państwa członkowskiego, którym powierzono realizację partnerstwa publiczno-prywatnego</w:t>
      </w:r>
      <w:r w:rsidR="00110A93" w:rsidRPr="006C3201">
        <w:rPr>
          <w:noProof/>
        </w:rPr>
        <w:t xml:space="preserve"> i</w:t>
      </w:r>
      <w:r w:rsidR="00110A93">
        <w:rPr>
          <w:noProof/>
        </w:rPr>
        <w:t> </w:t>
      </w:r>
      <w:r w:rsidR="00110A93" w:rsidRPr="006C3201">
        <w:rPr>
          <w:noProof/>
        </w:rPr>
        <w:t>zap</w:t>
      </w:r>
      <w:r w:rsidRPr="006C3201">
        <w:rPr>
          <w:noProof/>
        </w:rPr>
        <w:t>ewniono odpowiednie gwarancje finansowe</w:t>
      </w:r>
    </w:p>
    <w:p w14:paraId="18475A02" w14:textId="77777777" w:rsidR="00D048D1" w:rsidRPr="006C3201" w:rsidRDefault="00D048D1" w:rsidP="00D048D1">
      <w:pPr>
        <w:pStyle w:val="ListDash2"/>
        <w:rPr>
          <w:noProof/>
        </w:rPr>
      </w:pPr>
      <w:r w:rsidRPr="006C3201">
        <w:rPr>
          <w:rFonts w:ascii="Wingdings" w:hAnsi="Wingdings"/>
          <w:noProof/>
        </w:rPr>
        <w:t></w:t>
      </w:r>
      <w:r w:rsidRPr="006C3201">
        <w:rPr>
          <w:noProof/>
        </w:rPr>
        <w:t xml:space="preserve"> podmiotom lub osobom odpowiedzialnym za wykonanie określonych działań</w:t>
      </w:r>
      <w:r w:rsidR="00110A93" w:rsidRPr="006C3201">
        <w:rPr>
          <w:noProof/>
        </w:rPr>
        <w:t xml:space="preserve"> w</w:t>
      </w:r>
      <w:r w:rsidR="00110A93">
        <w:rPr>
          <w:noProof/>
        </w:rPr>
        <w:t> </w:t>
      </w:r>
      <w:r w:rsidR="00110A93" w:rsidRPr="006C3201">
        <w:rPr>
          <w:noProof/>
        </w:rPr>
        <w:t>dzi</w:t>
      </w:r>
      <w:r w:rsidRPr="006C3201">
        <w:rPr>
          <w:noProof/>
        </w:rPr>
        <w:t>edzinie wspólnej polityki zagranicznej</w:t>
      </w:r>
      <w:r w:rsidR="00110A93" w:rsidRPr="006C3201">
        <w:rPr>
          <w:noProof/>
        </w:rPr>
        <w:t xml:space="preserve"> i</w:t>
      </w:r>
      <w:r w:rsidR="00110A93">
        <w:rPr>
          <w:noProof/>
        </w:rPr>
        <w:t> </w:t>
      </w:r>
      <w:r w:rsidR="00110A93" w:rsidRPr="006C3201">
        <w:rPr>
          <w:noProof/>
        </w:rPr>
        <w:t>bez</w:t>
      </w:r>
      <w:r w:rsidRPr="006C3201">
        <w:rPr>
          <w:noProof/>
        </w:rPr>
        <w:t>pieczeństwa na mocy tytułu V Traktatu</w:t>
      </w:r>
      <w:r w:rsidR="00110A93" w:rsidRPr="006C3201">
        <w:rPr>
          <w:noProof/>
        </w:rPr>
        <w:t xml:space="preserve"> o</w:t>
      </w:r>
      <w:r w:rsidR="00110A93">
        <w:rPr>
          <w:noProof/>
        </w:rPr>
        <w:t> </w:t>
      </w:r>
      <w:r w:rsidR="00110A93" w:rsidRPr="006C3201">
        <w:rPr>
          <w:noProof/>
        </w:rPr>
        <w:t>Uni</w:t>
      </w:r>
      <w:r w:rsidRPr="006C3201">
        <w:rPr>
          <w:noProof/>
        </w:rPr>
        <w:t>i Europejskiej oraz określonym we właściwym podstawowym akcie prawnym</w:t>
      </w:r>
    </w:p>
    <w:p w14:paraId="0454BC3F" w14:textId="77777777" w:rsidR="00D048D1" w:rsidRPr="006C3201" w:rsidRDefault="00D048D1" w:rsidP="00D048D1">
      <w:pPr>
        <w:pStyle w:val="ListDash2"/>
        <w:rPr>
          <w:noProof/>
        </w:rPr>
      </w:pPr>
      <w:r w:rsidRPr="006C3201">
        <w:rPr>
          <w:rFonts w:ascii="Wingdings" w:hAnsi="Wingdings"/>
          <w:noProof/>
        </w:rPr>
        <w:t></w:t>
      </w:r>
      <w:r w:rsidRPr="006C3201">
        <w:rPr>
          <w:rFonts w:ascii="Wingdings" w:hAnsi="Wingdings"/>
          <w:noProof/>
        </w:rPr>
        <w:t></w:t>
      </w:r>
      <w:r w:rsidRPr="006C3201">
        <w:rPr>
          <w:noProof/>
        </w:rPr>
        <w:t xml:space="preserve"> podmiotom mającym siedzibę</w:t>
      </w:r>
      <w:r w:rsidR="00110A93" w:rsidRPr="006C3201">
        <w:rPr>
          <w:noProof/>
        </w:rPr>
        <w:t xml:space="preserve"> w</w:t>
      </w:r>
      <w:r w:rsidR="00110A93">
        <w:rPr>
          <w:noProof/>
        </w:rPr>
        <w:t> </w:t>
      </w:r>
      <w:r w:rsidR="00110A93" w:rsidRPr="006C3201">
        <w:rPr>
          <w:noProof/>
        </w:rPr>
        <w:t>pań</w:t>
      </w:r>
      <w:r w:rsidRPr="006C3201">
        <w:rPr>
          <w:noProof/>
        </w:rPr>
        <w:t>stwie członkowskim, podlegającym prawu prywatnemu państwa członkowskiego lub prawu Unii</w:t>
      </w:r>
      <w:r w:rsidR="00110A93" w:rsidRPr="006C3201">
        <w:rPr>
          <w:noProof/>
        </w:rPr>
        <w:t xml:space="preserve"> i</w:t>
      </w:r>
      <w:r w:rsidR="00110A93">
        <w:rPr>
          <w:noProof/>
        </w:rPr>
        <w:t> </w:t>
      </w:r>
      <w:r w:rsidR="00110A93" w:rsidRPr="006C3201">
        <w:rPr>
          <w:noProof/>
        </w:rPr>
        <w:t>kwa</w:t>
      </w:r>
      <w:r w:rsidRPr="006C3201">
        <w:rPr>
          <w:noProof/>
        </w:rPr>
        <w:t>lifikującym się, zgodnie</w:t>
      </w:r>
      <w:r w:rsidR="00110A93" w:rsidRPr="006C3201">
        <w:rPr>
          <w:noProof/>
        </w:rPr>
        <w:t xml:space="preserve"> z</w:t>
      </w:r>
      <w:r w:rsidR="00110A93">
        <w:rPr>
          <w:noProof/>
        </w:rPr>
        <w:t> </w:t>
      </w:r>
      <w:r w:rsidR="00110A93" w:rsidRPr="006C3201">
        <w:rPr>
          <w:noProof/>
        </w:rPr>
        <w:t>prz</w:t>
      </w:r>
      <w:r w:rsidRPr="006C3201">
        <w:rPr>
          <w:noProof/>
        </w:rPr>
        <w:t>episami sektorowymi, do powierzenia im wykonywania środków finansowych Unii lub gwarancji budżetowych,</w:t>
      </w:r>
      <w:r w:rsidR="00110A93" w:rsidRPr="006C3201">
        <w:rPr>
          <w:noProof/>
        </w:rPr>
        <w:t xml:space="preserve"> w</w:t>
      </w:r>
      <w:r w:rsidR="00110A93">
        <w:rPr>
          <w:noProof/>
        </w:rPr>
        <w:t> </w:t>
      </w:r>
      <w:r w:rsidR="00110A93" w:rsidRPr="006C3201">
        <w:rPr>
          <w:noProof/>
        </w:rPr>
        <w:t>zak</w:t>
      </w:r>
      <w:r w:rsidRPr="006C3201">
        <w:rPr>
          <w:noProof/>
        </w:rPr>
        <w:t>resie,</w:t>
      </w:r>
      <w:r w:rsidR="00110A93" w:rsidRPr="006C3201">
        <w:rPr>
          <w:noProof/>
        </w:rPr>
        <w:t xml:space="preserve"> w</w:t>
      </w:r>
      <w:r w:rsidR="00110A93">
        <w:rPr>
          <w:noProof/>
        </w:rPr>
        <w:t> </w:t>
      </w:r>
      <w:r w:rsidR="00110A93" w:rsidRPr="006C3201">
        <w:rPr>
          <w:noProof/>
        </w:rPr>
        <w:t>jak</w:t>
      </w:r>
      <w:r w:rsidRPr="006C3201">
        <w:rPr>
          <w:noProof/>
        </w:rPr>
        <w:t>im podmioty te są kontrolowane przez podmioty prawa publicznego lub podmioty podlegające prawu prywatnemu świadczące usługi użyteczności publicznej,</w:t>
      </w:r>
      <w:r w:rsidR="00110A93" w:rsidRPr="006C3201">
        <w:rPr>
          <w:noProof/>
        </w:rPr>
        <w:t xml:space="preserve"> a</w:t>
      </w:r>
      <w:r w:rsidR="00110A93">
        <w:rPr>
          <w:noProof/>
        </w:rPr>
        <w:t> </w:t>
      </w:r>
      <w:r w:rsidR="00110A93" w:rsidRPr="006C3201">
        <w:rPr>
          <w:noProof/>
        </w:rPr>
        <w:t>tak</w:t>
      </w:r>
      <w:r w:rsidRPr="006C3201">
        <w:rPr>
          <w:noProof/>
        </w:rPr>
        <w:t>że posiadają odpowiednie gwarancje finansowe</w:t>
      </w:r>
      <w:r w:rsidR="00110A93" w:rsidRPr="006C3201">
        <w:rPr>
          <w:noProof/>
        </w:rPr>
        <w:t xml:space="preserve"> w</w:t>
      </w:r>
      <w:r w:rsidR="00110A93">
        <w:rPr>
          <w:noProof/>
        </w:rPr>
        <w:t> </w:t>
      </w:r>
      <w:r w:rsidR="00110A93" w:rsidRPr="006C3201">
        <w:rPr>
          <w:noProof/>
        </w:rPr>
        <w:t>for</w:t>
      </w:r>
      <w:r w:rsidRPr="006C3201">
        <w:rPr>
          <w:noProof/>
        </w:rPr>
        <w:t>mie odpowiedzialności solidarnej organów kontrolnych lub równoważne gwarancje finansowe, które mogą być ograniczone,</w:t>
      </w:r>
      <w:r w:rsidR="00110A93" w:rsidRPr="006C3201">
        <w:rPr>
          <w:noProof/>
        </w:rPr>
        <w:t xml:space="preserve"> w</w:t>
      </w:r>
      <w:r w:rsidR="00110A93">
        <w:rPr>
          <w:noProof/>
        </w:rPr>
        <w:t> </w:t>
      </w:r>
      <w:r w:rsidR="00110A93" w:rsidRPr="006C3201">
        <w:rPr>
          <w:noProof/>
        </w:rPr>
        <w:t>odn</w:t>
      </w:r>
      <w:r w:rsidRPr="006C3201">
        <w:rPr>
          <w:noProof/>
        </w:rPr>
        <w:t>iesieniu do każdego działania, do maksymalnej kwoty wsparcia Unii.</w:t>
      </w:r>
    </w:p>
    <w:p w14:paraId="41C6753C" w14:textId="77777777" w:rsidR="00D048D1" w:rsidRPr="006C3201" w:rsidRDefault="00D048D1" w:rsidP="00D048D1">
      <w:pPr>
        <w:rPr>
          <w:noProof/>
        </w:rPr>
      </w:pPr>
      <w:r w:rsidRPr="006C3201">
        <w:rPr>
          <w:noProof/>
        </w:rPr>
        <w:t xml:space="preserve">Uwagi </w:t>
      </w:r>
    </w:p>
    <w:p w14:paraId="758C490C" w14:textId="77777777" w:rsidR="00D048D1" w:rsidRPr="006C3201" w:rsidRDefault="00D048D1" w:rsidP="00D048D1">
      <w:pPr>
        <w:pBdr>
          <w:top w:val="single" w:sz="4" w:space="1" w:color="auto"/>
          <w:left w:val="single" w:sz="4" w:space="4" w:color="auto"/>
          <w:bottom w:val="single" w:sz="4" w:space="1" w:color="auto"/>
          <w:right w:val="single" w:sz="4" w:space="4" w:color="auto"/>
        </w:pBdr>
        <w:rPr>
          <w:noProof/>
        </w:rPr>
      </w:pPr>
      <w:r w:rsidRPr="006C3201">
        <w:rPr>
          <w:noProof/>
        </w:rPr>
        <w:t>Obecny zespół będzie kontynuował zarządzanie inicjatywą. Dodatkowe zasoby ludzkie nie są wymagane.</w:t>
      </w:r>
    </w:p>
    <w:p w14:paraId="21DB51CA" w14:textId="77777777" w:rsidR="00D048D1" w:rsidRPr="006C3201" w:rsidRDefault="00D048D1" w:rsidP="00D048D1">
      <w:pPr>
        <w:rPr>
          <w:noProof/>
        </w:rPr>
        <w:sectPr w:rsidR="00D048D1" w:rsidRPr="006C3201" w:rsidSect="00F93B7D">
          <w:pgSz w:w="11907" w:h="16840" w:code="9"/>
          <w:pgMar w:top="1134" w:right="1418" w:bottom="1134" w:left="1418" w:header="709" w:footer="709" w:gutter="0"/>
          <w:cols w:space="708"/>
          <w:docGrid w:linePitch="360"/>
        </w:sectPr>
      </w:pPr>
    </w:p>
    <w:p w14:paraId="75DD72BE" w14:textId="77777777" w:rsidR="00D048D1" w:rsidRPr="006C3201" w:rsidRDefault="00D048D1" w:rsidP="00D048D1">
      <w:pPr>
        <w:pStyle w:val="ManualHeading1"/>
        <w:rPr>
          <w:bCs/>
          <w:noProof/>
          <w:szCs w:val="24"/>
        </w:rPr>
      </w:pPr>
      <w:bookmarkStart w:id="119" w:name="_Toc514938041"/>
      <w:bookmarkStart w:id="120" w:name="_Toc520485042"/>
      <w:bookmarkStart w:id="121" w:name="_Toc160804584"/>
      <w:bookmarkStart w:id="122" w:name="_Toc167220276"/>
      <w:bookmarkStart w:id="123" w:name="_Toc177549009"/>
      <w:bookmarkStart w:id="124" w:name="_Toc214887224"/>
      <w:r w:rsidRPr="006C3201">
        <w:rPr>
          <w:noProof/>
        </w:rPr>
        <w:t>2.</w:t>
      </w:r>
      <w:r w:rsidRPr="006C3201">
        <w:rPr>
          <w:noProof/>
        </w:rPr>
        <w:tab/>
        <w:t>ŚRODKI ZARZĄDZANIA</w:t>
      </w:r>
      <w:bookmarkEnd w:id="119"/>
      <w:bookmarkEnd w:id="120"/>
      <w:bookmarkEnd w:id="121"/>
      <w:bookmarkEnd w:id="122"/>
      <w:bookmarkEnd w:id="123"/>
      <w:bookmarkEnd w:id="124"/>
      <w:r w:rsidRPr="006C3201">
        <w:rPr>
          <w:noProof/>
        </w:rPr>
        <w:t xml:space="preserve"> </w:t>
      </w:r>
    </w:p>
    <w:p w14:paraId="4B87E459" w14:textId="77777777" w:rsidR="00D048D1" w:rsidRPr="006C3201" w:rsidRDefault="00D048D1" w:rsidP="00D048D1">
      <w:pPr>
        <w:pStyle w:val="ManualHeading2"/>
        <w:rPr>
          <w:noProof/>
        </w:rPr>
      </w:pPr>
      <w:bookmarkStart w:id="125" w:name="_Toc514938042"/>
      <w:bookmarkStart w:id="126" w:name="_Toc520485043"/>
      <w:bookmarkStart w:id="127" w:name="_Toc160804585"/>
      <w:bookmarkStart w:id="128" w:name="_Toc167220277"/>
      <w:bookmarkStart w:id="129" w:name="_Toc177549010"/>
      <w:bookmarkStart w:id="130" w:name="_Toc214887225"/>
      <w:r w:rsidRPr="006C3201">
        <w:rPr>
          <w:noProof/>
        </w:rPr>
        <w:t>2.1.</w:t>
      </w:r>
      <w:r w:rsidRPr="006C3201">
        <w:rPr>
          <w:noProof/>
        </w:rPr>
        <w:tab/>
        <w:t>Zasady nadzoru</w:t>
      </w:r>
      <w:r w:rsidR="00110A93" w:rsidRPr="006C3201">
        <w:rPr>
          <w:noProof/>
        </w:rPr>
        <w:t xml:space="preserve"> i</w:t>
      </w:r>
      <w:r w:rsidR="00110A93">
        <w:rPr>
          <w:noProof/>
        </w:rPr>
        <w:t> </w:t>
      </w:r>
      <w:r w:rsidR="00110A93" w:rsidRPr="006C3201">
        <w:rPr>
          <w:noProof/>
        </w:rPr>
        <w:t>spr</w:t>
      </w:r>
      <w:r w:rsidRPr="006C3201">
        <w:rPr>
          <w:noProof/>
        </w:rPr>
        <w:t>awozdawczości</w:t>
      </w:r>
      <w:bookmarkEnd w:id="125"/>
      <w:bookmarkEnd w:id="126"/>
      <w:bookmarkEnd w:id="127"/>
      <w:bookmarkEnd w:id="128"/>
      <w:bookmarkEnd w:id="129"/>
      <w:bookmarkEnd w:id="130"/>
      <w:r w:rsidRPr="006C3201">
        <w:rPr>
          <w:noProof/>
        </w:rPr>
        <w:t xml:space="preserve"> </w:t>
      </w:r>
    </w:p>
    <w:p w14:paraId="375017F4"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Wniosek opiera się na Europejskim prawie</w:t>
      </w:r>
      <w:r w:rsidR="00110A93" w:rsidRPr="006C3201">
        <w:rPr>
          <w:noProof/>
        </w:rPr>
        <w:t xml:space="preserve"> o</w:t>
      </w:r>
      <w:r w:rsidR="00110A93">
        <w:rPr>
          <w:noProof/>
        </w:rPr>
        <w:t> </w:t>
      </w:r>
      <w:r w:rsidR="00110A93" w:rsidRPr="006C3201">
        <w:rPr>
          <w:noProof/>
        </w:rPr>
        <w:t>kli</w:t>
      </w:r>
      <w:r w:rsidRPr="006C3201">
        <w:rPr>
          <w:noProof/>
        </w:rPr>
        <w:t>macie,</w:t>
      </w:r>
      <w:r w:rsidR="00110A93" w:rsidRPr="006C3201">
        <w:rPr>
          <w:noProof/>
        </w:rPr>
        <w:t xml:space="preserve"> w</w:t>
      </w:r>
      <w:r w:rsidR="00110A93">
        <w:rPr>
          <w:noProof/>
        </w:rPr>
        <w:t> </w:t>
      </w:r>
      <w:r w:rsidR="00110A93" w:rsidRPr="006C3201">
        <w:rPr>
          <w:noProof/>
        </w:rPr>
        <w:t>tym</w:t>
      </w:r>
      <w:r w:rsidRPr="006C3201">
        <w:rPr>
          <w:noProof/>
        </w:rPr>
        <w:t xml:space="preserve"> na tych samych ocenach przeprowadzonych przez Komisję (jak dotychczas). Podstawą Europejskiego prawa</w:t>
      </w:r>
      <w:r w:rsidR="00110A93" w:rsidRPr="006C3201">
        <w:rPr>
          <w:noProof/>
        </w:rPr>
        <w:t xml:space="preserve"> o</w:t>
      </w:r>
      <w:r w:rsidR="00110A93">
        <w:rPr>
          <w:noProof/>
        </w:rPr>
        <w:t> </w:t>
      </w:r>
      <w:r w:rsidR="00110A93" w:rsidRPr="006C3201">
        <w:rPr>
          <w:noProof/>
        </w:rPr>
        <w:t>kli</w:t>
      </w:r>
      <w:r w:rsidRPr="006C3201">
        <w:rPr>
          <w:noProof/>
        </w:rPr>
        <w:t>macie są solidne ramy na rzecz przejrzystości</w:t>
      </w:r>
      <w:r w:rsidR="00110A93" w:rsidRPr="006C3201">
        <w:rPr>
          <w:noProof/>
        </w:rPr>
        <w:t xml:space="preserve"> w</w:t>
      </w:r>
      <w:r w:rsidR="00110A93">
        <w:rPr>
          <w:noProof/>
        </w:rPr>
        <w:t> </w:t>
      </w:r>
      <w:r w:rsidR="00110A93" w:rsidRPr="006C3201">
        <w:rPr>
          <w:noProof/>
        </w:rPr>
        <w:t>odn</w:t>
      </w:r>
      <w:r w:rsidRPr="006C3201">
        <w:rPr>
          <w:noProof/>
        </w:rPr>
        <w:t>iesieniu do emisji gazów cieplarnianych oraz innych informacji dotyczących klimatu określonych</w:t>
      </w:r>
      <w:r w:rsidR="00110A93" w:rsidRPr="006C3201">
        <w:rPr>
          <w:noProof/>
        </w:rPr>
        <w:t xml:space="preserve"> w</w:t>
      </w:r>
      <w:r w:rsidR="00110A93">
        <w:rPr>
          <w:noProof/>
        </w:rPr>
        <w:t> </w:t>
      </w:r>
      <w:r w:rsidR="00110A93" w:rsidRPr="006C3201">
        <w:rPr>
          <w:noProof/>
        </w:rPr>
        <w:t>roz</w:t>
      </w:r>
      <w:r w:rsidRPr="006C3201">
        <w:rPr>
          <w:noProof/>
        </w:rPr>
        <w:t>porządzeniu</w:t>
      </w:r>
      <w:r w:rsidR="00110A93" w:rsidRPr="006C3201">
        <w:rPr>
          <w:noProof/>
        </w:rPr>
        <w:t xml:space="preserve"> w</w:t>
      </w:r>
      <w:r w:rsidR="00110A93">
        <w:rPr>
          <w:noProof/>
        </w:rPr>
        <w:t> </w:t>
      </w:r>
      <w:r w:rsidR="00110A93" w:rsidRPr="006C3201">
        <w:rPr>
          <w:noProof/>
        </w:rPr>
        <w:t>spr</w:t>
      </w:r>
      <w:r w:rsidRPr="006C3201">
        <w:rPr>
          <w:noProof/>
        </w:rPr>
        <w:t>awie zarządzania unią energetyczną</w:t>
      </w:r>
      <w:r w:rsidR="00110A93" w:rsidRPr="006C3201">
        <w:rPr>
          <w:noProof/>
        </w:rPr>
        <w:t xml:space="preserve"> i</w:t>
      </w:r>
      <w:r w:rsidR="00110A93">
        <w:rPr>
          <w:noProof/>
        </w:rPr>
        <w:t> </w:t>
      </w:r>
      <w:r w:rsidR="00110A93" w:rsidRPr="006C3201">
        <w:rPr>
          <w:noProof/>
        </w:rPr>
        <w:t>dzi</w:t>
      </w:r>
      <w:r w:rsidRPr="006C3201">
        <w:rPr>
          <w:noProof/>
        </w:rPr>
        <w:t>ałaniami</w:t>
      </w:r>
      <w:r w:rsidR="00110A93" w:rsidRPr="006C3201">
        <w:rPr>
          <w:noProof/>
        </w:rPr>
        <w:t xml:space="preserve"> w</w:t>
      </w:r>
      <w:r w:rsidR="00110A93">
        <w:rPr>
          <w:noProof/>
        </w:rPr>
        <w:t> </w:t>
      </w:r>
      <w:r w:rsidR="00110A93" w:rsidRPr="006C3201">
        <w:rPr>
          <w:noProof/>
        </w:rPr>
        <w:t>dzi</w:t>
      </w:r>
      <w:r w:rsidRPr="006C3201">
        <w:rPr>
          <w:noProof/>
        </w:rPr>
        <w:t>edzinie klimatu,</w:t>
      </w:r>
      <w:r w:rsidR="00110A93" w:rsidRPr="006C3201">
        <w:rPr>
          <w:noProof/>
        </w:rPr>
        <w:t xml:space="preserve"> a</w:t>
      </w:r>
      <w:r w:rsidR="00110A93">
        <w:rPr>
          <w:noProof/>
        </w:rPr>
        <w:t> </w:t>
      </w:r>
      <w:r w:rsidR="00110A93" w:rsidRPr="006C3201">
        <w:rPr>
          <w:noProof/>
        </w:rPr>
        <w:t>nie</w:t>
      </w:r>
      <w:r w:rsidRPr="006C3201">
        <w:rPr>
          <w:noProof/>
        </w:rPr>
        <w:t xml:space="preserve"> tworzenie dodatkowych kanałów sprawozdawczości przez państwa członkowskie. </w:t>
      </w:r>
    </w:p>
    <w:p w14:paraId="16B3BB84" w14:textId="77777777" w:rsidR="00D048D1" w:rsidRPr="006C3201" w:rsidRDefault="00D048D1" w:rsidP="00D048D1">
      <w:pPr>
        <w:pStyle w:val="ManualHeading2"/>
        <w:rPr>
          <w:bCs/>
          <w:noProof/>
          <w:szCs w:val="24"/>
        </w:rPr>
      </w:pPr>
      <w:bookmarkStart w:id="131" w:name="_Toc514938045"/>
      <w:bookmarkStart w:id="132" w:name="_Toc520485044"/>
      <w:bookmarkStart w:id="133" w:name="_Toc160804586"/>
      <w:bookmarkStart w:id="134" w:name="_Toc167220278"/>
      <w:bookmarkStart w:id="135" w:name="_Toc177549011"/>
      <w:bookmarkStart w:id="136" w:name="_Toc214887226"/>
      <w:r w:rsidRPr="006C3201">
        <w:rPr>
          <w:noProof/>
        </w:rPr>
        <w:t>2.2.</w:t>
      </w:r>
      <w:r w:rsidRPr="006C3201">
        <w:rPr>
          <w:noProof/>
        </w:rPr>
        <w:tab/>
        <w:t>System zarządzania</w:t>
      </w:r>
      <w:r w:rsidR="00110A93" w:rsidRPr="006C3201">
        <w:rPr>
          <w:noProof/>
        </w:rPr>
        <w:t xml:space="preserve"> i</w:t>
      </w:r>
      <w:r w:rsidR="00110A93">
        <w:rPr>
          <w:noProof/>
        </w:rPr>
        <w:t> </w:t>
      </w:r>
      <w:r w:rsidR="00110A93" w:rsidRPr="006C3201">
        <w:rPr>
          <w:noProof/>
        </w:rPr>
        <w:t>kon</w:t>
      </w:r>
      <w:r w:rsidRPr="006C3201">
        <w:rPr>
          <w:noProof/>
        </w:rPr>
        <w:t>troli</w:t>
      </w:r>
      <w:bookmarkEnd w:id="131"/>
      <w:bookmarkEnd w:id="132"/>
      <w:bookmarkEnd w:id="133"/>
      <w:bookmarkEnd w:id="134"/>
      <w:bookmarkEnd w:id="135"/>
      <w:bookmarkEnd w:id="136"/>
      <w:r w:rsidRPr="006C3201">
        <w:rPr>
          <w:noProof/>
        </w:rPr>
        <w:t xml:space="preserve"> </w:t>
      </w:r>
    </w:p>
    <w:p w14:paraId="082D828F" w14:textId="77777777" w:rsidR="00D048D1" w:rsidRPr="006C3201" w:rsidRDefault="00D048D1" w:rsidP="00D048D1">
      <w:pPr>
        <w:pStyle w:val="ManualHeading3"/>
        <w:rPr>
          <w:noProof/>
        </w:rPr>
      </w:pPr>
      <w:bookmarkStart w:id="137" w:name="_Toc514938046"/>
      <w:bookmarkStart w:id="138" w:name="_Toc520485045"/>
      <w:bookmarkStart w:id="139" w:name="_Toc160804587"/>
      <w:bookmarkStart w:id="140" w:name="_Toc167220279"/>
      <w:bookmarkStart w:id="141" w:name="_Toc177549012"/>
      <w:bookmarkStart w:id="142" w:name="_Toc214887227"/>
      <w:r w:rsidRPr="006C3201">
        <w:rPr>
          <w:noProof/>
        </w:rPr>
        <w:t>2.2.1.</w:t>
      </w:r>
      <w:r w:rsidRPr="006C3201">
        <w:rPr>
          <w:noProof/>
        </w:rPr>
        <w:tab/>
        <w:t>Uzasadnienie dla proponowanych metod wykonania budżetu, mechanizmów finansowania wykonania, sposobów dokonywania płatności</w:t>
      </w:r>
      <w:r w:rsidR="00110A93" w:rsidRPr="006C3201">
        <w:rPr>
          <w:noProof/>
        </w:rPr>
        <w:t xml:space="preserve"> i</w:t>
      </w:r>
      <w:r w:rsidR="00110A93">
        <w:rPr>
          <w:noProof/>
        </w:rPr>
        <w:t> </w:t>
      </w:r>
      <w:r w:rsidR="00110A93" w:rsidRPr="006C3201">
        <w:rPr>
          <w:noProof/>
        </w:rPr>
        <w:t>str</w:t>
      </w:r>
      <w:r w:rsidRPr="006C3201">
        <w:rPr>
          <w:noProof/>
        </w:rPr>
        <w:t>ategii kontroli</w:t>
      </w:r>
      <w:bookmarkEnd w:id="137"/>
      <w:bookmarkEnd w:id="138"/>
      <w:bookmarkEnd w:id="139"/>
      <w:bookmarkEnd w:id="140"/>
      <w:bookmarkEnd w:id="141"/>
      <w:bookmarkEnd w:id="142"/>
    </w:p>
    <w:p w14:paraId="54F665FD"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Nie dotyczy. Wniosek nie wprowadza</w:t>
      </w:r>
      <w:r w:rsidR="00110A93" w:rsidRPr="006C3201">
        <w:rPr>
          <w:noProof/>
        </w:rPr>
        <w:t xml:space="preserve"> w</w:t>
      </w:r>
      <w:r w:rsidR="00110A93">
        <w:rPr>
          <w:noProof/>
        </w:rPr>
        <w:t> </w:t>
      </w:r>
      <w:r w:rsidR="00110A93" w:rsidRPr="006C3201">
        <w:rPr>
          <w:noProof/>
        </w:rPr>
        <w:t>życ</w:t>
      </w:r>
      <w:r w:rsidRPr="006C3201">
        <w:rPr>
          <w:noProof/>
        </w:rPr>
        <w:t>ie programu finansowego, lecz służy realizacji długoterminowej polityki. Tryb zarządzania, mechanizmy finansowania wykonania, warunki płatności oraz strategie kontroli</w:t>
      </w:r>
      <w:r w:rsidR="00110A93" w:rsidRPr="006C3201">
        <w:rPr>
          <w:noProof/>
        </w:rPr>
        <w:t xml:space="preserve"> w</w:t>
      </w:r>
      <w:r w:rsidR="00110A93">
        <w:rPr>
          <w:noProof/>
        </w:rPr>
        <w:t> </w:t>
      </w:r>
      <w:r w:rsidR="00110A93" w:rsidRPr="006C3201">
        <w:rPr>
          <w:noProof/>
        </w:rPr>
        <w:t>odn</w:t>
      </w:r>
      <w:r w:rsidRPr="006C3201">
        <w:rPr>
          <w:noProof/>
        </w:rPr>
        <w:t xml:space="preserve">iesieniu do poziomów błędu nie mają zastosowania. </w:t>
      </w:r>
    </w:p>
    <w:p w14:paraId="0BB3840A" w14:textId="77777777" w:rsidR="00D048D1" w:rsidRPr="006C3201" w:rsidRDefault="00D048D1" w:rsidP="00D048D1">
      <w:pPr>
        <w:pStyle w:val="ManualHeading3"/>
        <w:rPr>
          <w:bCs/>
          <w:noProof/>
          <w:szCs w:val="24"/>
        </w:rPr>
      </w:pPr>
      <w:bookmarkStart w:id="143" w:name="_Toc514938047"/>
      <w:bookmarkStart w:id="144" w:name="_Toc520485046"/>
      <w:bookmarkStart w:id="145" w:name="_Toc160804588"/>
      <w:bookmarkStart w:id="146" w:name="_Toc167220280"/>
      <w:bookmarkStart w:id="147" w:name="_Toc177549013"/>
      <w:bookmarkStart w:id="148" w:name="_Toc214887228"/>
      <w:r w:rsidRPr="006C3201">
        <w:rPr>
          <w:noProof/>
        </w:rPr>
        <w:t>2.2.2.</w:t>
      </w:r>
      <w:r w:rsidRPr="006C3201">
        <w:rPr>
          <w:noProof/>
        </w:rPr>
        <w:tab/>
        <w:t>Informacje dotyczące zidentyfikowanego ryzyka</w:t>
      </w:r>
      <w:r w:rsidR="00110A93" w:rsidRPr="006C3201">
        <w:rPr>
          <w:noProof/>
        </w:rPr>
        <w:t xml:space="preserve"> i</w:t>
      </w:r>
      <w:r w:rsidR="00110A93">
        <w:rPr>
          <w:noProof/>
        </w:rPr>
        <w:t> </w:t>
      </w:r>
      <w:r w:rsidR="00110A93" w:rsidRPr="006C3201">
        <w:rPr>
          <w:noProof/>
        </w:rPr>
        <w:t>sys</w:t>
      </w:r>
      <w:r w:rsidRPr="006C3201">
        <w:rPr>
          <w:noProof/>
        </w:rPr>
        <w:t>temów kontroli wewnętrznej ustanowionych</w:t>
      </w:r>
      <w:r w:rsidR="00110A93" w:rsidRPr="006C3201">
        <w:rPr>
          <w:noProof/>
        </w:rPr>
        <w:t xml:space="preserve"> w</w:t>
      </w:r>
      <w:r w:rsidR="00110A93">
        <w:rPr>
          <w:noProof/>
        </w:rPr>
        <w:t> </w:t>
      </w:r>
      <w:r w:rsidR="00110A93" w:rsidRPr="006C3201">
        <w:rPr>
          <w:noProof/>
        </w:rPr>
        <w:t>cel</w:t>
      </w:r>
      <w:r w:rsidRPr="006C3201">
        <w:rPr>
          <w:noProof/>
        </w:rPr>
        <w:t>u jego ograniczenia</w:t>
      </w:r>
      <w:bookmarkEnd w:id="143"/>
      <w:bookmarkEnd w:id="144"/>
      <w:bookmarkEnd w:id="145"/>
      <w:bookmarkEnd w:id="146"/>
      <w:bookmarkEnd w:id="147"/>
      <w:bookmarkEnd w:id="148"/>
    </w:p>
    <w:p w14:paraId="00DD210B"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Zgodnie</w:t>
      </w:r>
      <w:r w:rsidR="00110A93" w:rsidRPr="006C3201">
        <w:rPr>
          <w:noProof/>
        </w:rPr>
        <w:t xml:space="preserve"> z</w:t>
      </w:r>
      <w:r w:rsidR="00110A93">
        <w:rPr>
          <w:noProof/>
        </w:rPr>
        <w:t> </w:t>
      </w:r>
      <w:r w:rsidR="00110A93" w:rsidRPr="006C3201">
        <w:rPr>
          <w:noProof/>
        </w:rPr>
        <w:t>dyr</w:t>
      </w:r>
      <w:r w:rsidRPr="006C3201">
        <w:rPr>
          <w:noProof/>
        </w:rPr>
        <w:t>ektywą EU ETS Komisja przeprowadza regularną ocenę postępów,</w:t>
      </w:r>
      <w:r w:rsidR="00110A93" w:rsidRPr="006C3201">
        <w:rPr>
          <w:noProof/>
        </w:rPr>
        <w:t xml:space="preserve"> a</w:t>
      </w:r>
      <w:r w:rsidR="00110A93">
        <w:rPr>
          <w:noProof/>
        </w:rPr>
        <w:t> </w:t>
      </w:r>
      <w:r w:rsidR="00110A93" w:rsidRPr="006C3201">
        <w:rPr>
          <w:noProof/>
        </w:rPr>
        <w:t>w</w:t>
      </w:r>
      <w:r w:rsidR="00110A93">
        <w:rPr>
          <w:noProof/>
        </w:rPr>
        <w:t> </w:t>
      </w:r>
      <w:r w:rsidR="00110A93" w:rsidRPr="006C3201">
        <w:rPr>
          <w:noProof/>
        </w:rPr>
        <w:t>raz</w:t>
      </w:r>
      <w:r w:rsidRPr="006C3201">
        <w:rPr>
          <w:noProof/>
        </w:rPr>
        <w:t>ie potrzeby wydaje zalecenia</w:t>
      </w:r>
      <w:r w:rsidR="00110A93" w:rsidRPr="006C3201">
        <w:rPr>
          <w:noProof/>
        </w:rPr>
        <w:t xml:space="preserve"> i</w:t>
      </w:r>
      <w:r w:rsidR="00110A93">
        <w:rPr>
          <w:noProof/>
        </w:rPr>
        <w:t> </w:t>
      </w:r>
      <w:r w:rsidR="00110A93" w:rsidRPr="006C3201">
        <w:rPr>
          <w:noProof/>
        </w:rPr>
        <w:t>okr</w:t>
      </w:r>
      <w:r w:rsidRPr="006C3201">
        <w:rPr>
          <w:noProof/>
        </w:rPr>
        <w:t>eśla dodatkowe środki.</w:t>
      </w:r>
    </w:p>
    <w:p w14:paraId="3E495952" w14:textId="77777777" w:rsidR="00D048D1" w:rsidRPr="006C3201" w:rsidRDefault="00D048D1" w:rsidP="00D048D1">
      <w:pPr>
        <w:pStyle w:val="ManualHeading3"/>
        <w:rPr>
          <w:noProof/>
        </w:rPr>
      </w:pPr>
      <w:bookmarkStart w:id="149" w:name="_Toc514938048"/>
      <w:bookmarkStart w:id="150" w:name="_Toc520485047"/>
      <w:bookmarkStart w:id="151" w:name="_Toc160804589"/>
      <w:bookmarkStart w:id="152" w:name="_Toc167220281"/>
      <w:bookmarkStart w:id="153" w:name="_Toc177549014"/>
      <w:bookmarkStart w:id="154" w:name="_Toc214887229"/>
      <w:r w:rsidRPr="006C3201">
        <w:rPr>
          <w:noProof/>
        </w:rPr>
        <w:t>2.2.3.</w:t>
      </w:r>
      <w:r w:rsidRPr="006C3201">
        <w:rPr>
          <w:noProof/>
        </w:rPr>
        <w:tab/>
        <w:t>Oszacowanie</w:t>
      </w:r>
      <w:r w:rsidR="00110A93" w:rsidRPr="006C3201">
        <w:rPr>
          <w:noProof/>
        </w:rPr>
        <w:t xml:space="preserve"> i</w:t>
      </w:r>
      <w:r w:rsidR="00110A93">
        <w:rPr>
          <w:noProof/>
        </w:rPr>
        <w:t> </w:t>
      </w:r>
      <w:r w:rsidR="00110A93" w:rsidRPr="006C3201">
        <w:rPr>
          <w:noProof/>
        </w:rPr>
        <w:t>uza</w:t>
      </w:r>
      <w:r w:rsidRPr="006C3201">
        <w:rPr>
          <w:noProof/>
        </w:rPr>
        <w:t>sadnienie efektywności kosztowej kontroli (relacja kosztów kontroli do wartości zarządzanych funduszy powiązanych) oraz ocena prawdopodobnego ryzyka błędu (przy płatności</w:t>
      </w:r>
      <w:r w:rsidR="00110A93" w:rsidRPr="006C3201">
        <w:rPr>
          <w:noProof/>
        </w:rPr>
        <w:t xml:space="preserve"> i</w:t>
      </w:r>
      <w:r w:rsidR="00110A93">
        <w:rPr>
          <w:noProof/>
        </w:rPr>
        <w:t> </w:t>
      </w:r>
      <w:r w:rsidR="00110A93" w:rsidRPr="006C3201">
        <w:rPr>
          <w:noProof/>
        </w:rPr>
        <w:t>prz</w:t>
      </w:r>
      <w:r w:rsidRPr="006C3201">
        <w:rPr>
          <w:noProof/>
        </w:rPr>
        <w:t>y zamykaniu)</w:t>
      </w:r>
      <w:bookmarkEnd w:id="149"/>
      <w:bookmarkEnd w:id="150"/>
      <w:bookmarkEnd w:id="151"/>
      <w:bookmarkEnd w:id="152"/>
      <w:bookmarkEnd w:id="153"/>
      <w:bookmarkEnd w:id="154"/>
      <w:r w:rsidRPr="006C3201">
        <w:rPr>
          <w:noProof/>
        </w:rPr>
        <w:t xml:space="preserve"> </w:t>
      </w:r>
    </w:p>
    <w:p w14:paraId="1EF46CB8"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Niniejsza inicjatywa nie pociąga za sobą nowych znaczących rodzajów kontroli/ryzyka, które nie byłyby już uwzględnione przez istniejące wewnętrzne ramy kontroli. Nie przewiduje się żadnych szczególnych środków wykraczających poza stosowanie rozporządzenia finansowego.</w:t>
      </w:r>
    </w:p>
    <w:p w14:paraId="21FB8A30" w14:textId="77777777" w:rsidR="00D048D1" w:rsidRPr="006C3201" w:rsidRDefault="00D048D1" w:rsidP="00D048D1">
      <w:pPr>
        <w:pStyle w:val="ManualHeading2"/>
        <w:rPr>
          <w:bCs/>
          <w:noProof/>
          <w:szCs w:val="24"/>
        </w:rPr>
      </w:pPr>
      <w:bookmarkStart w:id="155" w:name="_Toc514938049"/>
      <w:bookmarkStart w:id="156" w:name="_Toc520485048"/>
      <w:bookmarkStart w:id="157" w:name="_Toc160804590"/>
      <w:bookmarkStart w:id="158" w:name="_Toc167220282"/>
      <w:bookmarkStart w:id="159" w:name="_Toc177549015"/>
      <w:bookmarkStart w:id="160" w:name="_Toc214887230"/>
      <w:r w:rsidRPr="006C3201">
        <w:rPr>
          <w:noProof/>
        </w:rPr>
        <w:t>2.3.</w:t>
      </w:r>
      <w:r w:rsidRPr="006C3201">
        <w:rPr>
          <w:noProof/>
        </w:rPr>
        <w:tab/>
        <w:t>Środki zapobiegania nadużyciom finansowym</w:t>
      </w:r>
      <w:r w:rsidR="00110A93" w:rsidRPr="006C3201">
        <w:rPr>
          <w:noProof/>
        </w:rPr>
        <w:t xml:space="preserve"> i</w:t>
      </w:r>
      <w:r w:rsidR="00110A93">
        <w:rPr>
          <w:noProof/>
        </w:rPr>
        <w:t> </w:t>
      </w:r>
      <w:r w:rsidR="00110A93" w:rsidRPr="006C3201">
        <w:rPr>
          <w:noProof/>
        </w:rPr>
        <w:t>nie</w:t>
      </w:r>
      <w:r w:rsidRPr="006C3201">
        <w:rPr>
          <w:noProof/>
        </w:rPr>
        <w:t>prawidłowościom</w:t>
      </w:r>
      <w:bookmarkEnd w:id="155"/>
      <w:bookmarkEnd w:id="156"/>
      <w:bookmarkEnd w:id="157"/>
      <w:bookmarkEnd w:id="158"/>
      <w:bookmarkEnd w:id="159"/>
      <w:bookmarkEnd w:id="160"/>
      <w:r w:rsidRPr="006C3201">
        <w:rPr>
          <w:noProof/>
        </w:rPr>
        <w:t xml:space="preserve"> </w:t>
      </w:r>
    </w:p>
    <w:p w14:paraId="49F127E2"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Nie przewiduje się żadnych szczególnych środków wykraczających poza stosowanie rozporządzenia finansowego.</w:t>
      </w:r>
    </w:p>
    <w:p w14:paraId="4393D7C7" w14:textId="77777777" w:rsidR="00D048D1" w:rsidRPr="006C3201" w:rsidRDefault="00D048D1" w:rsidP="00D048D1">
      <w:pPr>
        <w:rPr>
          <w:noProof/>
        </w:rPr>
        <w:sectPr w:rsidR="00D048D1" w:rsidRPr="006C3201" w:rsidSect="00F93B7D">
          <w:pgSz w:w="11907" w:h="16840" w:code="9"/>
          <w:pgMar w:top="1134" w:right="1418" w:bottom="1134" w:left="1418" w:header="709" w:footer="709" w:gutter="0"/>
          <w:cols w:space="708"/>
          <w:docGrid w:linePitch="360"/>
        </w:sectPr>
      </w:pPr>
    </w:p>
    <w:p w14:paraId="19C9BC7F" w14:textId="77777777" w:rsidR="00D048D1" w:rsidRPr="006C3201" w:rsidRDefault="00D048D1" w:rsidP="00D048D1">
      <w:pPr>
        <w:pStyle w:val="ManualHeading1"/>
        <w:rPr>
          <w:bCs/>
          <w:noProof/>
          <w:szCs w:val="24"/>
        </w:rPr>
      </w:pPr>
      <w:bookmarkStart w:id="161" w:name="_Toc514938050"/>
      <w:bookmarkStart w:id="162" w:name="_Toc520485049"/>
      <w:bookmarkStart w:id="163" w:name="_Toc160804591"/>
      <w:bookmarkStart w:id="164" w:name="_Toc167220283"/>
      <w:bookmarkStart w:id="165" w:name="_Toc177549016"/>
      <w:bookmarkStart w:id="166" w:name="_Toc214887231"/>
      <w:r w:rsidRPr="006C3201">
        <w:rPr>
          <w:noProof/>
        </w:rPr>
        <w:t>3.</w:t>
      </w:r>
      <w:r w:rsidRPr="006C3201">
        <w:rPr>
          <w:noProof/>
        </w:rPr>
        <w:tab/>
        <w:t>SZACUNKOWY WPŁYW FINANSOWY WNIOSKU/INICJATYWY</w:t>
      </w:r>
      <w:bookmarkEnd w:id="161"/>
      <w:bookmarkEnd w:id="162"/>
      <w:bookmarkEnd w:id="163"/>
      <w:bookmarkEnd w:id="164"/>
      <w:bookmarkEnd w:id="165"/>
      <w:bookmarkEnd w:id="166"/>
      <w:r w:rsidRPr="006C3201">
        <w:rPr>
          <w:noProof/>
        </w:rPr>
        <w:t xml:space="preserve"> </w:t>
      </w:r>
    </w:p>
    <w:p w14:paraId="6B510763" w14:textId="77777777" w:rsidR="00D048D1" w:rsidRPr="006C3201" w:rsidRDefault="00D048D1" w:rsidP="00D048D1">
      <w:pPr>
        <w:pStyle w:val="ManualHeading2"/>
        <w:rPr>
          <w:noProof/>
        </w:rPr>
      </w:pPr>
      <w:bookmarkStart w:id="167" w:name="_Toc514938051"/>
      <w:bookmarkStart w:id="168" w:name="_Toc520485050"/>
      <w:bookmarkStart w:id="169" w:name="_Toc160804592"/>
      <w:bookmarkStart w:id="170" w:name="_Toc167220284"/>
      <w:bookmarkStart w:id="171" w:name="_Toc177549017"/>
      <w:bookmarkStart w:id="172" w:name="_Toc214887232"/>
      <w:r w:rsidRPr="006C3201">
        <w:rPr>
          <w:noProof/>
        </w:rPr>
        <w:t>3.1.</w:t>
      </w:r>
      <w:r w:rsidRPr="006C3201">
        <w:rPr>
          <w:noProof/>
        </w:rPr>
        <w:tab/>
        <w:t>Działy wieloletnich ram finansowych</w:t>
      </w:r>
      <w:r w:rsidR="00110A93" w:rsidRPr="006C3201">
        <w:rPr>
          <w:noProof/>
        </w:rPr>
        <w:t xml:space="preserve"> i</w:t>
      </w:r>
      <w:r w:rsidR="00110A93">
        <w:rPr>
          <w:noProof/>
        </w:rPr>
        <w:t> </w:t>
      </w:r>
      <w:r w:rsidR="00110A93" w:rsidRPr="006C3201">
        <w:rPr>
          <w:noProof/>
        </w:rPr>
        <w:t>lin</w:t>
      </w:r>
      <w:r w:rsidRPr="006C3201">
        <w:rPr>
          <w:noProof/>
        </w:rPr>
        <w:t>ie budżetowe po stronie wydatków, na które wniosek/inicjatywa ma wpływ</w:t>
      </w:r>
      <w:bookmarkEnd w:id="167"/>
      <w:bookmarkEnd w:id="168"/>
      <w:bookmarkEnd w:id="169"/>
      <w:bookmarkEnd w:id="170"/>
      <w:bookmarkEnd w:id="171"/>
      <w:bookmarkEnd w:id="172"/>
      <w:r w:rsidRPr="006C3201">
        <w:rPr>
          <w:noProof/>
        </w:rPr>
        <w:t xml:space="preserve"> </w:t>
      </w:r>
    </w:p>
    <w:p w14:paraId="1E954419" w14:textId="77777777" w:rsidR="00D048D1" w:rsidRPr="006C3201" w:rsidRDefault="00D048D1" w:rsidP="00D048D1">
      <w:pPr>
        <w:pStyle w:val="ListBullet1"/>
        <w:rPr>
          <w:noProof/>
        </w:rPr>
      </w:pPr>
      <w:r w:rsidRPr="006C3201">
        <w:rPr>
          <w:noProof/>
        </w:rPr>
        <w:t xml:space="preserve">Istniejące linie budżetowe </w:t>
      </w:r>
    </w:p>
    <w:p w14:paraId="5F62328B" w14:textId="77777777" w:rsidR="00D048D1" w:rsidRPr="006C3201" w:rsidRDefault="00D048D1" w:rsidP="00D048D1">
      <w:pPr>
        <w:pStyle w:val="Text1"/>
        <w:rPr>
          <w:i/>
          <w:noProof/>
        </w:rPr>
      </w:pPr>
      <w:r w:rsidRPr="006C3201">
        <w:rPr>
          <w:i/>
          <w:noProof/>
          <w:u w:val="single"/>
        </w:rPr>
        <w:t>Według</w:t>
      </w:r>
      <w:r w:rsidRPr="006C3201">
        <w:rPr>
          <w:i/>
          <w:noProof/>
        </w:rPr>
        <w:t xml:space="preserve"> działów wieloletnich ram finansowych</w:t>
      </w:r>
      <w:r w:rsidR="00110A93" w:rsidRPr="006C3201">
        <w:rPr>
          <w:i/>
          <w:noProof/>
        </w:rPr>
        <w:t xml:space="preserve"> i</w:t>
      </w:r>
      <w:r w:rsidR="00110A93">
        <w:rPr>
          <w:i/>
          <w:noProof/>
        </w:rPr>
        <w:t> </w:t>
      </w:r>
      <w:r w:rsidR="00110A93" w:rsidRPr="006C3201">
        <w:rPr>
          <w:i/>
          <w:noProof/>
        </w:rPr>
        <w:t>lin</w:t>
      </w:r>
      <w:r w:rsidRPr="006C3201">
        <w:rPr>
          <w:i/>
          <w:noProof/>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E43BAD" w:rsidRPr="006C3201" w14:paraId="03A67C80" w14:textId="77777777">
        <w:trPr>
          <w:jc w:val="center"/>
        </w:trPr>
        <w:tc>
          <w:tcPr>
            <w:tcW w:w="1092" w:type="dxa"/>
            <w:vMerge w:val="restart"/>
            <w:vAlign w:val="center"/>
          </w:tcPr>
          <w:p w14:paraId="5539F8EE" w14:textId="77777777" w:rsidR="00D048D1" w:rsidRPr="006C3201" w:rsidRDefault="00D048D1">
            <w:pPr>
              <w:spacing w:before="60" w:after="60"/>
              <w:jc w:val="center"/>
              <w:rPr>
                <w:noProof/>
              </w:rPr>
            </w:pPr>
            <w:r w:rsidRPr="006C3201">
              <w:rPr>
                <w:noProof/>
                <w:sz w:val="18"/>
              </w:rPr>
              <w:t>Dział wieloletnich ram finansowych</w:t>
            </w:r>
          </w:p>
        </w:tc>
        <w:tc>
          <w:tcPr>
            <w:tcW w:w="4002" w:type="dxa"/>
            <w:vAlign w:val="center"/>
          </w:tcPr>
          <w:p w14:paraId="2C0F94A9" w14:textId="77777777" w:rsidR="00D048D1" w:rsidRPr="006C3201" w:rsidRDefault="00D048D1">
            <w:pPr>
              <w:spacing w:before="60" w:after="60"/>
              <w:jc w:val="center"/>
              <w:rPr>
                <w:noProof/>
              </w:rPr>
            </w:pPr>
            <w:r w:rsidRPr="006C3201">
              <w:rPr>
                <w:noProof/>
                <w:sz w:val="20"/>
              </w:rPr>
              <w:t>Linia budżetowa</w:t>
            </w:r>
          </w:p>
        </w:tc>
        <w:tc>
          <w:tcPr>
            <w:tcW w:w="1092" w:type="dxa"/>
            <w:vAlign w:val="center"/>
          </w:tcPr>
          <w:p w14:paraId="6CC6D4D5" w14:textId="77777777" w:rsidR="00D048D1" w:rsidRPr="006C3201" w:rsidRDefault="00D048D1">
            <w:pPr>
              <w:spacing w:before="60" w:after="60"/>
              <w:jc w:val="center"/>
              <w:rPr>
                <w:noProof/>
              </w:rPr>
            </w:pPr>
            <w:r w:rsidRPr="006C3201">
              <w:rPr>
                <w:noProof/>
                <w:sz w:val="18"/>
              </w:rPr>
              <w:t>Rodzaj środków</w:t>
            </w:r>
          </w:p>
        </w:tc>
        <w:tc>
          <w:tcPr>
            <w:tcW w:w="4487" w:type="dxa"/>
            <w:gridSpan w:val="4"/>
            <w:vAlign w:val="center"/>
          </w:tcPr>
          <w:p w14:paraId="22DFED7C" w14:textId="77777777" w:rsidR="00D048D1" w:rsidRPr="006C3201" w:rsidRDefault="00D048D1">
            <w:pPr>
              <w:spacing w:before="60" w:after="60"/>
              <w:jc w:val="center"/>
              <w:rPr>
                <w:noProof/>
              </w:rPr>
            </w:pPr>
            <w:r w:rsidRPr="006C3201">
              <w:rPr>
                <w:noProof/>
                <w:sz w:val="20"/>
              </w:rPr>
              <w:t xml:space="preserve">Wkład </w:t>
            </w:r>
          </w:p>
        </w:tc>
      </w:tr>
      <w:tr w:rsidR="00E43BAD" w:rsidRPr="006C3201" w14:paraId="003050EC" w14:textId="77777777">
        <w:trPr>
          <w:cantSplit/>
          <w:jc w:val="center"/>
        </w:trPr>
        <w:tc>
          <w:tcPr>
            <w:tcW w:w="1092" w:type="dxa"/>
            <w:vMerge/>
            <w:vAlign w:val="center"/>
          </w:tcPr>
          <w:p w14:paraId="2502F4CC" w14:textId="77777777" w:rsidR="00D048D1" w:rsidRPr="006C3201" w:rsidRDefault="00D048D1">
            <w:pPr>
              <w:jc w:val="center"/>
              <w:rPr>
                <w:noProof/>
              </w:rPr>
            </w:pPr>
          </w:p>
        </w:tc>
        <w:tc>
          <w:tcPr>
            <w:tcW w:w="4002" w:type="dxa"/>
            <w:vAlign w:val="center"/>
          </w:tcPr>
          <w:p w14:paraId="7D75F5B8" w14:textId="77777777" w:rsidR="00D048D1" w:rsidRPr="006C3201" w:rsidRDefault="00D048D1">
            <w:pPr>
              <w:rPr>
                <w:noProof/>
              </w:rPr>
            </w:pPr>
            <w:r w:rsidRPr="006C3201">
              <w:rPr>
                <w:noProof/>
                <w:sz w:val="20"/>
              </w:rPr>
              <w:t>Nume</w:t>
            </w:r>
            <w:r w:rsidRPr="00110A93">
              <w:rPr>
                <w:noProof/>
                <w:sz w:val="20"/>
              </w:rPr>
              <w:t>r</w:t>
            </w:r>
            <w:r w:rsidR="00110A93" w:rsidRPr="00110A93">
              <w:rPr>
                <w:noProof/>
                <w:sz w:val="20"/>
              </w:rPr>
              <w:t xml:space="preserve"> </w:t>
            </w:r>
            <w:r w:rsidRPr="00110A93">
              <w:rPr>
                <w:noProof/>
              </w:rPr>
              <w:br/>
            </w:r>
          </w:p>
        </w:tc>
        <w:tc>
          <w:tcPr>
            <w:tcW w:w="1092" w:type="dxa"/>
            <w:vAlign w:val="center"/>
          </w:tcPr>
          <w:p w14:paraId="31609C37" w14:textId="77777777" w:rsidR="00D048D1" w:rsidRPr="006C3201" w:rsidRDefault="00D048D1">
            <w:pPr>
              <w:jc w:val="center"/>
              <w:rPr>
                <w:noProof/>
              </w:rPr>
            </w:pPr>
            <w:r w:rsidRPr="006C3201">
              <w:rPr>
                <w:noProof/>
                <w:sz w:val="18"/>
              </w:rPr>
              <w:t>Zróżn. / niezróżn.</w:t>
            </w:r>
            <w:r w:rsidRPr="006C3201">
              <w:rPr>
                <w:rStyle w:val="Odwoanieprzypisudolnego"/>
                <w:noProof/>
                <w:sz w:val="18"/>
              </w:rPr>
              <w:footnoteReference w:id="8"/>
            </w:r>
          </w:p>
        </w:tc>
        <w:tc>
          <w:tcPr>
            <w:tcW w:w="966" w:type="dxa"/>
            <w:vAlign w:val="center"/>
          </w:tcPr>
          <w:p w14:paraId="6255B3EF" w14:textId="77777777" w:rsidR="00D048D1" w:rsidRPr="006C3201" w:rsidRDefault="00D048D1">
            <w:pPr>
              <w:jc w:val="center"/>
              <w:rPr>
                <w:b/>
                <w:noProof/>
                <w:sz w:val="18"/>
              </w:rPr>
            </w:pPr>
            <w:r w:rsidRPr="006C3201">
              <w:rPr>
                <w:noProof/>
                <w:sz w:val="18"/>
              </w:rPr>
              <w:t>państw EFTA</w:t>
            </w:r>
            <w:r w:rsidRPr="006C3201">
              <w:rPr>
                <w:rStyle w:val="Odwoanieprzypisudolnego"/>
                <w:noProof/>
                <w:sz w:val="18"/>
              </w:rPr>
              <w:footnoteReference w:id="9"/>
            </w:r>
          </w:p>
        </w:tc>
        <w:tc>
          <w:tcPr>
            <w:tcW w:w="1092" w:type="dxa"/>
            <w:vAlign w:val="center"/>
          </w:tcPr>
          <w:p w14:paraId="0CE4BC62" w14:textId="77777777" w:rsidR="00D048D1" w:rsidRPr="006C3201" w:rsidRDefault="00D048D1">
            <w:pPr>
              <w:jc w:val="center"/>
              <w:rPr>
                <w:noProof/>
                <w:sz w:val="18"/>
              </w:rPr>
            </w:pPr>
            <w:r w:rsidRPr="006C3201">
              <w:rPr>
                <w:noProof/>
                <w:sz w:val="18"/>
              </w:rPr>
              <w:t>krajów kandydujących</w:t>
            </w:r>
            <w:r w:rsidR="00110A93" w:rsidRPr="006C3201">
              <w:rPr>
                <w:noProof/>
                <w:sz w:val="18"/>
              </w:rPr>
              <w:t xml:space="preserve"> i</w:t>
            </w:r>
            <w:r w:rsidR="00110A93">
              <w:rPr>
                <w:noProof/>
                <w:sz w:val="18"/>
              </w:rPr>
              <w:t> </w:t>
            </w:r>
            <w:r w:rsidR="00110A93" w:rsidRPr="006C3201">
              <w:rPr>
                <w:noProof/>
                <w:sz w:val="18"/>
              </w:rPr>
              <w:t>pot</w:t>
            </w:r>
            <w:r w:rsidRPr="006C3201">
              <w:rPr>
                <w:noProof/>
                <w:sz w:val="18"/>
              </w:rPr>
              <w:t>encjalnych kandydatów</w:t>
            </w:r>
            <w:r w:rsidRPr="006C3201">
              <w:rPr>
                <w:rStyle w:val="Odwoanieprzypisudolnego"/>
                <w:noProof/>
                <w:sz w:val="18"/>
              </w:rPr>
              <w:footnoteReference w:id="10"/>
            </w:r>
          </w:p>
        </w:tc>
        <w:tc>
          <w:tcPr>
            <w:tcW w:w="966" w:type="dxa"/>
            <w:vAlign w:val="center"/>
          </w:tcPr>
          <w:p w14:paraId="3E1BA5F0" w14:textId="77777777" w:rsidR="00D048D1" w:rsidRPr="006C3201" w:rsidRDefault="00D048D1">
            <w:pPr>
              <w:jc w:val="center"/>
              <w:rPr>
                <w:noProof/>
                <w:sz w:val="18"/>
              </w:rPr>
            </w:pPr>
            <w:r w:rsidRPr="006C3201">
              <w:rPr>
                <w:noProof/>
                <w:sz w:val="18"/>
              </w:rPr>
              <w:t>innych państw trzecich</w:t>
            </w:r>
          </w:p>
        </w:tc>
        <w:tc>
          <w:tcPr>
            <w:tcW w:w="1463" w:type="dxa"/>
            <w:vAlign w:val="center"/>
          </w:tcPr>
          <w:p w14:paraId="45B9B3B7" w14:textId="77777777" w:rsidR="00D048D1" w:rsidRPr="006C3201" w:rsidRDefault="00D048D1">
            <w:pPr>
              <w:jc w:val="center"/>
              <w:rPr>
                <w:noProof/>
              </w:rPr>
            </w:pPr>
            <w:r w:rsidRPr="006C3201">
              <w:rPr>
                <w:noProof/>
                <w:sz w:val="18"/>
              </w:rPr>
              <w:t>pochodzący</w:t>
            </w:r>
            <w:r w:rsidR="00110A93" w:rsidRPr="006C3201">
              <w:rPr>
                <w:noProof/>
                <w:sz w:val="18"/>
              </w:rPr>
              <w:t xml:space="preserve"> z</w:t>
            </w:r>
            <w:r w:rsidR="00110A93">
              <w:rPr>
                <w:noProof/>
                <w:sz w:val="18"/>
              </w:rPr>
              <w:t> </w:t>
            </w:r>
            <w:r w:rsidR="00110A93" w:rsidRPr="006C3201">
              <w:rPr>
                <w:noProof/>
                <w:sz w:val="18"/>
              </w:rPr>
              <w:t>poz</w:t>
            </w:r>
            <w:r w:rsidRPr="006C3201">
              <w:rPr>
                <w:noProof/>
                <w:sz w:val="18"/>
              </w:rPr>
              <w:t>ostałych dochodów przeznaczonych na określony cel</w:t>
            </w:r>
          </w:p>
        </w:tc>
      </w:tr>
      <w:tr w:rsidR="00E43BAD" w:rsidRPr="006C3201" w14:paraId="57D4AD1C" w14:textId="77777777">
        <w:trPr>
          <w:jc w:val="center"/>
        </w:trPr>
        <w:tc>
          <w:tcPr>
            <w:tcW w:w="1092" w:type="dxa"/>
            <w:vAlign w:val="center"/>
          </w:tcPr>
          <w:p w14:paraId="589D0E41" w14:textId="77777777" w:rsidR="00D048D1" w:rsidRPr="006C3201" w:rsidRDefault="00D048D1">
            <w:pPr>
              <w:jc w:val="center"/>
              <w:rPr>
                <w:noProof/>
              </w:rPr>
            </w:pPr>
            <w:r w:rsidRPr="006C3201">
              <w:rPr>
                <w:noProof/>
              </w:rPr>
              <w:t>3</w:t>
            </w:r>
          </w:p>
        </w:tc>
        <w:tc>
          <w:tcPr>
            <w:tcW w:w="4002" w:type="dxa"/>
            <w:vAlign w:val="center"/>
          </w:tcPr>
          <w:p w14:paraId="1C38A703" w14:textId="77777777" w:rsidR="00D048D1" w:rsidRPr="006C3201" w:rsidRDefault="00D048D1">
            <w:pPr>
              <w:spacing w:before="60"/>
              <w:rPr>
                <w:noProof/>
              </w:rPr>
            </w:pPr>
            <w:r w:rsidRPr="006C3201">
              <w:rPr>
                <w:noProof/>
                <w:sz w:val="22"/>
              </w:rPr>
              <w:t>09.02.03.00</w:t>
            </w:r>
          </w:p>
        </w:tc>
        <w:tc>
          <w:tcPr>
            <w:tcW w:w="1092" w:type="dxa"/>
            <w:vAlign w:val="center"/>
          </w:tcPr>
          <w:p w14:paraId="446BE652" w14:textId="77777777" w:rsidR="00D048D1" w:rsidRPr="006C3201" w:rsidRDefault="00D048D1">
            <w:pPr>
              <w:jc w:val="center"/>
              <w:rPr>
                <w:noProof/>
              </w:rPr>
            </w:pPr>
            <w:r w:rsidRPr="006C3201">
              <w:rPr>
                <w:noProof/>
                <w:sz w:val="22"/>
              </w:rPr>
              <w:t>Zróżn.</w:t>
            </w:r>
          </w:p>
        </w:tc>
        <w:tc>
          <w:tcPr>
            <w:tcW w:w="966" w:type="dxa"/>
            <w:vAlign w:val="center"/>
          </w:tcPr>
          <w:p w14:paraId="7A6FB585" w14:textId="77777777" w:rsidR="00D048D1" w:rsidRPr="006C3201" w:rsidRDefault="00D048D1">
            <w:pPr>
              <w:jc w:val="center"/>
              <w:rPr>
                <w:noProof/>
                <w:sz w:val="20"/>
                <w:szCs w:val="20"/>
              </w:rPr>
            </w:pPr>
            <w:r w:rsidRPr="006C3201">
              <w:rPr>
                <w:noProof/>
                <w:sz w:val="20"/>
              </w:rPr>
              <w:t>TAK</w:t>
            </w:r>
          </w:p>
        </w:tc>
        <w:tc>
          <w:tcPr>
            <w:tcW w:w="1092" w:type="dxa"/>
            <w:vAlign w:val="center"/>
          </w:tcPr>
          <w:p w14:paraId="2A93B870" w14:textId="77777777" w:rsidR="00D048D1" w:rsidRPr="006C3201" w:rsidRDefault="00D048D1">
            <w:pPr>
              <w:jc w:val="center"/>
              <w:rPr>
                <w:noProof/>
                <w:sz w:val="20"/>
                <w:szCs w:val="20"/>
              </w:rPr>
            </w:pPr>
            <w:r w:rsidRPr="006C3201">
              <w:rPr>
                <w:noProof/>
                <w:sz w:val="20"/>
              </w:rPr>
              <w:t>TAK</w:t>
            </w:r>
          </w:p>
        </w:tc>
        <w:tc>
          <w:tcPr>
            <w:tcW w:w="966" w:type="dxa"/>
            <w:vAlign w:val="center"/>
          </w:tcPr>
          <w:p w14:paraId="001763C1" w14:textId="77777777" w:rsidR="00D048D1" w:rsidRPr="006C3201" w:rsidRDefault="00D048D1">
            <w:pPr>
              <w:jc w:val="center"/>
              <w:rPr>
                <w:noProof/>
                <w:sz w:val="20"/>
                <w:szCs w:val="20"/>
              </w:rPr>
            </w:pPr>
            <w:r w:rsidRPr="006C3201">
              <w:rPr>
                <w:noProof/>
                <w:sz w:val="20"/>
              </w:rPr>
              <w:t>NIE</w:t>
            </w:r>
          </w:p>
        </w:tc>
        <w:tc>
          <w:tcPr>
            <w:tcW w:w="1463" w:type="dxa"/>
            <w:vAlign w:val="center"/>
          </w:tcPr>
          <w:p w14:paraId="1C5A8608" w14:textId="77777777" w:rsidR="00D048D1" w:rsidRPr="006C3201" w:rsidRDefault="00D048D1">
            <w:pPr>
              <w:jc w:val="center"/>
              <w:rPr>
                <w:noProof/>
                <w:sz w:val="20"/>
                <w:szCs w:val="20"/>
              </w:rPr>
            </w:pPr>
            <w:r w:rsidRPr="006C3201">
              <w:rPr>
                <w:noProof/>
                <w:sz w:val="20"/>
              </w:rPr>
              <w:t>TAK</w:t>
            </w:r>
          </w:p>
        </w:tc>
      </w:tr>
      <w:tr w:rsidR="00E43BAD" w:rsidRPr="006C3201" w14:paraId="501BEC9E" w14:textId="77777777">
        <w:trPr>
          <w:jc w:val="center"/>
        </w:trPr>
        <w:tc>
          <w:tcPr>
            <w:tcW w:w="1092" w:type="dxa"/>
            <w:vAlign w:val="center"/>
          </w:tcPr>
          <w:p w14:paraId="1501E83C" w14:textId="77777777" w:rsidR="00D048D1" w:rsidRPr="006C3201" w:rsidRDefault="00D048D1">
            <w:pPr>
              <w:jc w:val="center"/>
              <w:rPr>
                <w:noProof/>
              </w:rPr>
            </w:pPr>
          </w:p>
        </w:tc>
        <w:tc>
          <w:tcPr>
            <w:tcW w:w="4002" w:type="dxa"/>
            <w:vAlign w:val="center"/>
          </w:tcPr>
          <w:p w14:paraId="05371034" w14:textId="77777777" w:rsidR="00D048D1" w:rsidRPr="006C3201" w:rsidRDefault="00D048D1">
            <w:pPr>
              <w:spacing w:before="60"/>
              <w:rPr>
                <w:noProof/>
              </w:rPr>
            </w:pPr>
            <w:r w:rsidRPr="006C3201">
              <w:rPr>
                <w:noProof/>
                <w:sz w:val="22"/>
              </w:rPr>
              <w:t>[XX.YY.YY.YY]</w:t>
            </w:r>
          </w:p>
          <w:p w14:paraId="2C755C88" w14:textId="77777777" w:rsidR="00D048D1" w:rsidRPr="006C3201" w:rsidRDefault="00D048D1">
            <w:pPr>
              <w:spacing w:after="60"/>
              <w:rPr>
                <w:noProof/>
              </w:rPr>
            </w:pPr>
          </w:p>
        </w:tc>
        <w:tc>
          <w:tcPr>
            <w:tcW w:w="1092" w:type="dxa"/>
            <w:vAlign w:val="center"/>
          </w:tcPr>
          <w:p w14:paraId="2D6B8561" w14:textId="77777777" w:rsidR="00D048D1" w:rsidRPr="006C3201" w:rsidRDefault="00D048D1">
            <w:pPr>
              <w:jc w:val="center"/>
              <w:rPr>
                <w:noProof/>
              </w:rPr>
            </w:pPr>
            <w:r w:rsidRPr="006C3201">
              <w:rPr>
                <w:noProof/>
                <w:sz w:val="22"/>
              </w:rPr>
              <w:t>Zróżn. / niezróżn.</w:t>
            </w:r>
          </w:p>
        </w:tc>
        <w:tc>
          <w:tcPr>
            <w:tcW w:w="966" w:type="dxa"/>
            <w:vAlign w:val="center"/>
          </w:tcPr>
          <w:p w14:paraId="10E8A804" w14:textId="77777777" w:rsidR="00D048D1" w:rsidRPr="006C3201" w:rsidRDefault="00D048D1">
            <w:pPr>
              <w:jc w:val="center"/>
              <w:rPr>
                <w:noProof/>
                <w:sz w:val="20"/>
                <w:szCs w:val="20"/>
              </w:rPr>
            </w:pPr>
            <w:r w:rsidRPr="006C3201">
              <w:rPr>
                <w:noProof/>
                <w:sz w:val="20"/>
              </w:rPr>
              <w:t>TAK/ NIE</w:t>
            </w:r>
          </w:p>
        </w:tc>
        <w:tc>
          <w:tcPr>
            <w:tcW w:w="1092" w:type="dxa"/>
            <w:vAlign w:val="center"/>
          </w:tcPr>
          <w:p w14:paraId="488269C2" w14:textId="77777777" w:rsidR="00D048D1" w:rsidRPr="006C3201" w:rsidRDefault="00D048D1">
            <w:pPr>
              <w:jc w:val="center"/>
              <w:rPr>
                <w:noProof/>
                <w:sz w:val="20"/>
                <w:szCs w:val="20"/>
              </w:rPr>
            </w:pPr>
            <w:r w:rsidRPr="006C3201">
              <w:rPr>
                <w:noProof/>
                <w:sz w:val="20"/>
              </w:rPr>
              <w:t>TAK/ NIE</w:t>
            </w:r>
          </w:p>
        </w:tc>
        <w:tc>
          <w:tcPr>
            <w:tcW w:w="966" w:type="dxa"/>
            <w:vAlign w:val="center"/>
          </w:tcPr>
          <w:p w14:paraId="4E201C2E" w14:textId="77777777" w:rsidR="00D048D1" w:rsidRPr="006C3201" w:rsidRDefault="00D048D1">
            <w:pPr>
              <w:jc w:val="center"/>
              <w:rPr>
                <w:noProof/>
                <w:sz w:val="20"/>
                <w:szCs w:val="20"/>
              </w:rPr>
            </w:pPr>
            <w:r w:rsidRPr="006C3201">
              <w:rPr>
                <w:noProof/>
                <w:sz w:val="20"/>
              </w:rPr>
              <w:t>TAK/ NIE</w:t>
            </w:r>
          </w:p>
        </w:tc>
        <w:tc>
          <w:tcPr>
            <w:tcW w:w="1463" w:type="dxa"/>
            <w:vAlign w:val="center"/>
          </w:tcPr>
          <w:p w14:paraId="40E5EF58" w14:textId="77777777" w:rsidR="00D048D1" w:rsidRPr="006C3201" w:rsidRDefault="00D048D1">
            <w:pPr>
              <w:jc w:val="center"/>
              <w:rPr>
                <w:noProof/>
                <w:sz w:val="20"/>
                <w:szCs w:val="20"/>
              </w:rPr>
            </w:pPr>
            <w:r w:rsidRPr="006C3201">
              <w:rPr>
                <w:noProof/>
                <w:sz w:val="20"/>
              </w:rPr>
              <w:t>TAK/ NIE</w:t>
            </w:r>
          </w:p>
        </w:tc>
      </w:tr>
      <w:tr w:rsidR="00E43BAD" w:rsidRPr="006C3201" w14:paraId="5C88D90B" w14:textId="77777777">
        <w:trPr>
          <w:jc w:val="center"/>
        </w:trPr>
        <w:tc>
          <w:tcPr>
            <w:tcW w:w="1092" w:type="dxa"/>
            <w:vAlign w:val="center"/>
          </w:tcPr>
          <w:p w14:paraId="5A514795" w14:textId="77777777" w:rsidR="00D048D1" w:rsidRPr="006C3201" w:rsidRDefault="00D048D1">
            <w:pPr>
              <w:jc w:val="center"/>
              <w:rPr>
                <w:noProof/>
              </w:rPr>
            </w:pPr>
          </w:p>
        </w:tc>
        <w:tc>
          <w:tcPr>
            <w:tcW w:w="4002" w:type="dxa"/>
            <w:vAlign w:val="center"/>
          </w:tcPr>
          <w:p w14:paraId="7B340554" w14:textId="77777777" w:rsidR="00D048D1" w:rsidRPr="006C3201" w:rsidRDefault="00D048D1">
            <w:pPr>
              <w:spacing w:before="60"/>
              <w:rPr>
                <w:noProof/>
              </w:rPr>
            </w:pPr>
            <w:r w:rsidRPr="006C3201">
              <w:rPr>
                <w:noProof/>
                <w:sz w:val="22"/>
              </w:rPr>
              <w:t>[XX.YY.YY.YY]</w:t>
            </w:r>
          </w:p>
          <w:p w14:paraId="15BD5E6E" w14:textId="77777777" w:rsidR="00D048D1" w:rsidRPr="006C3201" w:rsidRDefault="00D048D1">
            <w:pPr>
              <w:spacing w:after="60"/>
              <w:rPr>
                <w:noProof/>
              </w:rPr>
            </w:pPr>
          </w:p>
        </w:tc>
        <w:tc>
          <w:tcPr>
            <w:tcW w:w="1092" w:type="dxa"/>
            <w:vAlign w:val="center"/>
          </w:tcPr>
          <w:p w14:paraId="1CDC5FA1" w14:textId="77777777" w:rsidR="00D048D1" w:rsidRPr="006C3201" w:rsidRDefault="00D048D1">
            <w:pPr>
              <w:jc w:val="center"/>
              <w:rPr>
                <w:noProof/>
              </w:rPr>
            </w:pPr>
            <w:r w:rsidRPr="006C3201">
              <w:rPr>
                <w:noProof/>
                <w:sz w:val="22"/>
              </w:rPr>
              <w:t>Zróżn. / niezróżn.</w:t>
            </w:r>
          </w:p>
        </w:tc>
        <w:tc>
          <w:tcPr>
            <w:tcW w:w="966" w:type="dxa"/>
            <w:vAlign w:val="center"/>
          </w:tcPr>
          <w:p w14:paraId="4D4D69C5" w14:textId="77777777" w:rsidR="00D048D1" w:rsidRPr="006C3201" w:rsidRDefault="00D048D1">
            <w:pPr>
              <w:jc w:val="center"/>
              <w:rPr>
                <w:noProof/>
                <w:sz w:val="20"/>
                <w:szCs w:val="20"/>
              </w:rPr>
            </w:pPr>
            <w:r w:rsidRPr="006C3201">
              <w:rPr>
                <w:noProof/>
                <w:sz w:val="20"/>
              </w:rPr>
              <w:t>TAK/ NIE</w:t>
            </w:r>
          </w:p>
        </w:tc>
        <w:tc>
          <w:tcPr>
            <w:tcW w:w="1092" w:type="dxa"/>
            <w:vAlign w:val="center"/>
          </w:tcPr>
          <w:p w14:paraId="2DDF92F1" w14:textId="77777777" w:rsidR="00D048D1" w:rsidRPr="006C3201" w:rsidRDefault="00D048D1">
            <w:pPr>
              <w:jc w:val="center"/>
              <w:rPr>
                <w:noProof/>
                <w:sz w:val="20"/>
                <w:szCs w:val="20"/>
              </w:rPr>
            </w:pPr>
            <w:r w:rsidRPr="006C3201">
              <w:rPr>
                <w:noProof/>
                <w:sz w:val="20"/>
              </w:rPr>
              <w:t>TAK/ NIE</w:t>
            </w:r>
          </w:p>
        </w:tc>
        <w:tc>
          <w:tcPr>
            <w:tcW w:w="966" w:type="dxa"/>
            <w:vAlign w:val="center"/>
          </w:tcPr>
          <w:p w14:paraId="7515025C" w14:textId="77777777" w:rsidR="00D048D1" w:rsidRPr="006C3201" w:rsidRDefault="00D048D1">
            <w:pPr>
              <w:jc w:val="center"/>
              <w:rPr>
                <w:noProof/>
                <w:sz w:val="20"/>
                <w:szCs w:val="20"/>
              </w:rPr>
            </w:pPr>
            <w:r w:rsidRPr="006C3201">
              <w:rPr>
                <w:noProof/>
                <w:sz w:val="20"/>
              </w:rPr>
              <w:t>TAK/ NIE</w:t>
            </w:r>
          </w:p>
        </w:tc>
        <w:tc>
          <w:tcPr>
            <w:tcW w:w="1463" w:type="dxa"/>
            <w:vAlign w:val="center"/>
          </w:tcPr>
          <w:p w14:paraId="42088952" w14:textId="77777777" w:rsidR="00D048D1" w:rsidRPr="006C3201" w:rsidRDefault="00D048D1">
            <w:pPr>
              <w:jc w:val="center"/>
              <w:rPr>
                <w:noProof/>
                <w:sz w:val="20"/>
                <w:szCs w:val="20"/>
              </w:rPr>
            </w:pPr>
            <w:r w:rsidRPr="006C3201">
              <w:rPr>
                <w:noProof/>
                <w:sz w:val="20"/>
              </w:rPr>
              <w:t>TAK/ NIE</w:t>
            </w:r>
          </w:p>
        </w:tc>
      </w:tr>
    </w:tbl>
    <w:p w14:paraId="08FB5510" w14:textId="77777777" w:rsidR="00D048D1" w:rsidRPr="006C3201" w:rsidRDefault="00D048D1" w:rsidP="00D048D1">
      <w:pPr>
        <w:pStyle w:val="ListBullet1"/>
        <w:rPr>
          <w:noProof/>
        </w:rPr>
      </w:pPr>
      <w:r w:rsidRPr="006C3201">
        <w:rPr>
          <w:noProof/>
        </w:rPr>
        <w:t xml:space="preserve">Proponowane nowe linie budżetowe </w:t>
      </w:r>
    </w:p>
    <w:p w14:paraId="2CFB0707" w14:textId="77777777" w:rsidR="00D048D1" w:rsidRPr="006C3201" w:rsidRDefault="00D048D1" w:rsidP="00D048D1">
      <w:pPr>
        <w:pStyle w:val="Text1"/>
        <w:rPr>
          <w:i/>
          <w:noProof/>
          <w:sz w:val="20"/>
        </w:rPr>
      </w:pPr>
      <w:r w:rsidRPr="006C3201">
        <w:rPr>
          <w:i/>
          <w:noProof/>
          <w:u w:val="single"/>
        </w:rPr>
        <w:t>Według</w:t>
      </w:r>
      <w:r w:rsidRPr="006C3201">
        <w:rPr>
          <w:i/>
          <w:noProof/>
        </w:rPr>
        <w:t xml:space="preserve"> działów wieloletnich ram finansowych</w:t>
      </w:r>
      <w:r w:rsidR="00110A93" w:rsidRPr="006C3201">
        <w:rPr>
          <w:i/>
          <w:noProof/>
        </w:rPr>
        <w:t xml:space="preserve"> i</w:t>
      </w:r>
      <w:r w:rsidR="00110A93">
        <w:rPr>
          <w:i/>
          <w:noProof/>
        </w:rPr>
        <w:t> </w:t>
      </w:r>
      <w:r w:rsidR="00110A93" w:rsidRPr="006C3201">
        <w:rPr>
          <w:i/>
          <w:noProof/>
        </w:rPr>
        <w:t>lin</w:t>
      </w:r>
      <w:r w:rsidRPr="006C3201">
        <w:rPr>
          <w:i/>
          <w:noProof/>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E43BAD" w:rsidRPr="006C3201" w14:paraId="4DB8719B" w14:textId="77777777">
        <w:trPr>
          <w:jc w:val="center"/>
        </w:trPr>
        <w:tc>
          <w:tcPr>
            <w:tcW w:w="1080" w:type="dxa"/>
            <w:vMerge w:val="restart"/>
            <w:vAlign w:val="center"/>
          </w:tcPr>
          <w:p w14:paraId="35496492" w14:textId="77777777" w:rsidR="00D048D1" w:rsidRPr="006C3201" w:rsidRDefault="00D048D1">
            <w:pPr>
              <w:spacing w:before="60" w:after="60"/>
              <w:jc w:val="center"/>
              <w:rPr>
                <w:noProof/>
                <w:sz w:val="18"/>
                <w:szCs w:val="18"/>
              </w:rPr>
            </w:pPr>
            <w:r w:rsidRPr="006C3201">
              <w:rPr>
                <w:noProof/>
                <w:sz w:val="18"/>
              </w:rPr>
              <w:t>Dział wieloletnich ram finansowych</w:t>
            </w:r>
          </w:p>
        </w:tc>
        <w:tc>
          <w:tcPr>
            <w:tcW w:w="3960" w:type="dxa"/>
            <w:vAlign w:val="center"/>
          </w:tcPr>
          <w:p w14:paraId="5BA40463" w14:textId="77777777" w:rsidR="00D048D1" w:rsidRPr="006C3201" w:rsidRDefault="00D048D1">
            <w:pPr>
              <w:spacing w:before="60" w:after="60"/>
              <w:jc w:val="center"/>
              <w:rPr>
                <w:noProof/>
              </w:rPr>
            </w:pPr>
            <w:r w:rsidRPr="006C3201">
              <w:rPr>
                <w:noProof/>
                <w:sz w:val="20"/>
              </w:rPr>
              <w:t>Linia budżetowa</w:t>
            </w:r>
          </w:p>
        </w:tc>
        <w:tc>
          <w:tcPr>
            <w:tcW w:w="1080" w:type="dxa"/>
            <w:vAlign w:val="center"/>
          </w:tcPr>
          <w:p w14:paraId="3E493184" w14:textId="77777777" w:rsidR="00D048D1" w:rsidRPr="006C3201" w:rsidRDefault="00D048D1">
            <w:pPr>
              <w:spacing w:before="60" w:after="60"/>
              <w:jc w:val="center"/>
              <w:rPr>
                <w:noProof/>
              </w:rPr>
            </w:pPr>
            <w:r w:rsidRPr="006C3201">
              <w:rPr>
                <w:noProof/>
                <w:sz w:val="18"/>
              </w:rPr>
              <w:t>Rodzaj środków</w:t>
            </w:r>
          </w:p>
        </w:tc>
        <w:tc>
          <w:tcPr>
            <w:tcW w:w="4440" w:type="dxa"/>
            <w:gridSpan w:val="4"/>
            <w:vAlign w:val="center"/>
          </w:tcPr>
          <w:p w14:paraId="18FD6FD8" w14:textId="77777777" w:rsidR="00D048D1" w:rsidRPr="006C3201" w:rsidRDefault="00D048D1">
            <w:pPr>
              <w:spacing w:before="60" w:after="60"/>
              <w:jc w:val="center"/>
              <w:rPr>
                <w:noProof/>
              </w:rPr>
            </w:pPr>
            <w:r w:rsidRPr="006C3201">
              <w:rPr>
                <w:noProof/>
                <w:sz w:val="20"/>
              </w:rPr>
              <w:t xml:space="preserve">Wkład </w:t>
            </w:r>
          </w:p>
        </w:tc>
      </w:tr>
      <w:tr w:rsidR="00E43BAD" w:rsidRPr="006C3201" w14:paraId="4DEA8E58" w14:textId="77777777">
        <w:trPr>
          <w:cantSplit/>
          <w:jc w:val="center"/>
        </w:trPr>
        <w:tc>
          <w:tcPr>
            <w:tcW w:w="1080" w:type="dxa"/>
            <w:vMerge/>
            <w:vAlign w:val="center"/>
          </w:tcPr>
          <w:p w14:paraId="37EB33BB" w14:textId="77777777" w:rsidR="00D048D1" w:rsidRPr="006C3201" w:rsidRDefault="00D048D1">
            <w:pPr>
              <w:jc w:val="center"/>
              <w:rPr>
                <w:noProof/>
              </w:rPr>
            </w:pPr>
          </w:p>
        </w:tc>
        <w:tc>
          <w:tcPr>
            <w:tcW w:w="3960" w:type="dxa"/>
            <w:vAlign w:val="center"/>
          </w:tcPr>
          <w:p w14:paraId="552C6067" w14:textId="77777777" w:rsidR="00D048D1" w:rsidRPr="006C3201" w:rsidRDefault="00D048D1">
            <w:pPr>
              <w:rPr>
                <w:noProof/>
              </w:rPr>
            </w:pPr>
            <w:r w:rsidRPr="006C3201">
              <w:rPr>
                <w:noProof/>
                <w:sz w:val="20"/>
              </w:rPr>
              <w:t>Nume</w:t>
            </w:r>
            <w:r w:rsidRPr="00110A93">
              <w:rPr>
                <w:noProof/>
                <w:sz w:val="20"/>
              </w:rPr>
              <w:t>r</w:t>
            </w:r>
            <w:r w:rsidR="00110A93" w:rsidRPr="00110A93">
              <w:rPr>
                <w:noProof/>
                <w:sz w:val="20"/>
              </w:rPr>
              <w:t xml:space="preserve"> </w:t>
            </w:r>
            <w:r w:rsidRPr="00110A93">
              <w:rPr>
                <w:noProof/>
              </w:rPr>
              <w:br/>
            </w:r>
          </w:p>
        </w:tc>
        <w:tc>
          <w:tcPr>
            <w:tcW w:w="1080" w:type="dxa"/>
            <w:vAlign w:val="center"/>
          </w:tcPr>
          <w:p w14:paraId="227B3699" w14:textId="77777777" w:rsidR="00D048D1" w:rsidRPr="006C3201" w:rsidRDefault="00D048D1">
            <w:pPr>
              <w:jc w:val="center"/>
              <w:rPr>
                <w:noProof/>
              </w:rPr>
            </w:pPr>
            <w:r w:rsidRPr="006C3201">
              <w:rPr>
                <w:noProof/>
                <w:sz w:val="18"/>
              </w:rPr>
              <w:t>Zróżn. / niezróżn.</w:t>
            </w:r>
          </w:p>
        </w:tc>
        <w:tc>
          <w:tcPr>
            <w:tcW w:w="956" w:type="dxa"/>
            <w:vAlign w:val="center"/>
          </w:tcPr>
          <w:p w14:paraId="6BEA43A0" w14:textId="77777777" w:rsidR="00D048D1" w:rsidRPr="006C3201" w:rsidRDefault="00D048D1">
            <w:pPr>
              <w:jc w:val="center"/>
              <w:rPr>
                <w:noProof/>
                <w:sz w:val="18"/>
              </w:rPr>
            </w:pPr>
            <w:r w:rsidRPr="006C3201">
              <w:rPr>
                <w:noProof/>
                <w:sz w:val="18"/>
              </w:rPr>
              <w:t>państw EFTA</w:t>
            </w:r>
          </w:p>
        </w:tc>
        <w:tc>
          <w:tcPr>
            <w:tcW w:w="1080" w:type="dxa"/>
            <w:vAlign w:val="center"/>
          </w:tcPr>
          <w:p w14:paraId="15314C3C" w14:textId="77777777" w:rsidR="00D048D1" w:rsidRPr="006C3201" w:rsidRDefault="00D048D1">
            <w:pPr>
              <w:jc w:val="center"/>
              <w:rPr>
                <w:noProof/>
                <w:sz w:val="18"/>
              </w:rPr>
            </w:pPr>
            <w:r w:rsidRPr="006C3201">
              <w:rPr>
                <w:noProof/>
                <w:sz w:val="18"/>
              </w:rPr>
              <w:t>krajów kandydujących</w:t>
            </w:r>
            <w:r w:rsidR="00110A93" w:rsidRPr="006C3201">
              <w:rPr>
                <w:noProof/>
                <w:sz w:val="18"/>
              </w:rPr>
              <w:t xml:space="preserve"> i</w:t>
            </w:r>
            <w:r w:rsidR="00110A93">
              <w:rPr>
                <w:noProof/>
                <w:sz w:val="18"/>
              </w:rPr>
              <w:t> </w:t>
            </w:r>
            <w:r w:rsidR="00110A93" w:rsidRPr="006C3201">
              <w:rPr>
                <w:noProof/>
                <w:sz w:val="18"/>
              </w:rPr>
              <w:t>pot</w:t>
            </w:r>
            <w:r w:rsidRPr="006C3201">
              <w:rPr>
                <w:noProof/>
                <w:sz w:val="18"/>
              </w:rPr>
              <w:t>encjalnych kandydatów</w:t>
            </w:r>
          </w:p>
        </w:tc>
        <w:tc>
          <w:tcPr>
            <w:tcW w:w="956" w:type="dxa"/>
            <w:vAlign w:val="center"/>
          </w:tcPr>
          <w:p w14:paraId="1F465E0F" w14:textId="77777777" w:rsidR="00D048D1" w:rsidRPr="006C3201" w:rsidRDefault="00D048D1">
            <w:pPr>
              <w:jc w:val="center"/>
              <w:rPr>
                <w:noProof/>
                <w:sz w:val="18"/>
              </w:rPr>
            </w:pPr>
            <w:r w:rsidRPr="006C3201">
              <w:rPr>
                <w:noProof/>
                <w:sz w:val="18"/>
              </w:rPr>
              <w:t>innych państw trzecich</w:t>
            </w:r>
          </w:p>
        </w:tc>
        <w:tc>
          <w:tcPr>
            <w:tcW w:w="1448" w:type="dxa"/>
            <w:vAlign w:val="center"/>
          </w:tcPr>
          <w:p w14:paraId="69932B21" w14:textId="77777777" w:rsidR="00D048D1" w:rsidRPr="006C3201" w:rsidRDefault="00D048D1">
            <w:pPr>
              <w:jc w:val="center"/>
              <w:rPr>
                <w:noProof/>
              </w:rPr>
            </w:pPr>
            <w:r w:rsidRPr="006C3201">
              <w:rPr>
                <w:noProof/>
                <w:sz w:val="18"/>
              </w:rPr>
              <w:t>pochodzący</w:t>
            </w:r>
            <w:r w:rsidR="00110A93" w:rsidRPr="006C3201">
              <w:rPr>
                <w:noProof/>
                <w:sz w:val="18"/>
              </w:rPr>
              <w:t xml:space="preserve"> z</w:t>
            </w:r>
            <w:r w:rsidR="00110A93">
              <w:rPr>
                <w:noProof/>
                <w:sz w:val="18"/>
              </w:rPr>
              <w:t> </w:t>
            </w:r>
            <w:r w:rsidR="00110A93" w:rsidRPr="006C3201">
              <w:rPr>
                <w:noProof/>
                <w:sz w:val="18"/>
              </w:rPr>
              <w:t>poz</w:t>
            </w:r>
            <w:r w:rsidRPr="006C3201">
              <w:rPr>
                <w:noProof/>
                <w:sz w:val="18"/>
              </w:rPr>
              <w:t xml:space="preserve">ostałych dochodów przeznaczonych na określony cel </w:t>
            </w:r>
          </w:p>
        </w:tc>
      </w:tr>
      <w:tr w:rsidR="00E43BAD" w:rsidRPr="006C3201" w14:paraId="3816F79D" w14:textId="77777777">
        <w:trPr>
          <w:cantSplit/>
          <w:jc w:val="center"/>
        </w:trPr>
        <w:tc>
          <w:tcPr>
            <w:tcW w:w="1080" w:type="dxa"/>
            <w:vAlign w:val="center"/>
          </w:tcPr>
          <w:p w14:paraId="3A639B63" w14:textId="77777777" w:rsidR="00D048D1" w:rsidRPr="006C3201" w:rsidRDefault="00D048D1">
            <w:pPr>
              <w:jc w:val="center"/>
              <w:rPr>
                <w:noProof/>
              </w:rPr>
            </w:pPr>
          </w:p>
        </w:tc>
        <w:tc>
          <w:tcPr>
            <w:tcW w:w="3960" w:type="dxa"/>
            <w:vAlign w:val="center"/>
          </w:tcPr>
          <w:p w14:paraId="1A4D0181" w14:textId="77777777" w:rsidR="00D048D1" w:rsidRPr="006C3201" w:rsidRDefault="00D048D1">
            <w:pPr>
              <w:spacing w:before="60"/>
              <w:rPr>
                <w:noProof/>
              </w:rPr>
            </w:pPr>
            <w:r w:rsidRPr="006C3201">
              <w:rPr>
                <w:noProof/>
                <w:sz w:val="22"/>
              </w:rPr>
              <w:t>[XX.YY.YY.YY]</w:t>
            </w:r>
          </w:p>
          <w:p w14:paraId="173F71DB" w14:textId="77777777" w:rsidR="00D048D1" w:rsidRPr="006C3201" w:rsidRDefault="00D048D1">
            <w:pPr>
              <w:spacing w:after="60"/>
              <w:rPr>
                <w:noProof/>
              </w:rPr>
            </w:pPr>
          </w:p>
        </w:tc>
        <w:tc>
          <w:tcPr>
            <w:tcW w:w="1080" w:type="dxa"/>
            <w:vAlign w:val="center"/>
          </w:tcPr>
          <w:p w14:paraId="77FF96AD" w14:textId="77777777" w:rsidR="00D048D1" w:rsidRPr="006C3201" w:rsidRDefault="00D048D1">
            <w:pPr>
              <w:jc w:val="center"/>
              <w:rPr>
                <w:noProof/>
              </w:rPr>
            </w:pPr>
            <w:r w:rsidRPr="006C3201">
              <w:rPr>
                <w:noProof/>
                <w:sz w:val="22"/>
              </w:rPr>
              <w:t>Zróżn. / niezróżn.</w:t>
            </w:r>
          </w:p>
        </w:tc>
        <w:tc>
          <w:tcPr>
            <w:tcW w:w="956" w:type="dxa"/>
            <w:vAlign w:val="center"/>
          </w:tcPr>
          <w:p w14:paraId="23446CED" w14:textId="77777777" w:rsidR="00D048D1" w:rsidRPr="006C3201" w:rsidRDefault="00D048D1">
            <w:pPr>
              <w:jc w:val="center"/>
              <w:rPr>
                <w:noProof/>
                <w:sz w:val="20"/>
                <w:szCs w:val="20"/>
              </w:rPr>
            </w:pPr>
            <w:r w:rsidRPr="006C3201">
              <w:rPr>
                <w:noProof/>
                <w:sz w:val="20"/>
              </w:rPr>
              <w:t>TAK/ NIE</w:t>
            </w:r>
          </w:p>
        </w:tc>
        <w:tc>
          <w:tcPr>
            <w:tcW w:w="1080" w:type="dxa"/>
            <w:vAlign w:val="center"/>
          </w:tcPr>
          <w:p w14:paraId="1313802A" w14:textId="77777777" w:rsidR="00D048D1" w:rsidRPr="006C3201" w:rsidRDefault="00D048D1">
            <w:pPr>
              <w:jc w:val="center"/>
              <w:rPr>
                <w:noProof/>
                <w:sz w:val="20"/>
                <w:szCs w:val="20"/>
              </w:rPr>
            </w:pPr>
            <w:r w:rsidRPr="006C3201">
              <w:rPr>
                <w:noProof/>
                <w:sz w:val="20"/>
              </w:rPr>
              <w:t>TAK/ NIE</w:t>
            </w:r>
          </w:p>
        </w:tc>
        <w:tc>
          <w:tcPr>
            <w:tcW w:w="956" w:type="dxa"/>
            <w:vAlign w:val="center"/>
          </w:tcPr>
          <w:p w14:paraId="6E288A58" w14:textId="77777777" w:rsidR="00D048D1" w:rsidRPr="006C3201" w:rsidRDefault="00D048D1">
            <w:pPr>
              <w:jc w:val="center"/>
              <w:rPr>
                <w:noProof/>
                <w:sz w:val="20"/>
                <w:szCs w:val="20"/>
              </w:rPr>
            </w:pPr>
            <w:r w:rsidRPr="006C3201">
              <w:rPr>
                <w:noProof/>
                <w:sz w:val="20"/>
              </w:rPr>
              <w:t>TAK/ NIE</w:t>
            </w:r>
          </w:p>
        </w:tc>
        <w:tc>
          <w:tcPr>
            <w:tcW w:w="1448" w:type="dxa"/>
            <w:vAlign w:val="center"/>
          </w:tcPr>
          <w:p w14:paraId="24504FED" w14:textId="77777777" w:rsidR="00D048D1" w:rsidRPr="006C3201" w:rsidRDefault="00D048D1">
            <w:pPr>
              <w:jc w:val="center"/>
              <w:rPr>
                <w:noProof/>
                <w:sz w:val="20"/>
                <w:szCs w:val="20"/>
              </w:rPr>
            </w:pPr>
            <w:r w:rsidRPr="006C3201">
              <w:rPr>
                <w:noProof/>
                <w:sz w:val="20"/>
              </w:rPr>
              <w:t>TAK/ NIE</w:t>
            </w:r>
          </w:p>
        </w:tc>
      </w:tr>
      <w:tr w:rsidR="00E43BAD" w:rsidRPr="006C3201" w14:paraId="4991E0EA" w14:textId="77777777">
        <w:trPr>
          <w:cantSplit/>
          <w:jc w:val="center"/>
        </w:trPr>
        <w:tc>
          <w:tcPr>
            <w:tcW w:w="1080" w:type="dxa"/>
            <w:vAlign w:val="center"/>
          </w:tcPr>
          <w:p w14:paraId="64260492" w14:textId="77777777" w:rsidR="00D048D1" w:rsidRPr="006C3201" w:rsidRDefault="00D048D1">
            <w:pPr>
              <w:jc w:val="center"/>
              <w:rPr>
                <w:noProof/>
              </w:rPr>
            </w:pPr>
          </w:p>
        </w:tc>
        <w:tc>
          <w:tcPr>
            <w:tcW w:w="3960" w:type="dxa"/>
            <w:vAlign w:val="center"/>
          </w:tcPr>
          <w:p w14:paraId="218A3A45" w14:textId="77777777" w:rsidR="00D048D1" w:rsidRPr="006C3201" w:rsidRDefault="00D048D1">
            <w:pPr>
              <w:spacing w:before="60"/>
              <w:rPr>
                <w:noProof/>
              </w:rPr>
            </w:pPr>
            <w:r w:rsidRPr="006C3201">
              <w:rPr>
                <w:noProof/>
                <w:sz w:val="22"/>
              </w:rPr>
              <w:t>[XX.YY.YY.YY]</w:t>
            </w:r>
          </w:p>
          <w:p w14:paraId="4EEA2BC1" w14:textId="77777777" w:rsidR="00D048D1" w:rsidRPr="006C3201" w:rsidRDefault="00D048D1">
            <w:pPr>
              <w:spacing w:after="60"/>
              <w:rPr>
                <w:noProof/>
              </w:rPr>
            </w:pPr>
          </w:p>
        </w:tc>
        <w:tc>
          <w:tcPr>
            <w:tcW w:w="1080" w:type="dxa"/>
            <w:vAlign w:val="center"/>
          </w:tcPr>
          <w:p w14:paraId="089D57EB" w14:textId="77777777" w:rsidR="00D048D1" w:rsidRPr="006C3201" w:rsidRDefault="00D048D1">
            <w:pPr>
              <w:jc w:val="center"/>
              <w:rPr>
                <w:noProof/>
              </w:rPr>
            </w:pPr>
            <w:r w:rsidRPr="006C3201">
              <w:rPr>
                <w:noProof/>
                <w:sz w:val="22"/>
              </w:rPr>
              <w:t>Zróżn. / niezróżn.</w:t>
            </w:r>
          </w:p>
        </w:tc>
        <w:tc>
          <w:tcPr>
            <w:tcW w:w="956" w:type="dxa"/>
            <w:vAlign w:val="center"/>
          </w:tcPr>
          <w:p w14:paraId="17428CD1" w14:textId="77777777" w:rsidR="00D048D1" w:rsidRPr="006C3201" w:rsidRDefault="00D048D1">
            <w:pPr>
              <w:jc w:val="center"/>
              <w:rPr>
                <w:noProof/>
                <w:sz w:val="20"/>
                <w:szCs w:val="20"/>
              </w:rPr>
            </w:pPr>
            <w:r w:rsidRPr="006C3201">
              <w:rPr>
                <w:noProof/>
                <w:sz w:val="20"/>
              </w:rPr>
              <w:t>TAK/ NIE</w:t>
            </w:r>
          </w:p>
        </w:tc>
        <w:tc>
          <w:tcPr>
            <w:tcW w:w="1080" w:type="dxa"/>
            <w:vAlign w:val="center"/>
          </w:tcPr>
          <w:p w14:paraId="6F20FB79" w14:textId="77777777" w:rsidR="00D048D1" w:rsidRPr="006C3201" w:rsidRDefault="00D048D1">
            <w:pPr>
              <w:jc w:val="center"/>
              <w:rPr>
                <w:noProof/>
                <w:sz w:val="20"/>
                <w:szCs w:val="20"/>
              </w:rPr>
            </w:pPr>
            <w:r w:rsidRPr="006C3201">
              <w:rPr>
                <w:noProof/>
                <w:sz w:val="20"/>
              </w:rPr>
              <w:t>TAK/ NIE</w:t>
            </w:r>
          </w:p>
        </w:tc>
        <w:tc>
          <w:tcPr>
            <w:tcW w:w="956" w:type="dxa"/>
            <w:vAlign w:val="center"/>
          </w:tcPr>
          <w:p w14:paraId="5F5C5115" w14:textId="77777777" w:rsidR="00D048D1" w:rsidRPr="006C3201" w:rsidRDefault="00D048D1">
            <w:pPr>
              <w:jc w:val="center"/>
              <w:rPr>
                <w:noProof/>
                <w:sz w:val="20"/>
                <w:szCs w:val="20"/>
              </w:rPr>
            </w:pPr>
            <w:r w:rsidRPr="006C3201">
              <w:rPr>
                <w:noProof/>
                <w:sz w:val="20"/>
              </w:rPr>
              <w:t>TAK/ NIE</w:t>
            </w:r>
          </w:p>
        </w:tc>
        <w:tc>
          <w:tcPr>
            <w:tcW w:w="1448" w:type="dxa"/>
            <w:vAlign w:val="center"/>
          </w:tcPr>
          <w:p w14:paraId="739F83D8" w14:textId="77777777" w:rsidR="00D048D1" w:rsidRPr="006C3201" w:rsidRDefault="00D048D1">
            <w:pPr>
              <w:jc w:val="center"/>
              <w:rPr>
                <w:noProof/>
                <w:sz w:val="20"/>
                <w:szCs w:val="20"/>
              </w:rPr>
            </w:pPr>
            <w:r w:rsidRPr="006C3201">
              <w:rPr>
                <w:noProof/>
                <w:sz w:val="20"/>
              </w:rPr>
              <w:t>TAK/ NIE</w:t>
            </w:r>
          </w:p>
        </w:tc>
      </w:tr>
      <w:tr w:rsidR="00D048D1" w:rsidRPr="006C3201" w14:paraId="3D00C614" w14:textId="77777777">
        <w:trPr>
          <w:jc w:val="center"/>
        </w:trPr>
        <w:tc>
          <w:tcPr>
            <w:tcW w:w="1080" w:type="dxa"/>
            <w:vAlign w:val="center"/>
          </w:tcPr>
          <w:p w14:paraId="7C6E5D20" w14:textId="77777777" w:rsidR="00D048D1" w:rsidRPr="006C3201" w:rsidRDefault="00D048D1">
            <w:pPr>
              <w:jc w:val="center"/>
              <w:rPr>
                <w:noProof/>
              </w:rPr>
            </w:pPr>
          </w:p>
        </w:tc>
        <w:tc>
          <w:tcPr>
            <w:tcW w:w="3960" w:type="dxa"/>
            <w:vAlign w:val="center"/>
          </w:tcPr>
          <w:p w14:paraId="30F798F3" w14:textId="77777777" w:rsidR="00D048D1" w:rsidRPr="006C3201" w:rsidRDefault="00D048D1">
            <w:pPr>
              <w:spacing w:before="60"/>
              <w:rPr>
                <w:noProof/>
              </w:rPr>
            </w:pPr>
            <w:r w:rsidRPr="006C3201">
              <w:rPr>
                <w:noProof/>
                <w:sz w:val="22"/>
              </w:rPr>
              <w:t>[XX.YY.YY.YY]</w:t>
            </w:r>
          </w:p>
          <w:p w14:paraId="25B373BA" w14:textId="77777777" w:rsidR="00D048D1" w:rsidRPr="006C3201" w:rsidRDefault="00D048D1">
            <w:pPr>
              <w:spacing w:after="60"/>
              <w:rPr>
                <w:noProof/>
              </w:rPr>
            </w:pPr>
          </w:p>
        </w:tc>
        <w:tc>
          <w:tcPr>
            <w:tcW w:w="1080" w:type="dxa"/>
            <w:vAlign w:val="center"/>
          </w:tcPr>
          <w:p w14:paraId="706B6B0D" w14:textId="77777777" w:rsidR="00D048D1" w:rsidRPr="006C3201" w:rsidRDefault="00D048D1">
            <w:pPr>
              <w:jc w:val="center"/>
              <w:rPr>
                <w:noProof/>
              </w:rPr>
            </w:pPr>
            <w:r w:rsidRPr="006C3201">
              <w:rPr>
                <w:noProof/>
                <w:sz w:val="22"/>
              </w:rPr>
              <w:t>Zróżn. / niezróżn.</w:t>
            </w:r>
          </w:p>
        </w:tc>
        <w:tc>
          <w:tcPr>
            <w:tcW w:w="956" w:type="dxa"/>
            <w:vAlign w:val="center"/>
          </w:tcPr>
          <w:p w14:paraId="63F6D2AC" w14:textId="77777777" w:rsidR="00D048D1" w:rsidRPr="006C3201" w:rsidRDefault="00D048D1">
            <w:pPr>
              <w:jc w:val="center"/>
              <w:rPr>
                <w:noProof/>
                <w:sz w:val="20"/>
                <w:szCs w:val="20"/>
              </w:rPr>
            </w:pPr>
            <w:r w:rsidRPr="006C3201">
              <w:rPr>
                <w:noProof/>
                <w:sz w:val="20"/>
              </w:rPr>
              <w:t>TAK/ NIE</w:t>
            </w:r>
          </w:p>
        </w:tc>
        <w:tc>
          <w:tcPr>
            <w:tcW w:w="1080" w:type="dxa"/>
            <w:vAlign w:val="center"/>
          </w:tcPr>
          <w:p w14:paraId="0EFD018E" w14:textId="77777777" w:rsidR="00D048D1" w:rsidRPr="006C3201" w:rsidRDefault="00D048D1">
            <w:pPr>
              <w:jc w:val="center"/>
              <w:rPr>
                <w:noProof/>
                <w:sz w:val="20"/>
                <w:szCs w:val="20"/>
              </w:rPr>
            </w:pPr>
            <w:r w:rsidRPr="006C3201">
              <w:rPr>
                <w:noProof/>
                <w:sz w:val="20"/>
              </w:rPr>
              <w:t>TAK/ NIE</w:t>
            </w:r>
          </w:p>
        </w:tc>
        <w:tc>
          <w:tcPr>
            <w:tcW w:w="956" w:type="dxa"/>
            <w:vAlign w:val="center"/>
          </w:tcPr>
          <w:p w14:paraId="1B315BBC" w14:textId="77777777" w:rsidR="00D048D1" w:rsidRPr="006C3201" w:rsidRDefault="00D048D1">
            <w:pPr>
              <w:jc w:val="center"/>
              <w:rPr>
                <w:noProof/>
                <w:sz w:val="20"/>
                <w:szCs w:val="20"/>
              </w:rPr>
            </w:pPr>
            <w:r w:rsidRPr="006C3201">
              <w:rPr>
                <w:noProof/>
                <w:sz w:val="20"/>
              </w:rPr>
              <w:t>TAK/ NIE</w:t>
            </w:r>
          </w:p>
        </w:tc>
        <w:tc>
          <w:tcPr>
            <w:tcW w:w="1448" w:type="dxa"/>
            <w:vAlign w:val="center"/>
          </w:tcPr>
          <w:p w14:paraId="4F990926" w14:textId="77777777" w:rsidR="00D048D1" w:rsidRPr="006C3201" w:rsidRDefault="00D048D1">
            <w:pPr>
              <w:jc w:val="center"/>
              <w:rPr>
                <w:noProof/>
                <w:sz w:val="20"/>
                <w:szCs w:val="20"/>
              </w:rPr>
            </w:pPr>
            <w:r w:rsidRPr="006C3201">
              <w:rPr>
                <w:noProof/>
                <w:sz w:val="20"/>
              </w:rPr>
              <w:t>TAK/ NIE</w:t>
            </w:r>
          </w:p>
        </w:tc>
      </w:tr>
    </w:tbl>
    <w:p w14:paraId="61BBCDD9" w14:textId="77777777" w:rsidR="00D048D1" w:rsidRPr="006C3201" w:rsidRDefault="00D048D1" w:rsidP="00D048D1">
      <w:pPr>
        <w:rPr>
          <w:noProof/>
        </w:rPr>
        <w:sectPr w:rsidR="00D048D1" w:rsidRPr="006C3201" w:rsidSect="00F93B7D">
          <w:pgSz w:w="11907" w:h="16840" w:code="1"/>
          <w:pgMar w:top="1134" w:right="1418" w:bottom="1134" w:left="1418" w:header="709" w:footer="709" w:gutter="0"/>
          <w:cols w:space="708"/>
          <w:docGrid w:linePitch="360"/>
        </w:sectPr>
      </w:pPr>
    </w:p>
    <w:p w14:paraId="7CD4DCD6" w14:textId="77777777" w:rsidR="00D048D1" w:rsidRPr="006C3201" w:rsidRDefault="00D048D1" w:rsidP="00D048D1">
      <w:pPr>
        <w:pStyle w:val="ManualHeading2"/>
        <w:rPr>
          <w:bCs/>
          <w:noProof/>
          <w:szCs w:val="24"/>
        </w:rPr>
      </w:pPr>
      <w:bookmarkStart w:id="173" w:name="_Toc514938052"/>
      <w:bookmarkStart w:id="174" w:name="_Toc520485051"/>
      <w:bookmarkStart w:id="175" w:name="_Toc160804593"/>
      <w:bookmarkStart w:id="176" w:name="_Toc167220285"/>
      <w:bookmarkStart w:id="177" w:name="_Toc177549018"/>
      <w:bookmarkStart w:id="178" w:name="_Toc214887233"/>
      <w:r w:rsidRPr="006C3201">
        <w:rPr>
          <w:noProof/>
        </w:rPr>
        <w:t>3.2.</w:t>
      </w:r>
      <w:r w:rsidRPr="006C3201">
        <w:rPr>
          <w:noProof/>
        </w:rPr>
        <w:tab/>
        <w:t>Szacunkowy wpływ finansowy wniosku na środki</w:t>
      </w:r>
      <w:bookmarkEnd w:id="173"/>
      <w:bookmarkEnd w:id="174"/>
      <w:bookmarkEnd w:id="175"/>
      <w:bookmarkEnd w:id="176"/>
      <w:bookmarkEnd w:id="177"/>
      <w:bookmarkEnd w:id="178"/>
      <w:r w:rsidRPr="006C3201">
        <w:rPr>
          <w:noProof/>
        </w:rPr>
        <w:t xml:space="preserve"> </w:t>
      </w:r>
    </w:p>
    <w:p w14:paraId="0D290A3C" w14:textId="77777777" w:rsidR="00D048D1" w:rsidRPr="006C3201" w:rsidRDefault="00D048D1" w:rsidP="00D048D1">
      <w:pPr>
        <w:pStyle w:val="ManualHeading3"/>
        <w:rPr>
          <w:noProof/>
        </w:rPr>
      </w:pPr>
      <w:bookmarkStart w:id="179" w:name="_Toc514938053"/>
      <w:bookmarkStart w:id="180" w:name="_Toc520485052"/>
      <w:bookmarkStart w:id="181" w:name="_Toc160804594"/>
      <w:bookmarkStart w:id="182" w:name="_Toc167220286"/>
      <w:bookmarkStart w:id="183" w:name="_Toc177549019"/>
      <w:bookmarkStart w:id="184" w:name="_Toc214887234"/>
      <w:r w:rsidRPr="006C3201">
        <w:rPr>
          <w:noProof/>
        </w:rPr>
        <w:t>3.2.1.</w:t>
      </w:r>
      <w:r w:rsidRPr="006C3201">
        <w:rPr>
          <w:noProof/>
        </w:rPr>
        <w:tab/>
        <w:t>Podsumowanie szacunkowego wpływu na środki operacyjne</w:t>
      </w:r>
      <w:bookmarkEnd w:id="179"/>
      <w:bookmarkEnd w:id="180"/>
      <w:bookmarkEnd w:id="181"/>
      <w:bookmarkEnd w:id="182"/>
      <w:bookmarkEnd w:id="183"/>
      <w:bookmarkEnd w:id="184"/>
      <w:r w:rsidRPr="006C3201">
        <w:rPr>
          <w:noProof/>
        </w:rPr>
        <w:t xml:space="preserve"> </w:t>
      </w:r>
    </w:p>
    <w:p w14:paraId="7A7A6973" w14:textId="77777777" w:rsidR="00D048D1" w:rsidRPr="006C3201" w:rsidRDefault="00D048D1" w:rsidP="00D048D1">
      <w:pPr>
        <w:pStyle w:val="ListDash1"/>
        <w:rPr>
          <w:noProof/>
        </w:rPr>
      </w:pPr>
      <w:r w:rsidRPr="006C3201">
        <w:rPr>
          <w:rFonts w:ascii="Segoe UI Symbol" w:hAnsi="Segoe UI Symbol"/>
          <w:i/>
          <w:noProof/>
          <w:sz w:val="22"/>
        </w:rPr>
        <w:t>✓</w:t>
      </w:r>
      <w:r w:rsidRPr="006C3201">
        <w:rPr>
          <w:noProof/>
        </w:rPr>
        <w:tab/>
        <w:t>Wniosek/inicjatywa nie wiąże się</w:t>
      </w:r>
      <w:r w:rsidR="00110A93" w:rsidRPr="006C3201">
        <w:rPr>
          <w:noProof/>
        </w:rPr>
        <w:t xml:space="preserve"> z</w:t>
      </w:r>
      <w:r w:rsidR="00110A93">
        <w:rPr>
          <w:noProof/>
        </w:rPr>
        <w:t> </w:t>
      </w:r>
      <w:r w:rsidR="00110A93" w:rsidRPr="006C3201">
        <w:rPr>
          <w:noProof/>
        </w:rPr>
        <w:t>kon</w:t>
      </w:r>
      <w:r w:rsidRPr="006C3201">
        <w:rPr>
          <w:noProof/>
        </w:rPr>
        <w:t xml:space="preserve">iecznością wykorzystania środków operacyjnych </w:t>
      </w:r>
    </w:p>
    <w:p w14:paraId="452C4FD2" w14:textId="77777777" w:rsidR="00D048D1" w:rsidRPr="006C3201" w:rsidRDefault="00D048D1" w:rsidP="00D048D1">
      <w:pPr>
        <w:pStyle w:val="ListDash1"/>
        <w:rPr>
          <w:noProof/>
        </w:rPr>
      </w:pPr>
      <w:r w:rsidRPr="006C3201">
        <w:rPr>
          <w:rFonts w:ascii="Wingdings" w:hAnsi="Wingdings"/>
          <w:noProof/>
        </w:rPr>
        <w:t></w:t>
      </w:r>
      <w:r w:rsidRPr="006C3201">
        <w:rPr>
          <w:noProof/>
        </w:rPr>
        <w:tab/>
        <w:t>Wniosek/inicjatywa wiąże się</w:t>
      </w:r>
      <w:r w:rsidR="00110A93" w:rsidRPr="006C3201">
        <w:rPr>
          <w:noProof/>
        </w:rPr>
        <w:t xml:space="preserve"> z</w:t>
      </w:r>
      <w:r w:rsidR="00110A93">
        <w:rPr>
          <w:noProof/>
        </w:rPr>
        <w:t> </w:t>
      </w:r>
      <w:r w:rsidR="00110A93" w:rsidRPr="006C3201">
        <w:rPr>
          <w:noProof/>
        </w:rPr>
        <w:t>kon</w:t>
      </w:r>
      <w:r w:rsidRPr="006C3201">
        <w:rPr>
          <w:noProof/>
        </w:rPr>
        <w:t>iecznością wykorzystania środków operacyjnych, jak określono poniżej</w:t>
      </w:r>
    </w:p>
    <w:p w14:paraId="4FFF0C9F" w14:textId="77777777" w:rsidR="00D048D1" w:rsidRPr="006C3201" w:rsidRDefault="00D048D1" w:rsidP="00D048D1">
      <w:pPr>
        <w:pStyle w:val="ManualHeading3"/>
        <w:rPr>
          <w:noProof/>
        </w:rPr>
      </w:pPr>
      <w:bookmarkStart w:id="185" w:name="_Toc160804595"/>
      <w:bookmarkStart w:id="186" w:name="_Toc167220287"/>
      <w:bookmarkStart w:id="187" w:name="_Toc177549020"/>
      <w:bookmarkStart w:id="188" w:name="_Toc214887235"/>
      <w:r w:rsidRPr="006C3201">
        <w:rPr>
          <w:noProof/>
        </w:rPr>
        <w:t>3.2.1.1.</w:t>
      </w:r>
      <w:r w:rsidRPr="006C3201">
        <w:rPr>
          <w:noProof/>
        </w:rPr>
        <w:tab/>
        <w:t>Środki</w:t>
      </w:r>
      <w:r w:rsidR="00110A93" w:rsidRPr="006C3201">
        <w:rPr>
          <w:noProof/>
        </w:rPr>
        <w:t xml:space="preserve"> z</w:t>
      </w:r>
      <w:r w:rsidR="00110A93">
        <w:rPr>
          <w:noProof/>
        </w:rPr>
        <w:t> </w:t>
      </w:r>
      <w:r w:rsidR="00110A93" w:rsidRPr="006C3201">
        <w:rPr>
          <w:noProof/>
        </w:rPr>
        <w:t>uch</w:t>
      </w:r>
      <w:r w:rsidRPr="006C3201">
        <w:rPr>
          <w:noProof/>
        </w:rPr>
        <w:t>walonego budżetu</w:t>
      </w:r>
      <w:bookmarkEnd w:id="185"/>
      <w:bookmarkEnd w:id="186"/>
      <w:bookmarkEnd w:id="187"/>
      <w:bookmarkEnd w:id="188"/>
    </w:p>
    <w:p w14:paraId="069407BB" w14:textId="77777777" w:rsidR="00D048D1" w:rsidRPr="006C3201" w:rsidRDefault="00D048D1" w:rsidP="00D048D1">
      <w:pPr>
        <w:jc w:val="right"/>
        <w:rPr>
          <w:noProof/>
          <w:sz w:val="18"/>
          <w:szCs w:val="18"/>
        </w:rPr>
      </w:pPr>
      <w:r w:rsidRPr="006C3201">
        <w:rPr>
          <w:noProof/>
          <w:sz w:val="18"/>
        </w:rPr>
        <w:t>w mln EUR (do trzech miejsc po przecinku)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E43BAD" w:rsidRPr="006C3201" w14:paraId="59981333" w14:textId="77777777">
        <w:tc>
          <w:tcPr>
            <w:tcW w:w="1739" w:type="pct"/>
            <w:shd w:val="thinDiagStripe" w:color="C0C0C0" w:fill="auto"/>
            <w:vAlign w:val="center"/>
          </w:tcPr>
          <w:p w14:paraId="77F94DD9" w14:textId="77777777" w:rsidR="00D048D1" w:rsidRPr="006C3201" w:rsidRDefault="00D048D1">
            <w:pPr>
              <w:spacing w:before="60" w:after="60"/>
              <w:jc w:val="center"/>
              <w:rPr>
                <w:b/>
                <w:noProof/>
              </w:rPr>
            </w:pPr>
            <w:r w:rsidRPr="006C3201">
              <w:rPr>
                <w:b/>
                <w:noProof/>
                <w:sz w:val="22"/>
              </w:rPr>
              <w:t xml:space="preserve">Dział wieloletnich ram finansowych </w:t>
            </w:r>
          </w:p>
        </w:tc>
        <w:tc>
          <w:tcPr>
            <w:tcW w:w="396" w:type="pct"/>
            <w:vAlign w:val="center"/>
          </w:tcPr>
          <w:p w14:paraId="322C7186" w14:textId="77777777" w:rsidR="00D048D1" w:rsidRPr="006C3201" w:rsidRDefault="00D048D1">
            <w:pPr>
              <w:spacing w:before="60" w:after="60"/>
              <w:jc w:val="center"/>
              <w:rPr>
                <w:noProof/>
              </w:rPr>
            </w:pPr>
            <w:r w:rsidRPr="006C3201">
              <w:rPr>
                <w:noProof/>
                <w:sz w:val="22"/>
              </w:rPr>
              <w:t>Numer</w:t>
            </w:r>
          </w:p>
        </w:tc>
        <w:tc>
          <w:tcPr>
            <w:tcW w:w="2865" w:type="pct"/>
            <w:vAlign w:val="center"/>
          </w:tcPr>
          <w:p w14:paraId="6E0BE689" w14:textId="77777777" w:rsidR="00D048D1" w:rsidRPr="006C3201" w:rsidRDefault="00D048D1">
            <w:pPr>
              <w:spacing w:before="60" w:after="60"/>
              <w:rPr>
                <w:noProof/>
              </w:rPr>
            </w:pPr>
          </w:p>
        </w:tc>
      </w:tr>
    </w:tbl>
    <w:p w14:paraId="3A256811" w14:textId="77777777" w:rsidR="00D048D1" w:rsidRPr="006C3201" w:rsidRDefault="00D048D1" w:rsidP="00D048D1">
      <w:pPr>
        <w:rPr>
          <w:noProof/>
          <w:sz w:val="16"/>
        </w:rPr>
      </w:pPr>
    </w:p>
    <w:tbl>
      <w:tblPr>
        <w:tblW w:w="5000" w:type="pct"/>
        <w:tblLook w:val="04A0" w:firstRow="1" w:lastRow="0" w:firstColumn="1" w:lastColumn="0" w:noHBand="0" w:noVBand="1"/>
      </w:tblPr>
      <w:tblGrid>
        <w:gridCol w:w="3837"/>
        <w:gridCol w:w="131"/>
        <w:gridCol w:w="1365"/>
        <w:gridCol w:w="115"/>
        <w:gridCol w:w="1295"/>
        <w:gridCol w:w="92"/>
        <w:gridCol w:w="1317"/>
        <w:gridCol w:w="70"/>
        <w:gridCol w:w="1340"/>
        <w:gridCol w:w="48"/>
        <w:gridCol w:w="1362"/>
        <w:gridCol w:w="25"/>
        <w:gridCol w:w="1337"/>
        <w:gridCol w:w="1650"/>
      </w:tblGrid>
      <w:tr w:rsidR="00E43BAD" w:rsidRPr="006C3201" w14:paraId="747DD158" w14:textId="77777777" w:rsidTr="0061523A">
        <w:trPr>
          <w:trHeight w:val="420"/>
        </w:trPr>
        <w:tc>
          <w:tcPr>
            <w:tcW w:w="2444"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4816142A" w14:textId="77777777" w:rsidR="00D048D1" w:rsidRPr="006C3201" w:rsidRDefault="00D048D1">
            <w:pPr>
              <w:spacing w:before="0" w:after="0"/>
              <w:jc w:val="center"/>
              <w:rPr>
                <w:noProof/>
                <w:sz w:val="22"/>
              </w:rPr>
            </w:pPr>
            <w:r w:rsidRPr="006C3201">
              <w:rPr>
                <w:noProof/>
                <w:sz w:val="22"/>
              </w:rPr>
              <w:t>Dyrekcja Generalna: &lt;…….&gt;</w:t>
            </w:r>
          </w:p>
        </w:tc>
        <w:tc>
          <w:tcPr>
            <w:tcW w:w="496" w:type="pct"/>
            <w:gridSpan w:val="2"/>
            <w:tcBorders>
              <w:top w:val="single" w:sz="8" w:space="0" w:color="auto"/>
              <w:left w:val="nil"/>
              <w:bottom w:val="single" w:sz="8" w:space="0" w:color="auto"/>
              <w:right w:val="single" w:sz="8" w:space="0" w:color="auto"/>
            </w:tcBorders>
            <w:vAlign w:val="center"/>
            <w:hideMark/>
          </w:tcPr>
          <w:p w14:paraId="12106DBF" w14:textId="77777777" w:rsidR="00D048D1" w:rsidRPr="006C3201" w:rsidRDefault="00D048D1">
            <w:pPr>
              <w:spacing w:before="0" w:after="0"/>
              <w:jc w:val="center"/>
              <w:rPr>
                <w:noProof/>
                <w:sz w:val="20"/>
                <w:szCs w:val="20"/>
              </w:rPr>
            </w:pPr>
            <w:r w:rsidRPr="006C3201">
              <w:rPr>
                <w:noProof/>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1B4EEDBD" w14:textId="77777777" w:rsidR="00D048D1" w:rsidRPr="006C3201" w:rsidRDefault="00D048D1">
            <w:pPr>
              <w:spacing w:before="0" w:after="0"/>
              <w:jc w:val="center"/>
              <w:rPr>
                <w:noProof/>
                <w:sz w:val="20"/>
                <w:szCs w:val="20"/>
              </w:rPr>
            </w:pPr>
            <w:r w:rsidRPr="006C3201">
              <w:rPr>
                <w:noProof/>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3E032BB9" w14:textId="77777777" w:rsidR="00D048D1" w:rsidRPr="006C3201" w:rsidRDefault="00D048D1">
            <w:pPr>
              <w:spacing w:before="0" w:after="0"/>
              <w:jc w:val="center"/>
              <w:rPr>
                <w:noProof/>
                <w:sz w:val="20"/>
                <w:szCs w:val="20"/>
              </w:rPr>
            </w:pPr>
            <w:r w:rsidRPr="006C3201">
              <w:rPr>
                <w:noProof/>
                <w:sz w:val="20"/>
              </w:rPr>
              <w:t>Rok</w:t>
            </w:r>
          </w:p>
        </w:tc>
        <w:tc>
          <w:tcPr>
            <w:tcW w:w="478" w:type="pct"/>
            <w:tcBorders>
              <w:top w:val="single" w:sz="8" w:space="0" w:color="auto"/>
              <w:left w:val="nil"/>
              <w:bottom w:val="single" w:sz="8" w:space="0" w:color="auto"/>
              <w:right w:val="single" w:sz="8" w:space="0" w:color="auto"/>
            </w:tcBorders>
            <w:vAlign w:val="center"/>
            <w:hideMark/>
          </w:tcPr>
          <w:p w14:paraId="1AB13DAA" w14:textId="77777777" w:rsidR="00D048D1" w:rsidRPr="006C3201" w:rsidRDefault="00D048D1">
            <w:pPr>
              <w:spacing w:before="0" w:after="0"/>
              <w:jc w:val="center"/>
              <w:rPr>
                <w:noProof/>
                <w:sz w:val="20"/>
                <w:szCs w:val="20"/>
              </w:rPr>
            </w:pPr>
            <w:r w:rsidRPr="006C3201">
              <w:rPr>
                <w:noProof/>
                <w:sz w:val="20"/>
              </w:rPr>
              <w:t>Rok</w:t>
            </w:r>
          </w:p>
        </w:tc>
        <w:tc>
          <w:tcPr>
            <w:tcW w:w="590" w:type="pct"/>
            <w:vMerge w:val="restart"/>
            <w:tcBorders>
              <w:top w:val="single" w:sz="8" w:space="0" w:color="auto"/>
              <w:left w:val="single" w:sz="8" w:space="0" w:color="auto"/>
              <w:bottom w:val="single" w:sz="8" w:space="0" w:color="auto"/>
              <w:right w:val="single" w:sz="8" w:space="0" w:color="auto"/>
            </w:tcBorders>
            <w:vAlign w:val="center"/>
            <w:hideMark/>
          </w:tcPr>
          <w:p w14:paraId="1C9753FD" w14:textId="77777777" w:rsidR="00D048D1" w:rsidRPr="006C3201" w:rsidRDefault="00D048D1">
            <w:pPr>
              <w:spacing w:before="0" w:after="0"/>
              <w:jc w:val="center"/>
              <w:rPr>
                <w:b/>
                <w:bCs/>
                <w:noProof/>
                <w:sz w:val="20"/>
                <w:szCs w:val="20"/>
              </w:rPr>
            </w:pPr>
            <w:r w:rsidRPr="006C3201">
              <w:rPr>
                <w:b/>
                <w:noProof/>
                <w:sz w:val="20"/>
              </w:rPr>
              <w:t>OGÓŁEM WRF 2021–2027</w:t>
            </w:r>
          </w:p>
        </w:tc>
      </w:tr>
      <w:tr w:rsidR="00E43BAD" w:rsidRPr="006C3201" w14:paraId="4659F521" w14:textId="77777777" w:rsidTr="0061523A">
        <w:trPr>
          <w:trHeight w:val="288"/>
        </w:trPr>
        <w:tc>
          <w:tcPr>
            <w:tcW w:w="2444" w:type="pct"/>
            <w:gridSpan w:val="6"/>
            <w:vMerge/>
            <w:tcBorders>
              <w:top w:val="single" w:sz="8" w:space="0" w:color="auto"/>
              <w:left w:val="single" w:sz="8" w:space="0" w:color="auto"/>
              <w:bottom w:val="single" w:sz="8" w:space="0" w:color="auto"/>
              <w:right w:val="single" w:sz="8" w:space="0" w:color="auto"/>
            </w:tcBorders>
            <w:vAlign w:val="center"/>
            <w:hideMark/>
          </w:tcPr>
          <w:p w14:paraId="19D52544" w14:textId="77777777" w:rsidR="00D048D1" w:rsidRPr="006C3201" w:rsidRDefault="00D048D1">
            <w:pPr>
              <w:spacing w:before="0" w:after="0"/>
              <w:jc w:val="left"/>
              <w:rPr>
                <w:noProof/>
                <w:sz w:val="22"/>
                <w:lang w:eastAsia="en-IE"/>
              </w:rPr>
            </w:pPr>
          </w:p>
        </w:tc>
        <w:tc>
          <w:tcPr>
            <w:tcW w:w="496" w:type="pct"/>
            <w:gridSpan w:val="2"/>
            <w:tcBorders>
              <w:top w:val="nil"/>
              <w:left w:val="nil"/>
              <w:bottom w:val="single" w:sz="8" w:space="0" w:color="auto"/>
              <w:right w:val="single" w:sz="8" w:space="0" w:color="auto"/>
            </w:tcBorders>
            <w:vAlign w:val="center"/>
            <w:hideMark/>
          </w:tcPr>
          <w:p w14:paraId="210364C4" w14:textId="77777777" w:rsidR="00D048D1" w:rsidRPr="006C3201" w:rsidRDefault="00D048D1">
            <w:pPr>
              <w:spacing w:before="0" w:after="0"/>
              <w:jc w:val="center"/>
              <w:rPr>
                <w:b/>
                <w:bCs/>
                <w:noProof/>
                <w:sz w:val="20"/>
                <w:szCs w:val="20"/>
              </w:rPr>
            </w:pPr>
            <w:r w:rsidRPr="006C3201">
              <w:rPr>
                <w:b/>
                <w:noProof/>
                <w:sz w:val="20"/>
              </w:rPr>
              <w:t>2024</w:t>
            </w:r>
          </w:p>
        </w:tc>
        <w:tc>
          <w:tcPr>
            <w:tcW w:w="496" w:type="pct"/>
            <w:gridSpan w:val="2"/>
            <w:tcBorders>
              <w:top w:val="nil"/>
              <w:left w:val="nil"/>
              <w:bottom w:val="single" w:sz="8" w:space="0" w:color="auto"/>
              <w:right w:val="single" w:sz="8" w:space="0" w:color="auto"/>
            </w:tcBorders>
            <w:vAlign w:val="center"/>
            <w:hideMark/>
          </w:tcPr>
          <w:p w14:paraId="1A3D7C7C" w14:textId="77777777" w:rsidR="00D048D1" w:rsidRPr="006C3201" w:rsidRDefault="00D048D1">
            <w:pPr>
              <w:spacing w:before="0" w:after="0"/>
              <w:jc w:val="center"/>
              <w:rPr>
                <w:b/>
                <w:bCs/>
                <w:noProof/>
                <w:sz w:val="20"/>
                <w:szCs w:val="20"/>
              </w:rPr>
            </w:pPr>
            <w:r w:rsidRPr="006C3201">
              <w:rPr>
                <w:b/>
                <w:noProof/>
                <w:sz w:val="20"/>
              </w:rPr>
              <w:t>2025</w:t>
            </w:r>
          </w:p>
        </w:tc>
        <w:tc>
          <w:tcPr>
            <w:tcW w:w="496" w:type="pct"/>
            <w:gridSpan w:val="2"/>
            <w:tcBorders>
              <w:top w:val="nil"/>
              <w:left w:val="nil"/>
              <w:bottom w:val="single" w:sz="8" w:space="0" w:color="auto"/>
              <w:right w:val="single" w:sz="8" w:space="0" w:color="auto"/>
            </w:tcBorders>
            <w:vAlign w:val="center"/>
            <w:hideMark/>
          </w:tcPr>
          <w:p w14:paraId="43DD6D40" w14:textId="77777777" w:rsidR="00D048D1" w:rsidRPr="006C3201" w:rsidRDefault="00D048D1">
            <w:pPr>
              <w:spacing w:before="0" w:after="0"/>
              <w:jc w:val="center"/>
              <w:rPr>
                <w:b/>
                <w:bCs/>
                <w:noProof/>
                <w:sz w:val="20"/>
                <w:szCs w:val="20"/>
              </w:rPr>
            </w:pPr>
            <w:r w:rsidRPr="006C3201">
              <w:rPr>
                <w:b/>
                <w:noProof/>
                <w:sz w:val="20"/>
              </w:rPr>
              <w:t>2026</w:t>
            </w:r>
          </w:p>
        </w:tc>
        <w:tc>
          <w:tcPr>
            <w:tcW w:w="478" w:type="pct"/>
            <w:tcBorders>
              <w:top w:val="nil"/>
              <w:left w:val="nil"/>
              <w:bottom w:val="single" w:sz="8" w:space="0" w:color="auto"/>
              <w:right w:val="single" w:sz="8" w:space="0" w:color="auto"/>
            </w:tcBorders>
            <w:vAlign w:val="center"/>
            <w:hideMark/>
          </w:tcPr>
          <w:p w14:paraId="20B4FFAD" w14:textId="77777777" w:rsidR="00D048D1" w:rsidRPr="006C3201" w:rsidRDefault="00D048D1">
            <w:pPr>
              <w:spacing w:before="0" w:after="0"/>
              <w:jc w:val="center"/>
              <w:rPr>
                <w:b/>
                <w:bCs/>
                <w:noProof/>
                <w:sz w:val="20"/>
                <w:szCs w:val="20"/>
              </w:rPr>
            </w:pPr>
            <w:r w:rsidRPr="006C3201">
              <w:rPr>
                <w:b/>
                <w:noProof/>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14:paraId="5AC15801" w14:textId="77777777" w:rsidR="00D048D1" w:rsidRPr="006C3201" w:rsidRDefault="00D048D1">
            <w:pPr>
              <w:spacing w:before="0" w:after="0"/>
              <w:jc w:val="left"/>
              <w:rPr>
                <w:b/>
                <w:bCs/>
                <w:noProof/>
                <w:sz w:val="20"/>
                <w:szCs w:val="20"/>
                <w:lang w:eastAsia="en-IE"/>
              </w:rPr>
            </w:pPr>
          </w:p>
        </w:tc>
      </w:tr>
      <w:tr w:rsidR="00E43BAD" w:rsidRPr="006C3201" w14:paraId="083BDC30" w14:textId="77777777" w:rsidTr="0061523A">
        <w:trPr>
          <w:trHeight w:val="300"/>
        </w:trPr>
        <w:tc>
          <w:tcPr>
            <w:tcW w:w="5000" w:type="pct"/>
            <w:gridSpan w:val="14"/>
            <w:tcBorders>
              <w:top w:val="single" w:sz="8" w:space="0" w:color="auto"/>
              <w:left w:val="single" w:sz="8" w:space="0" w:color="auto"/>
              <w:bottom w:val="single" w:sz="8" w:space="0" w:color="auto"/>
              <w:right w:val="single" w:sz="8" w:space="0" w:color="auto"/>
            </w:tcBorders>
            <w:vAlign w:val="center"/>
            <w:hideMark/>
          </w:tcPr>
          <w:p w14:paraId="041DD9DE" w14:textId="77777777" w:rsidR="00D048D1" w:rsidRPr="006C3201" w:rsidRDefault="00D048D1">
            <w:pPr>
              <w:spacing w:before="0" w:after="0"/>
              <w:jc w:val="left"/>
              <w:rPr>
                <w:noProof/>
                <w:sz w:val="21"/>
                <w:szCs w:val="21"/>
              </w:rPr>
            </w:pPr>
            <w:r w:rsidRPr="006C3201">
              <w:rPr>
                <w:noProof/>
                <w:sz w:val="21"/>
              </w:rPr>
              <w:t xml:space="preserve">Środki operacyjne </w:t>
            </w:r>
          </w:p>
        </w:tc>
      </w:tr>
      <w:tr w:rsidR="00E43BAD" w:rsidRPr="006C3201" w14:paraId="1B39892B" w14:textId="77777777" w:rsidTr="0061523A">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7B7ADC4D" w14:textId="77777777" w:rsidR="00D048D1" w:rsidRPr="006C3201" w:rsidRDefault="00D048D1">
            <w:pPr>
              <w:spacing w:before="0" w:after="0"/>
              <w:jc w:val="left"/>
              <w:rPr>
                <w:noProof/>
                <w:sz w:val="22"/>
              </w:rPr>
            </w:pPr>
            <w:r w:rsidRPr="006C3201">
              <w:rPr>
                <w:noProof/>
                <w:sz w:val="22"/>
              </w:rPr>
              <w:t>Linia budżetowa</w:t>
            </w:r>
          </w:p>
        </w:tc>
        <w:tc>
          <w:tcPr>
            <w:tcW w:w="529" w:type="pct"/>
            <w:gridSpan w:val="2"/>
            <w:tcBorders>
              <w:top w:val="nil"/>
              <w:left w:val="nil"/>
              <w:bottom w:val="single" w:sz="8" w:space="0" w:color="auto"/>
              <w:right w:val="single" w:sz="8" w:space="0" w:color="auto"/>
            </w:tcBorders>
            <w:vAlign w:val="center"/>
            <w:hideMark/>
          </w:tcPr>
          <w:p w14:paraId="33625F06" w14:textId="77777777" w:rsidR="00D048D1" w:rsidRPr="006C3201" w:rsidRDefault="00D048D1">
            <w:pPr>
              <w:spacing w:before="0" w:after="0"/>
              <w:rPr>
                <w:noProof/>
                <w:sz w:val="18"/>
                <w:szCs w:val="18"/>
              </w:rPr>
            </w:pPr>
            <w:r w:rsidRPr="006C3201">
              <w:rPr>
                <w:noProof/>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5FE43621" w14:textId="77777777" w:rsidR="00D048D1" w:rsidRPr="006C3201" w:rsidRDefault="00D048D1">
            <w:pPr>
              <w:spacing w:before="0" w:after="0"/>
              <w:jc w:val="center"/>
              <w:rPr>
                <w:noProof/>
                <w:sz w:val="14"/>
                <w:szCs w:val="14"/>
              </w:rPr>
            </w:pPr>
            <w:r w:rsidRPr="006C3201">
              <w:rPr>
                <w:noProof/>
                <w:sz w:val="14"/>
              </w:rPr>
              <w:t>(1a)</w:t>
            </w:r>
          </w:p>
        </w:tc>
        <w:tc>
          <w:tcPr>
            <w:tcW w:w="496" w:type="pct"/>
            <w:gridSpan w:val="2"/>
            <w:tcBorders>
              <w:top w:val="nil"/>
              <w:left w:val="nil"/>
              <w:bottom w:val="single" w:sz="8" w:space="0" w:color="auto"/>
              <w:right w:val="single" w:sz="8" w:space="0" w:color="auto"/>
            </w:tcBorders>
            <w:vAlign w:val="center"/>
            <w:hideMark/>
          </w:tcPr>
          <w:p w14:paraId="50FD7EBB" w14:textId="77777777" w:rsidR="00D048D1" w:rsidRPr="006C3201" w:rsidRDefault="00D048D1">
            <w:pPr>
              <w:spacing w:before="0" w:after="0"/>
              <w:jc w:val="right"/>
              <w:rPr>
                <w:noProof/>
                <w:sz w:val="20"/>
                <w:szCs w:val="20"/>
              </w:rPr>
            </w:pPr>
            <w:r w:rsidRPr="006C3201">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14:paraId="27F3B79B" w14:textId="77777777" w:rsidR="00D048D1" w:rsidRPr="006C3201" w:rsidRDefault="00D048D1">
            <w:pPr>
              <w:spacing w:before="0" w:after="0"/>
              <w:jc w:val="right"/>
              <w:rPr>
                <w:noProof/>
                <w:sz w:val="20"/>
                <w:szCs w:val="20"/>
              </w:rPr>
            </w:pPr>
            <w:r w:rsidRPr="006C3201">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14:paraId="4BD78FD2" w14:textId="77777777" w:rsidR="00D048D1" w:rsidRPr="006C3201" w:rsidRDefault="00D048D1">
            <w:pPr>
              <w:spacing w:before="0" w:after="0"/>
              <w:jc w:val="right"/>
              <w:rPr>
                <w:noProof/>
                <w:sz w:val="20"/>
                <w:szCs w:val="20"/>
              </w:rPr>
            </w:pPr>
            <w:r w:rsidRPr="006C3201">
              <w:rPr>
                <w:noProof/>
                <w:sz w:val="20"/>
              </w:rPr>
              <w:t xml:space="preserve"> </w:t>
            </w:r>
          </w:p>
        </w:tc>
        <w:tc>
          <w:tcPr>
            <w:tcW w:w="478" w:type="pct"/>
            <w:tcBorders>
              <w:top w:val="nil"/>
              <w:left w:val="nil"/>
              <w:bottom w:val="single" w:sz="8" w:space="0" w:color="auto"/>
              <w:right w:val="single" w:sz="8" w:space="0" w:color="auto"/>
            </w:tcBorders>
            <w:vAlign w:val="center"/>
            <w:hideMark/>
          </w:tcPr>
          <w:p w14:paraId="27B55550" w14:textId="77777777" w:rsidR="00D048D1" w:rsidRPr="006C3201" w:rsidRDefault="00D048D1">
            <w:pPr>
              <w:spacing w:before="0" w:after="0"/>
              <w:jc w:val="right"/>
              <w:rPr>
                <w:noProof/>
                <w:sz w:val="20"/>
                <w:szCs w:val="20"/>
              </w:rPr>
            </w:pPr>
            <w:r w:rsidRPr="006C3201">
              <w:rPr>
                <w:noProof/>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7296B8B9" w14:textId="77777777" w:rsidR="00D048D1" w:rsidRPr="006C3201" w:rsidRDefault="00D048D1">
            <w:pPr>
              <w:spacing w:before="0" w:after="0"/>
              <w:jc w:val="right"/>
              <w:rPr>
                <w:b/>
                <w:bCs/>
                <w:noProof/>
                <w:sz w:val="20"/>
                <w:szCs w:val="20"/>
              </w:rPr>
            </w:pPr>
            <w:r w:rsidRPr="006C3201">
              <w:rPr>
                <w:b/>
                <w:noProof/>
                <w:sz w:val="20"/>
              </w:rPr>
              <w:t>0,000</w:t>
            </w:r>
          </w:p>
        </w:tc>
      </w:tr>
      <w:tr w:rsidR="00E43BAD" w:rsidRPr="006C3201" w14:paraId="06BEB674" w14:textId="77777777" w:rsidTr="0061523A">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0950091F" w14:textId="77777777" w:rsidR="00D048D1" w:rsidRPr="006C3201" w:rsidRDefault="00D048D1">
            <w:pPr>
              <w:spacing w:before="0" w:after="0"/>
              <w:jc w:val="left"/>
              <w:rPr>
                <w:noProof/>
                <w:sz w:val="22"/>
                <w:lang w:eastAsia="en-IE"/>
              </w:rPr>
            </w:pPr>
          </w:p>
        </w:tc>
        <w:tc>
          <w:tcPr>
            <w:tcW w:w="529" w:type="pct"/>
            <w:gridSpan w:val="2"/>
            <w:tcBorders>
              <w:top w:val="nil"/>
              <w:left w:val="nil"/>
              <w:bottom w:val="single" w:sz="8" w:space="0" w:color="auto"/>
              <w:right w:val="single" w:sz="8" w:space="0" w:color="auto"/>
            </w:tcBorders>
            <w:vAlign w:val="center"/>
            <w:hideMark/>
          </w:tcPr>
          <w:p w14:paraId="5E7A9D36" w14:textId="77777777" w:rsidR="00D048D1" w:rsidRPr="006C3201" w:rsidRDefault="00D048D1">
            <w:pPr>
              <w:spacing w:before="0" w:after="0"/>
              <w:rPr>
                <w:noProof/>
                <w:sz w:val="18"/>
                <w:szCs w:val="18"/>
              </w:rPr>
            </w:pPr>
            <w:r w:rsidRPr="006C3201">
              <w:rPr>
                <w:noProof/>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20EE0E3D" w14:textId="77777777" w:rsidR="00D048D1" w:rsidRPr="006C3201" w:rsidRDefault="00D048D1">
            <w:pPr>
              <w:spacing w:before="0" w:after="0"/>
              <w:jc w:val="center"/>
              <w:rPr>
                <w:noProof/>
                <w:sz w:val="14"/>
                <w:szCs w:val="14"/>
              </w:rPr>
            </w:pPr>
            <w:r w:rsidRPr="006C3201">
              <w:rPr>
                <w:noProof/>
                <w:sz w:val="14"/>
              </w:rPr>
              <w:t>(2a)</w:t>
            </w:r>
          </w:p>
        </w:tc>
        <w:tc>
          <w:tcPr>
            <w:tcW w:w="496" w:type="pct"/>
            <w:gridSpan w:val="2"/>
            <w:tcBorders>
              <w:top w:val="nil"/>
              <w:left w:val="nil"/>
              <w:bottom w:val="single" w:sz="8" w:space="0" w:color="auto"/>
              <w:right w:val="single" w:sz="8" w:space="0" w:color="auto"/>
            </w:tcBorders>
            <w:vAlign w:val="center"/>
            <w:hideMark/>
          </w:tcPr>
          <w:p w14:paraId="67A50A08" w14:textId="77777777" w:rsidR="00D048D1" w:rsidRPr="006C3201" w:rsidRDefault="00D048D1">
            <w:pPr>
              <w:spacing w:before="0" w:after="0"/>
              <w:jc w:val="right"/>
              <w:rPr>
                <w:noProof/>
                <w:sz w:val="20"/>
                <w:szCs w:val="20"/>
              </w:rPr>
            </w:pPr>
            <w:r w:rsidRPr="006C3201">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14:paraId="417EC6DF" w14:textId="77777777" w:rsidR="00D048D1" w:rsidRPr="006C3201" w:rsidRDefault="00D048D1">
            <w:pPr>
              <w:spacing w:before="0" w:after="0"/>
              <w:jc w:val="right"/>
              <w:rPr>
                <w:noProof/>
                <w:sz w:val="20"/>
                <w:szCs w:val="20"/>
              </w:rPr>
            </w:pPr>
            <w:r w:rsidRPr="006C3201">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14:paraId="37A03D6B" w14:textId="77777777" w:rsidR="00D048D1" w:rsidRPr="006C3201" w:rsidRDefault="00D048D1">
            <w:pPr>
              <w:spacing w:before="0" w:after="0"/>
              <w:jc w:val="right"/>
              <w:rPr>
                <w:noProof/>
                <w:sz w:val="20"/>
                <w:szCs w:val="20"/>
              </w:rPr>
            </w:pPr>
            <w:r w:rsidRPr="006C3201">
              <w:rPr>
                <w:noProof/>
                <w:sz w:val="20"/>
              </w:rPr>
              <w:t xml:space="preserve"> </w:t>
            </w:r>
          </w:p>
        </w:tc>
        <w:tc>
          <w:tcPr>
            <w:tcW w:w="478" w:type="pct"/>
            <w:tcBorders>
              <w:top w:val="nil"/>
              <w:left w:val="nil"/>
              <w:bottom w:val="single" w:sz="8" w:space="0" w:color="auto"/>
              <w:right w:val="single" w:sz="8" w:space="0" w:color="auto"/>
            </w:tcBorders>
            <w:vAlign w:val="center"/>
            <w:hideMark/>
          </w:tcPr>
          <w:p w14:paraId="1960F4A3" w14:textId="77777777" w:rsidR="00D048D1" w:rsidRPr="006C3201" w:rsidRDefault="00D048D1">
            <w:pPr>
              <w:spacing w:before="0" w:after="0"/>
              <w:jc w:val="right"/>
              <w:rPr>
                <w:noProof/>
                <w:sz w:val="20"/>
                <w:szCs w:val="20"/>
              </w:rPr>
            </w:pPr>
            <w:r w:rsidRPr="006C3201">
              <w:rPr>
                <w:noProof/>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795BE9F" w14:textId="77777777" w:rsidR="00D048D1" w:rsidRPr="006C3201" w:rsidRDefault="00D048D1">
            <w:pPr>
              <w:spacing w:before="0" w:after="0"/>
              <w:jc w:val="right"/>
              <w:rPr>
                <w:b/>
                <w:bCs/>
                <w:noProof/>
                <w:sz w:val="20"/>
                <w:szCs w:val="20"/>
              </w:rPr>
            </w:pPr>
            <w:r w:rsidRPr="006C3201">
              <w:rPr>
                <w:b/>
                <w:noProof/>
                <w:sz w:val="20"/>
              </w:rPr>
              <w:t>0,000</w:t>
            </w:r>
          </w:p>
        </w:tc>
      </w:tr>
      <w:tr w:rsidR="00E43BAD" w:rsidRPr="006C3201" w14:paraId="3B9DD0F0" w14:textId="77777777" w:rsidTr="0061523A">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5D6A27B4" w14:textId="77777777" w:rsidR="00D048D1" w:rsidRPr="006C3201" w:rsidRDefault="00D048D1">
            <w:pPr>
              <w:spacing w:before="0" w:after="0"/>
              <w:rPr>
                <w:noProof/>
                <w:sz w:val="20"/>
                <w:szCs w:val="20"/>
              </w:rPr>
            </w:pPr>
            <w:r w:rsidRPr="006C3201">
              <w:rPr>
                <w:noProof/>
                <w:sz w:val="20"/>
              </w:rPr>
              <w:t>Linia budżetowa</w:t>
            </w:r>
          </w:p>
        </w:tc>
        <w:tc>
          <w:tcPr>
            <w:tcW w:w="529" w:type="pct"/>
            <w:gridSpan w:val="2"/>
            <w:tcBorders>
              <w:top w:val="nil"/>
              <w:left w:val="nil"/>
              <w:bottom w:val="single" w:sz="8" w:space="0" w:color="auto"/>
              <w:right w:val="single" w:sz="8" w:space="0" w:color="auto"/>
            </w:tcBorders>
            <w:vAlign w:val="center"/>
            <w:hideMark/>
          </w:tcPr>
          <w:p w14:paraId="4C81FAA2" w14:textId="77777777" w:rsidR="00D048D1" w:rsidRPr="006C3201" w:rsidRDefault="00D048D1">
            <w:pPr>
              <w:spacing w:before="0" w:after="0"/>
              <w:rPr>
                <w:noProof/>
                <w:sz w:val="18"/>
                <w:szCs w:val="18"/>
              </w:rPr>
            </w:pPr>
            <w:r w:rsidRPr="006C3201">
              <w:rPr>
                <w:noProof/>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3178F550" w14:textId="77777777" w:rsidR="00D048D1" w:rsidRPr="006C3201" w:rsidRDefault="00D048D1">
            <w:pPr>
              <w:spacing w:before="0" w:after="0"/>
              <w:jc w:val="center"/>
              <w:rPr>
                <w:noProof/>
                <w:sz w:val="14"/>
                <w:szCs w:val="14"/>
              </w:rPr>
            </w:pPr>
            <w:r w:rsidRPr="006C3201">
              <w:rPr>
                <w:noProof/>
                <w:sz w:val="14"/>
              </w:rPr>
              <w:t>(1b)</w:t>
            </w:r>
          </w:p>
        </w:tc>
        <w:tc>
          <w:tcPr>
            <w:tcW w:w="496" w:type="pct"/>
            <w:gridSpan w:val="2"/>
            <w:tcBorders>
              <w:top w:val="nil"/>
              <w:left w:val="nil"/>
              <w:bottom w:val="single" w:sz="8" w:space="0" w:color="auto"/>
              <w:right w:val="single" w:sz="8" w:space="0" w:color="auto"/>
            </w:tcBorders>
            <w:vAlign w:val="center"/>
            <w:hideMark/>
          </w:tcPr>
          <w:p w14:paraId="0867DD73" w14:textId="77777777" w:rsidR="00D048D1" w:rsidRPr="006C3201" w:rsidRDefault="00D048D1">
            <w:pPr>
              <w:spacing w:before="0" w:after="0"/>
              <w:jc w:val="right"/>
              <w:rPr>
                <w:noProof/>
                <w:sz w:val="20"/>
                <w:szCs w:val="20"/>
              </w:rPr>
            </w:pPr>
            <w:r w:rsidRPr="006C3201">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14:paraId="13A74106" w14:textId="77777777" w:rsidR="00D048D1" w:rsidRPr="006C3201" w:rsidRDefault="00D048D1">
            <w:pPr>
              <w:spacing w:before="0" w:after="0"/>
              <w:jc w:val="right"/>
              <w:rPr>
                <w:noProof/>
                <w:sz w:val="20"/>
                <w:szCs w:val="20"/>
              </w:rPr>
            </w:pPr>
            <w:r w:rsidRPr="006C3201">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14:paraId="12763828" w14:textId="77777777" w:rsidR="00D048D1" w:rsidRPr="006C3201" w:rsidRDefault="00D048D1">
            <w:pPr>
              <w:spacing w:before="0" w:after="0"/>
              <w:jc w:val="right"/>
              <w:rPr>
                <w:noProof/>
                <w:sz w:val="20"/>
                <w:szCs w:val="20"/>
              </w:rPr>
            </w:pPr>
            <w:r w:rsidRPr="006C3201">
              <w:rPr>
                <w:noProof/>
                <w:sz w:val="20"/>
              </w:rPr>
              <w:t xml:space="preserve"> </w:t>
            </w:r>
          </w:p>
        </w:tc>
        <w:tc>
          <w:tcPr>
            <w:tcW w:w="478" w:type="pct"/>
            <w:tcBorders>
              <w:top w:val="nil"/>
              <w:left w:val="nil"/>
              <w:bottom w:val="single" w:sz="8" w:space="0" w:color="auto"/>
              <w:right w:val="single" w:sz="8" w:space="0" w:color="auto"/>
            </w:tcBorders>
            <w:vAlign w:val="center"/>
            <w:hideMark/>
          </w:tcPr>
          <w:p w14:paraId="5C551A1D" w14:textId="77777777" w:rsidR="00D048D1" w:rsidRPr="006C3201" w:rsidRDefault="00D048D1">
            <w:pPr>
              <w:spacing w:before="0" w:after="0"/>
              <w:jc w:val="right"/>
              <w:rPr>
                <w:noProof/>
                <w:sz w:val="20"/>
                <w:szCs w:val="20"/>
              </w:rPr>
            </w:pPr>
            <w:r w:rsidRPr="006C3201">
              <w:rPr>
                <w:noProof/>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47D7C498" w14:textId="77777777" w:rsidR="00D048D1" w:rsidRPr="006C3201" w:rsidRDefault="00D048D1">
            <w:pPr>
              <w:spacing w:before="0" w:after="0"/>
              <w:jc w:val="right"/>
              <w:rPr>
                <w:b/>
                <w:bCs/>
                <w:noProof/>
                <w:sz w:val="20"/>
                <w:szCs w:val="20"/>
              </w:rPr>
            </w:pPr>
            <w:r w:rsidRPr="006C3201">
              <w:rPr>
                <w:b/>
                <w:noProof/>
                <w:sz w:val="20"/>
              </w:rPr>
              <w:t>0,000</w:t>
            </w:r>
          </w:p>
        </w:tc>
      </w:tr>
      <w:tr w:rsidR="00E43BAD" w:rsidRPr="006C3201" w14:paraId="19AE66CD" w14:textId="77777777" w:rsidTr="0061523A">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3065593C" w14:textId="77777777" w:rsidR="00D048D1" w:rsidRPr="006C3201" w:rsidRDefault="00D048D1">
            <w:pPr>
              <w:spacing w:before="0" w:after="0"/>
              <w:jc w:val="left"/>
              <w:rPr>
                <w:noProof/>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3B1D28AA" w14:textId="77777777" w:rsidR="00D048D1" w:rsidRPr="006C3201" w:rsidRDefault="00D048D1">
            <w:pPr>
              <w:spacing w:before="0" w:after="0"/>
              <w:rPr>
                <w:noProof/>
                <w:sz w:val="18"/>
                <w:szCs w:val="18"/>
              </w:rPr>
            </w:pPr>
            <w:r w:rsidRPr="006C3201">
              <w:rPr>
                <w:noProof/>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68ADE1BD" w14:textId="77777777" w:rsidR="00D048D1" w:rsidRPr="006C3201" w:rsidRDefault="00D048D1">
            <w:pPr>
              <w:spacing w:before="0" w:after="0"/>
              <w:jc w:val="center"/>
              <w:rPr>
                <w:noProof/>
                <w:sz w:val="14"/>
                <w:szCs w:val="14"/>
              </w:rPr>
            </w:pPr>
            <w:r w:rsidRPr="006C3201">
              <w:rPr>
                <w:noProof/>
                <w:sz w:val="14"/>
              </w:rPr>
              <w:t>(2b)</w:t>
            </w:r>
          </w:p>
        </w:tc>
        <w:tc>
          <w:tcPr>
            <w:tcW w:w="496" w:type="pct"/>
            <w:gridSpan w:val="2"/>
            <w:tcBorders>
              <w:top w:val="nil"/>
              <w:left w:val="nil"/>
              <w:bottom w:val="single" w:sz="8" w:space="0" w:color="auto"/>
              <w:right w:val="single" w:sz="8" w:space="0" w:color="auto"/>
            </w:tcBorders>
            <w:vAlign w:val="center"/>
            <w:hideMark/>
          </w:tcPr>
          <w:p w14:paraId="71BA03A5" w14:textId="77777777" w:rsidR="00D048D1" w:rsidRPr="006C3201" w:rsidRDefault="00D048D1">
            <w:pPr>
              <w:spacing w:before="0" w:after="0"/>
              <w:jc w:val="right"/>
              <w:rPr>
                <w:noProof/>
                <w:sz w:val="20"/>
                <w:szCs w:val="20"/>
              </w:rPr>
            </w:pPr>
            <w:r w:rsidRPr="006C3201">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14:paraId="082AD80A" w14:textId="77777777" w:rsidR="00D048D1" w:rsidRPr="006C3201" w:rsidRDefault="00D048D1">
            <w:pPr>
              <w:spacing w:before="0" w:after="0"/>
              <w:jc w:val="right"/>
              <w:rPr>
                <w:noProof/>
                <w:sz w:val="20"/>
                <w:szCs w:val="20"/>
              </w:rPr>
            </w:pPr>
            <w:r w:rsidRPr="006C3201">
              <w:rPr>
                <w:noProof/>
                <w:sz w:val="20"/>
              </w:rPr>
              <w:t xml:space="preserve"> </w:t>
            </w:r>
          </w:p>
        </w:tc>
        <w:tc>
          <w:tcPr>
            <w:tcW w:w="496" w:type="pct"/>
            <w:gridSpan w:val="2"/>
            <w:tcBorders>
              <w:top w:val="nil"/>
              <w:left w:val="nil"/>
              <w:bottom w:val="single" w:sz="8" w:space="0" w:color="auto"/>
              <w:right w:val="single" w:sz="8" w:space="0" w:color="auto"/>
            </w:tcBorders>
            <w:vAlign w:val="center"/>
            <w:hideMark/>
          </w:tcPr>
          <w:p w14:paraId="6EAEBE4A" w14:textId="77777777" w:rsidR="00D048D1" w:rsidRPr="006C3201" w:rsidRDefault="00D048D1">
            <w:pPr>
              <w:spacing w:before="0" w:after="0"/>
              <w:jc w:val="right"/>
              <w:rPr>
                <w:noProof/>
                <w:sz w:val="20"/>
                <w:szCs w:val="20"/>
              </w:rPr>
            </w:pPr>
            <w:r w:rsidRPr="006C3201">
              <w:rPr>
                <w:noProof/>
                <w:sz w:val="20"/>
              </w:rPr>
              <w:t xml:space="preserve"> </w:t>
            </w:r>
          </w:p>
        </w:tc>
        <w:tc>
          <w:tcPr>
            <w:tcW w:w="478" w:type="pct"/>
            <w:tcBorders>
              <w:top w:val="nil"/>
              <w:left w:val="nil"/>
              <w:bottom w:val="single" w:sz="8" w:space="0" w:color="auto"/>
              <w:right w:val="single" w:sz="8" w:space="0" w:color="auto"/>
            </w:tcBorders>
            <w:vAlign w:val="center"/>
            <w:hideMark/>
          </w:tcPr>
          <w:p w14:paraId="40C701BD" w14:textId="77777777" w:rsidR="00D048D1" w:rsidRPr="006C3201" w:rsidRDefault="00D048D1">
            <w:pPr>
              <w:spacing w:before="0" w:after="0"/>
              <w:jc w:val="right"/>
              <w:rPr>
                <w:noProof/>
                <w:sz w:val="20"/>
                <w:szCs w:val="20"/>
              </w:rPr>
            </w:pPr>
            <w:r w:rsidRPr="006C3201">
              <w:rPr>
                <w:noProof/>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2D9A7605" w14:textId="77777777" w:rsidR="00D048D1" w:rsidRPr="006C3201" w:rsidRDefault="00D048D1">
            <w:pPr>
              <w:spacing w:before="0" w:after="0"/>
              <w:jc w:val="right"/>
              <w:rPr>
                <w:b/>
                <w:bCs/>
                <w:noProof/>
                <w:sz w:val="20"/>
                <w:szCs w:val="20"/>
              </w:rPr>
            </w:pPr>
            <w:r w:rsidRPr="006C3201">
              <w:rPr>
                <w:b/>
                <w:noProof/>
                <w:sz w:val="20"/>
              </w:rPr>
              <w:t>0,000</w:t>
            </w:r>
          </w:p>
        </w:tc>
      </w:tr>
      <w:tr w:rsidR="00E43BAD" w:rsidRPr="006C3201" w14:paraId="709C7661" w14:textId="77777777" w:rsidTr="0061523A">
        <w:trPr>
          <w:trHeight w:val="288"/>
        </w:trPr>
        <w:tc>
          <w:tcPr>
            <w:tcW w:w="5000" w:type="pct"/>
            <w:gridSpan w:val="14"/>
            <w:tcBorders>
              <w:top w:val="single" w:sz="8" w:space="0" w:color="auto"/>
              <w:left w:val="single" w:sz="8" w:space="0" w:color="auto"/>
              <w:bottom w:val="single" w:sz="8" w:space="0" w:color="auto"/>
              <w:right w:val="single" w:sz="8" w:space="0" w:color="auto"/>
            </w:tcBorders>
            <w:noWrap/>
            <w:vAlign w:val="bottom"/>
            <w:hideMark/>
          </w:tcPr>
          <w:p w14:paraId="52AA76CD" w14:textId="77777777" w:rsidR="00D048D1" w:rsidRPr="006C3201" w:rsidRDefault="00D048D1">
            <w:pPr>
              <w:spacing w:before="0" w:after="0"/>
              <w:jc w:val="left"/>
              <w:rPr>
                <w:noProof/>
                <w:sz w:val="22"/>
              </w:rPr>
            </w:pPr>
            <w:r w:rsidRPr="006C3201">
              <w:rPr>
                <w:noProof/>
                <w:sz w:val="22"/>
              </w:rPr>
              <w:t>Środki administracyjne finansowane ze środków przydzielonych na określone programy</w:t>
            </w:r>
            <w:r w:rsidRPr="006C3201">
              <w:rPr>
                <w:noProof/>
              </w:rPr>
              <w:t xml:space="preserve"> </w:t>
            </w:r>
          </w:p>
        </w:tc>
      </w:tr>
      <w:tr w:rsidR="00E43BAD" w:rsidRPr="006C3201" w14:paraId="210890FC" w14:textId="77777777" w:rsidTr="0061523A">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3D765442" w14:textId="77777777" w:rsidR="00D048D1" w:rsidRPr="006C3201" w:rsidRDefault="00D048D1">
            <w:pPr>
              <w:spacing w:before="0" w:after="0"/>
              <w:rPr>
                <w:noProof/>
                <w:sz w:val="20"/>
                <w:szCs w:val="20"/>
              </w:rPr>
            </w:pPr>
            <w:r w:rsidRPr="006C3201">
              <w:rPr>
                <w:noProof/>
                <w:sz w:val="20"/>
              </w:rPr>
              <w:t>Linia budżetowa</w:t>
            </w:r>
          </w:p>
        </w:tc>
        <w:tc>
          <w:tcPr>
            <w:tcW w:w="529" w:type="pct"/>
            <w:gridSpan w:val="2"/>
            <w:tcBorders>
              <w:top w:val="nil"/>
              <w:left w:val="nil"/>
              <w:bottom w:val="single" w:sz="8" w:space="0" w:color="auto"/>
              <w:right w:val="single" w:sz="8" w:space="0" w:color="auto"/>
            </w:tcBorders>
            <w:vAlign w:val="center"/>
            <w:hideMark/>
          </w:tcPr>
          <w:p w14:paraId="7F8B4CE7" w14:textId="77777777" w:rsidR="00D048D1" w:rsidRPr="006C3201" w:rsidRDefault="00D048D1">
            <w:pPr>
              <w:spacing w:before="0" w:after="0"/>
              <w:jc w:val="right"/>
              <w:rPr>
                <w:noProof/>
                <w:sz w:val="18"/>
                <w:szCs w:val="18"/>
              </w:rPr>
            </w:pPr>
            <w:r w:rsidRPr="006C3201">
              <w:rPr>
                <w:noProof/>
                <w:sz w:val="18"/>
              </w:rPr>
              <w:t xml:space="preserve"> </w:t>
            </w:r>
          </w:p>
        </w:tc>
        <w:tc>
          <w:tcPr>
            <w:tcW w:w="496" w:type="pct"/>
            <w:gridSpan w:val="2"/>
            <w:tcBorders>
              <w:top w:val="single" w:sz="8" w:space="0" w:color="auto"/>
              <w:left w:val="nil"/>
              <w:bottom w:val="single" w:sz="8" w:space="0" w:color="auto"/>
              <w:right w:val="single" w:sz="8" w:space="0" w:color="auto"/>
            </w:tcBorders>
            <w:vAlign w:val="center"/>
            <w:hideMark/>
          </w:tcPr>
          <w:p w14:paraId="1E122D76" w14:textId="77777777" w:rsidR="00D048D1" w:rsidRPr="006C3201" w:rsidRDefault="00D048D1">
            <w:pPr>
              <w:spacing w:before="0" w:after="0"/>
              <w:jc w:val="center"/>
              <w:rPr>
                <w:noProof/>
                <w:sz w:val="14"/>
                <w:szCs w:val="14"/>
              </w:rPr>
            </w:pPr>
            <w:r w:rsidRPr="006C3201">
              <w:rPr>
                <w:noProof/>
                <w:sz w:val="14"/>
              </w:rPr>
              <w:t>(3)</w:t>
            </w:r>
          </w:p>
        </w:tc>
        <w:tc>
          <w:tcPr>
            <w:tcW w:w="496" w:type="pct"/>
            <w:gridSpan w:val="2"/>
            <w:tcBorders>
              <w:top w:val="nil"/>
              <w:left w:val="nil"/>
              <w:bottom w:val="single" w:sz="8" w:space="0" w:color="auto"/>
              <w:right w:val="single" w:sz="8" w:space="0" w:color="auto"/>
            </w:tcBorders>
            <w:vAlign w:val="center"/>
            <w:hideMark/>
          </w:tcPr>
          <w:p w14:paraId="3A66BEF1" w14:textId="77777777" w:rsidR="00D048D1" w:rsidRPr="006C3201" w:rsidRDefault="00D048D1">
            <w:pPr>
              <w:spacing w:before="0" w:after="0"/>
              <w:jc w:val="right"/>
              <w:rPr>
                <w:b/>
                <w:bCs/>
                <w:noProof/>
                <w:sz w:val="20"/>
                <w:szCs w:val="20"/>
              </w:rPr>
            </w:pPr>
            <w:r w:rsidRPr="006C3201">
              <w:rPr>
                <w:b/>
                <w:noProof/>
                <w:sz w:val="20"/>
              </w:rPr>
              <w:t xml:space="preserve"> </w:t>
            </w:r>
          </w:p>
        </w:tc>
        <w:tc>
          <w:tcPr>
            <w:tcW w:w="496" w:type="pct"/>
            <w:gridSpan w:val="2"/>
            <w:tcBorders>
              <w:top w:val="nil"/>
              <w:left w:val="nil"/>
              <w:bottom w:val="single" w:sz="8" w:space="0" w:color="auto"/>
              <w:right w:val="single" w:sz="8" w:space="0" w:color="auto"/>
            </w:tcBorders>
            <w:vAlign w:val="center"/>
            <w:hideMark/>
          </w:tcPr>
          <w:p w14:paraId="12B7EA70" w14:textId="77777777" w:rsidR="00D048D1" w:rsidRPr="006C3201" w:rsidRDefault="00D048D1">
            <w:pPr>
              <w:spacing w:before="0" w:after="0"/>
              <w:jc w:val="right"/>
              <w:rPr>
                <w:b/>
                <w:bCs/>
                <w:noProof/>
                <w:sz w:val="20"/>
                <w:szCs w:val="20"/>
              </w:rPr>
            </w:pPr>
            <w:r w:rsidRPr="006C3201">
              <w:rPr>
                <w:b/>
                <w:noProof/>
                <w:sz w:val="20"/>
              </w:rPr>
              <w:t xml:space="preserve"> </w:t>
            </w:r>
          </w:p>
        </w:tc>
        <w:tc>
          <w:tcPr>
            <w:tcW w:w="496" w:type="pct"/>
            <w:gridSpan w:val="2"/>
            <w:tcBorders>
              <w:top w:val="nil"/>
              <w:left w:val="nil"/>
              <w:bottom w:val="single" w:sz="8" w:space="0" w:color="auto"/>
              <w:right w:val="single" w:sz="8" w:space="0" w:color="auto"/>
            </w:tcBorders>
            <w:vAlign w:val="center"/>
            <w:hideMark/>
          </w:tcPr>
          <w:p w14:paraId="34A977B8" w14:textId="77777777" w:rsidR="00D048D1" w:rsidRPr="006C3201" w:rsidRDefault="00D048D1">
            <w:pPr>
              <w:spacing w:before="0" w:after="0"/>
              <w:jc w:val="right"/>
              <w:rPr>
                <w:b/>
                <w:bCs/>
                <w:noProof/>
                <w:sz w:val="20"/>
                <w:szCs w:val="20"/>
              </w:rPr>
            </w:pPr>
            <w:r w:rsidRPr="006C3201">
              <w:rPr>
                <w:b/>
                <w:noProof/>
                <w:sz w:val="20"/>
              </w:rPr>
              <w:t xml:space="preserve"> </w:t>
            </w:r>
          </w:p>
        </w:tc>
        <w:tc>
          <w:tcPr>
            <w:tcW w:w="478" w:type="pct"/>
            <w:tcBorders>
              <w:top w:val="nil"/>
              <w:left w:val="nil"/>
              <w:bottom w:val="single" w:sz="8" w:space="0" w:color="auto"/>
              <w:right w:val="single" w:sz="8" w:space="0" w:color="auto"/>
            </w:tcBorders>
            <w:vAlign w:val="center"/>
            <w:hideMark/>
          </w:tcPr>
          <w:p w14:paraId="6462AE0D" w14:textId="77777777" w:rsidR="00D048D1" w:rsidRPr="006C3201" w:rsidRDefault="00D048D1">
            <w:pPr>
              <w:spacing w:before="0" w:after="0"/>
              <w:jc w:val="right"/>
              <w:rPr>
                <w:b/>
                <w:bCs/>
                <w:noProof/>
                <w:sz w:val="20"/>
                <w:szCs w:val="20"/>
              </w:rPr>
            </w:pPr>
            <w:r w:rsidRPr="006C3201">
              <w:rPr>
                <w:b/>
                <w:noProof/>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8BC0B41" w14:textId="77777777" w:rsidR="00D048D1" w:rsidRPr="006C3201" w:rsidRDefault="00D048D1">
            <w:pPr>
              <w:spacing w:before="0" w:after="0"/>
              <w:jc w:val="right"/>
              <w:rPr>
                <w:b/>
                <w:bCs/>
                <w:noProof/>
                <w:sz w:val="20"/>
                <w:szCs w:val="20"/>
              </w:rPr>
            </w:pPr>
            <w:r w:rsidRPr="006C3201">
              <w:rPr>
                <w:b/>
                <w:noProof/>
                <w:sz w:val="20"/>
              </w:rPr>
              <w:t>0,000</w:t>
            </w:r>
          </w:p>
        </w:tc>
      </w:tr>
      <w:tr w:rsidR="00E43BAD" w:rsidRPr="006C3201" w14:paraId="2334BAF8" w14:textId="77777777" w:rsidTr="0061523A">
        <w:trPr>
          <w:trHeight w:val="288"/>
        </w:trPr>
        <w:tc>
          <w:tcPr>
            <w:tcW w:w="1419" w:type="pct"/>
            <w:gridSpan w:val="2"/>
            <w:vMerge w:val="restart"/>
            <w:tcBorders>
              <w:top w:val="nil"/>
              <w:left w:val="single" w:sz="8" w:space="0" w:color="auto"/>
              <w:right w:val="single" w:sz="8" w:space="0" w:color="auto"/>
            </w:tcBorders>
            <w:vAlign w:val="center"/>
            <w:hideMark/>
          </w:tcPr>
          <w:p w14:paraId="60AEDB40" w14:textId="77777777" w:rsidR="00D048D1" w:rsidRPr="006C3201" w:rsidRDefault="00D048D1">
            <w:pPr>
              <w:spacing w:before="0" w:after="0"/>
              <w:jc w:val="center"/>
              <w:rPr>
                <w:b/>
                <w:bCs/>
                <w:noProof/>
                <w:sz w:val="22"/>
              </w:rPr>
            </w:pPr>
            <w:r w:rsidRPr="006C3201">
              <w:rPr>
                <w:b/>
                <w:noProof/>
                <w:sz w:val="22"/>
              </w:rPr>
              <w:t>OGÓŁEM środki</w:t>
            </w:r>
          </w:p>
          <w:p w14:paraId="2F1E1FEF" w14:textId="77777777" w:rsidR="00D048D1" w:rsidRPr="006C3201" w:rsidRDefault="00D048D1">
            <w:pPr>
              <w:spacing w:before="0" w:after="0"/>
              <w:jc w:val="center"/>
              <w:rPr>
                <w:b/>
                <w:bCs/>
                <w:noProof/>
                <w:sz w:val="22"/>
              </w:rPr>
            </w:pPr>
            <w:r w:rsidRPr="006C3201">
              <w:rPr>
                <w:b/>
                <w:noProof/>
                <w:sz w:val="22"/>
              </w:rPr>
              <w:t xml:space="preserve">dla Dyrekcji Generalnej </w:t>
            </w:r>
            <w:r w:rsidRPr="006C3201">
              <w:rPr>
                <w:noProof/>
                <w:sz w:val="22"/>
              </w:rPr>
              <w:t>&lt;…….&gt;</w:t>
            </w:r>
          </w:p>
        </w:tc>
        <w:tc>
          <w:tcPr>
            <w:tcW w:w="529" w:type="pct"/>
            <w:gridSpan w:val="2"/>
            <w:tcBorders>
              <w:top w:val="nil"/>
              <w:left w:val="nil"/>
              <w:bottom w:val="single" w:sz="8" w:space="0" w:color="auto"/>
              <w:right w:val="single" w:sz="8" w:space="0" w:color="auto"/>
            </w:tcBorders>
            <w:vAlign w:val="center"/>
            <w:hideMark/>
          </w:tcPr>
          <w:p w14:paraId="31BBED11" w14:textId="77777777" w:rsidR="00D048D1" w:rsidRPr="006C3201" w:rsidRDefault="00D048D1">
            <w:pPr>
              <w:spacing w:before="0" w:after="0"/>
              <w:rPr>
                <w:noProof/>
                <w:sz w:val="18"/>
                <w:szCs w:val="18"/>
              </w:rPr>
            </w:pPr>
            <w:r w:rsidRPr="006C3201">
              <w:rPr>
                <w:noProof/>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11826578" w14:textId="77777777" w:rsidR="00D048D1" w:rsidRPr="006C3201" w:rsidRDefault="00D048D1">
            <w:pPr>
              <w:spacing w:before="0" w:after="0"/>
              <w:jc w:val="center"/>
              <w:rPr>
                <w:noProof/>
                <w:sz w:val="14"/>
                <w:szCs w:val="14"/>
              </w:rPr>
            </w:pPr>
            <w:r w:rsidRPr="006C3201">
              <w:rPr>
                <w:noProof/>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27B5A39" w14:textId="77777777" w:rsidR="00D048D1" w:rsidRPr="006C3201" w:rsidRDefault="00D048D1">
            <w:pPr>
              <w:spacing w:before="0" w:after="0"/>
              <w:jc w:val="right"/>
              <w:rPr>
                <w:b/>
                <w:bCs/>
                <w:noProof/>
                <w:sz w:val="20"/>
                <w:szCs w:val="20"/>
              </w:rPr>
            </w:pPr>
            <w:r w:rsidRPr="006C3201">
              <w:rPr>
                <w:b/>
                <w:noProof/>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1412E4C" w14:textId="77777777" w:rsidR="00D048D1" w:rsidRPr="006C3201" w:rsidRDefault="00D048D1">
            <w:pPr>
              <w:spacing w:before="0" w:after="0"/>
              <w:jc w:val="right"/>
              <w:rPr>
                <w:b/>
                <w:bCs/>
                <w:noProof/>
                <w:sz w:val="20"/>
                <w:szCs w:val="20"/>
              </w:rPr>
            </w:pPr>
            <w:r w:rsidRPr="006C3201">
              <w:rPr>
                <w:b/>
                <w:noProof/>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C9A018A" w14:textId="77777777" w:rsidR="00D048D1" w:rsidRPr="006C3201" w:rsidRDefault="00D048D1">
            <w:pPr>
              <w:spacing w:before="0" w:after="0"/>
              <w:jc w:val="right"/>
              <w:rPr>
                <w:b/>
                <w:bCs/>
                <w:noProof/>
                <w:sz w:val="20"/>
                <w:szCs w:val="20"/>
              </w:rPr>
            </w:pPr>
            <w:r w:rsidRPr="006C3201">
              <w:rPr>
                <w:b/>
                <w:noProof/>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5B39BC22" w14:textId="77777777" w:rsidR="00D048D1" w:rsidRPr="006C3201" w:rsidRDefault="00D048D1">
            <w:pPr>
              <w:spacing w:before="0" w:after="0"/>
              <w:jc w:val="right"/>
              <w:rPr>
                <w:b/>
                <w:bCs/>
                <w:noProof/>
                <w:sz w:val="20"/>
                <w:szCs w:val="20"/>
              </w:rPr>
            </w:pPr>
            <w:r w:rsidRPr="006C3201">
              <w:rPr>
                <w:b/>
                <w:noProof/>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50F35C9C" w14:textId="77777777" w:rsidR="00D048D1" w:rsidRPr="006C3201" w:rsidRDefault="00D048D1">
            <w:pPr>
              <w:spacing w:before="0" w:after="0"/>
              <w:jc w:val="right"/>
              <w:rPr>
                <w:b/>
                <w:bCs/>
                <w:noProof/>
                <w:sz w:val="20"/>
                <w:szCs w:val="20"/>
              </w:rPr>
            </w:pPr>
            <w:r w:rsidRPr="006C3201">
              <w:rPr>
                <w:b/>
                <w:noProof/>
                <w:sz w:val="20"/>
              </w:rPr>
              <w:t>0,000</w:t>
            </w:r>
          </w:p>
        </w:tc>
      </w:tr>
      <w:tr w:rsidR="00E43BAD" w:rsidRPr="006C3201" w14:paraId="1743C8A2" w14:textId="77777777" w:rsidTr="0061523A">
        <w:trPr>
          <w:trHeight w:val="288"/>
        </w:trPr>
        <w:tc>
          <w:tcPr>
            <w:tcW w:w="1419" w:type="pct"/>
            <w:gridSpan w:val="2"/>
            <w:vMerge/>
            <w:tcBorders>
              <w:left w:val="single" w:sz="8" w:space="0" w:color="auto"/>
              <w:bottom w:val="single" w:sz="4" w:space="0" w:color="auto"/>
              <w:right w:val="single" w:sz="8" w:space="0" w:color="auto"/>
            </w:tcBorders>
            <w:vAlign w:val="center"/>
            <w:hideMark/>
          </w:tcPr>
          <w:p w14:paraId="38F57DF5" w14:textId="77777777" w:rsidR="00D048D1" w:rsidRPr="006C3201" w:rsidRDefault="00D048D1">
            <w:pPr>
              <w:spacing w:before="0" w:after="0"/>
              <w:jc w:val="center"/>
              <w:rPr>
                <w:b/>
                <w:bCs/>
                <w:noProof/>
                <w:sz w:val="22"/>
                <w:lang w:eastAsia="en-IE"/>
              </w:rPr>
            </w:pPr>
          </w:p>
        </w:tc>
        <w:tc>
          <w:tcPr>
            <w:tcW w:w="529" w:type="pct"/>
            <w:gridSpan w:val="2"/>
            <w:tcBorders>
              <w:top w:val="nil"/>
              <w:left w:val="single" w:sz="8" w:space="0" w:color="auto"/>
              <w:bottom w:val="single" w:sz="8" w:space="0" w:color="auto"/>
              <w:right w:val="single" w:sz="8" w:space="0" w:color="auto"/>
            </w:tcBorders>
            <w:vAlign w:val="center"/>
            <w:hideMark/>
          </w:tcPr>
          <w:p w14:paraId="3CEDECE1" w14:textId="77777777" w:rsidR="00D048D1" w:rsidRPr="006C3201" w:rsidRDefault="00D048D1">
            <w:pPr>
              <w:spacing w:before="0" w:after="0"/>
              <w:rPr>
                <w:noProof/>
                <w:sz w:val="18"/>
                <w:szCs w:val="18"/>
              </w:rPr>
            </w:pPr>
            <w:r w:rsidRPr="006C3201">
              <w:rPr>
                <w:noProof/>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0EA55B84" w14:textId="77777777" w:rsidR="00D048D1" w:rsidRPr="006C3201" w:rsidRDefault="00D048D1">
            <w:pPr>
              <w:spacing w:before="0" w:after="0"/>
              <w:jc w:val="center"/>
              <w:rPr>
                <w:noProof/>
                <w:sz w:val="14"/>
                <w:szCs w:val="14"/>
              </w:rPr>
            </w:pPr>
            <w:r w:rsidRPr="006C3201">
              <w:rPr>
                <w:noProof/>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78B4A061" w14:textId="77777777" w:rsidR="00D048D1" w:rsidRPr="006C3201" w:rsidRDefault="00D048D1">
            <w:pPr>
              <w:spacing w:before="0" w:after="0"/>
              <w:jc w:val="right"/>
              <w:rPr>
                <w:b/>
                <w:bCs/>
                <w:noProof/>
                <w:sz w:val="20"/>
                <w:szCs w:val="20"/>
              </w:rPr>
            </w:pPr>
            <w:r w:rsidRPr="006C3201">
              <w:rPr>
                <w:b/>
                <w:noProof/>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4479A9BE" w14:textId="77777777" w:rsidR="00D048D1" w:rsidRPr="006C3201" w:rsidRDefault="00D048D1">
            <w:pPr>
              <w:spacing w:before="0" w:after="0"/>
              <w:jc w:val="right"/>
              <w:rPr>
                <w:b/>
                <w:bCs/>
                <w:noProof/>
                <w:sz w:val="20"/>
                <w:szCs w:val="20"/>
              </w:rPr>
            </w:pPr>
            <w:r w:rsidRPr="006C3201">
              <w:rPr>
                <w:b/>
                <w:noProof/>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A71A549" w14:textId="77777777" w:rsidR="00D048D1" w:rsidRPr="006C3201" w:rsidRDefault="00D048D1">
            <w:pPr>
              <w:spacing w:before="0" w:after="0"/>
              <w:jc w:val="right"/>
              <w:rPr>
                <w:b/>
                <w:bCs/>
                <w:noProof/>
                <w:sz w:val="20"/>
                <w:szCs w:val="20"/>
              </w:rPr>
            </w:pPr>
            <w:r w:rsidRPr="006C3201">
              <w:rPr>
                <w:b/>
                <w:noProof/>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44DE8B08" w14:textId="77777777" w:rsidR="00D048D1" w:rsidRPr="006C3201" w:rsidRDefault="00D048D1">
            <w:pPr>
              <w:spacing w:before="0" w:after="0"/>
              <w:jc w:val="right"/>
              <w:rPr>
                <w:b/>
                <w:bCs/>
                <w:noProof/>
                <w:sz w:val="20"/>
                <w:szCs w:val="20"/>
              </w:rPr>
            </w:pPr>
            <w:r w:rsidRPr="006C3201">
              <w:rPr>
                <w:b/>
                <w:noProof/>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28887D83" w14:textId="77777777" w:rsidR="00D048D1" w:rsidRPr="006C3201" w:rsidRDefault="00D048D1">
            <w:pPr>
              <w:spacing w:before="0" w:after="0"/>
              <w:jc w:val="right"/>
              <w:rPr>
                <w:b/>
                <w:bCs/>
                <w:noProof/>
                <w:sz w:val="20"/>
                <w:szCs w:val="20"/>
              </w:rPr>
            </w:pPr>
            <w:r w:rsidRPr="006C3201">
              <w:rPr>
                <w:b/>
                <w:noProof/>
                <w:sz w:val="20"/>
              </w:rPr>
              <w:t>0,000</w:t>
            </w:r>
          </w:p>
        </w:tc>
      </w:tr>
      <w:tr w:rsidR="00E43BAD" w:rsidRPr="006C3201" w14:paraId="52A0D428" w14:textId="77777777" w:rsidTr="0061523A">
        <w:trPr>
          <w:trHeight w:val="288"/>
        </w:trPr>
        <w:tc>
          <w:tcPr>
            <w:tcW w:w="1372" w:type="pct"/>
            <w:tcBorders>
              <w:left w:val="single" w:sz="8" w:space="0" w:color="auto"/>
              <w:bottom w:val="single" w:sz="8" w:space="0" w:color="auto"/>
              <w:right w:val="single" w:sz="8" w:space="0" w:color="auto"/>
            </w:tcBorders>
            <w:vAlign w:val="center"/>
            <w:hideMark/>
          </w:tcPr>
          <w:p w14:paraId="1E74B19D" w14:textId="77777777" w:rsidR="00D048D1" w:rsidRPr="006C3201" w:rsidRDefault="00D048D1">
            <w:pPr>
              <w:spacing w:before="0" w:after="0"/>
              <w:jc w:val="center"/>
              <w:rPr>
                <w:b/>
                <w:bCs/>
                <w:noProof/>
                <w:sz w:val="22"/>
                <w:lang w:eastAsia="en-IE"/>
              </w:rPr>
            </w:pPr>
          </w:p>
        </w:tc>
        <w:tc>
          <w:tcPr>
            <w:tcW w:w="535" w:type="pct"/>
            <w:gridSpan w:val="2"/>
            <w:tcBorders>
              <w:top w:val="nil"/>
              <w:left w:val="nil"/>
              <w:bottom w:val="single" w:sz="8" w:space="0" w:color="auto"/>
              <w:right w:val="single" w:sz="8" w:space="0" w:color="auto"/>
            </w:tcBorders>
            <w:vAlign w:val="center"/>
            <w:hideMark/>
          </w:tcPr>
          <w:p w14:paraId="7DCEA7CD" w14:textId="77777777" w:rsidR="00D048D1" w:rsidRPr="006C3201" w:rsidRDefault="00D048D1">
            <w:pPr>
              <w:spacing w:before="0" w:after="0"/>
              <w:rPr>
                <w:noProof/>
                <w:sz w:val="18"/>
                <w:szCs w:val="18"/>
              </w:rPr>
            </w:pPr>
            <w:r w:rsidRPr="006C3201">
              <w:rPr>
                <w:noProof/>
                <w:sz w:val="18"/>
              </w:rPr>
              <w:t>Środki na płatności</w:t>
            </w:r>
          </w:p>
        </w:tc>
        <w:tc>
          <w:tcPr>
            <w:tcW w:w="504" w:type="pct"/>
            <w:gridSpan w:val="2"/>
            <w:tcBorders>
              <w:top w:val="single" w:sz="8" w:space="0" w:color="auto"/>
              <w:left w:val="nil"/>
              <w:bottom w:val="single" w:sz="8" w:space="0" w:color="auto"/>
              <w:right w:val="single" w:sz="8" w:space="0" w:color="auto"/>
            </w:tcBorders>
            <w:vAlign w:val="center"/>
            <w:hideMark/>
          </w:tcPr>
          <w:p w14:paraId="7C086685" w14:textId="77777777" w:rsidR="00D048D1" w:rsidRPr="006C3201" w:rsidRDefault="00D048D1">
            <w:pPr>
              <w:spacing w:before="0" w:after="0"/>
              <w:jc w:val="center"/>
              <w:rPr>
                <w:noProof/>
                <w:sz w:val="14"/>
                <w:szCs w:val="14"/>
              </w:rPr>
            </w:pPr>
            <w:r w:rsidRPr="006C3201">
              <w:rPr>
                <w:noProof/>
                <w:sz w:val="14"/>
              </w:rPr>
              <w:t>=2a+2b+3</w:t>
            </w:r>
          </w:p>
        </w:tc>
        <w:tc>
          <w:tcPr>
            <w:tcW w:w="504" w:type="pct"/>
            <w:gridSpan w:val="2"/>
            <w:tcBorders>
              <w:top w:val="nil"/>
              <w:left w:val="nil"/>
              <w:bottom w:val="single" w:sz="8" w:space="0" w:color="auto"/>
              <w:right w:val="single" w:sz="8" w:space="0" w:color="auto"/>
            </w:tcBorders>
            <w:shd w:val="clear" w:color="000000" w:fill="D9D9D9"/>
            <w:vAlign w:val="center"/>
            <w:hideMark/>
          </w:tcPr>
          <w:p w14:paraId="6951F0AE" w14:textId="77777777" w:rsidR="00D048D1" w:rsidRPr="006C3201" w:rsidRDefault="00D048D1">
            <w:pPr>
              <w:spacing w:before="0" w:after="0"/>
              <w:jc w:val="right"/>
              <w:rPr>
                <w:b/>
                <w:bCs/>
                <w:noProof/>
                <w:sz w:val="20"/>
                <w:szCs w:val="20"/>
              </w:rPr>
            </w:pPr>
            <w:r w:rsidRPr="006C3201">
              <w:rPr>
                <w:b/>
                <w:noProof/>
                <w:sz w:val="20"/>
              </w:rPr>
              <w:t>0,000</w:t>
            </w:r>
          </w:p>
        </w:tc>
        <w:tc>
          <w:tcPr>
            <w:tcW w:w="504" w:type="pct"/>
            <w:gridSpan w:val="2"/>
            <w:tcBorders>
              <w:top w:val="nil"/>
              <w:left w:val="nil"/>
              <w:bottom w:val="single" w:sz="8" w:space="0" w:color="auto"/>
              <w:right w:val="single" w:sz="8" w:space="0" w:color="auto"/>
            </w:tcBorders>
            <w:shd w:val="clear" w:color="000000" w:fill="D9D9D9"/>
            <w:vAlign w:val="center"/>
            <w:hideMark/>
          </w:tcPr>
          <w:p w14:paraId="078B2080" w14:textId="77777777" w:rsidR="00D048D1" w:rsidRPr="006C3201" w:rsidRDefault="00D048D1">
            <w:pPr>
              <w:spacing w:before="0" w:after="0"/>
              <w:jc w:val="right"/>
              <w:rPr>
                <w:b/>
                <w:bCs/>
                <w:noProof/>
                <w:sz w:val="20"/>
                <w:szCs w:val="20"/>
              </w:rPr>
            </w:pPr>
            <w:r w:rsidRPr="006C3201">
              <w:rPr>
                <w:b/>
                <w:noProof/>
                <w:sz w:val="20"/>
              </w:rPr>
              <w:t>0,000</w:t>
            </w:r>
          </w:p>
        </w:tc>
        <w:tc>
          <w:tcPr>
            <w:tcW w:w="504" w:type="pct"/>
            <w:gridSpan w:val="2"/>
            <w:tcBorders>
              <w:top w:val="nil"/>
              <w:left w:val="nil"/>
              <w:bottom w:val="single" w:sz="8" w:space="0" w:color="auto"/>
              <w:right w:val="single" w:sz="8" w:space="0" w:color="auto"/>
            </w:tcBorders>
            <w:shd w:val="clear" w:color="000000" w:fill="D9D9D9"/>
            <w:vAlign w:val="center"/>
            <w:hideMark/>
          </w:tcPr>
          <w:p w14:paraId="7F6A8771" w14:textId="77777777" w:rsidR="00D048D1" w:rsidRPr="006C3201" w:rsidRDefault="00D048D1">
            <w:pPr>
              <w:spacing w:before="0" w:after="0"/>
              <w:jc w:val="right"/>
              <w:rPr>
                <w:b/>
                <w:bCs/>
                <w:noProof/>
                <w:sz w:val="20"/>
                <w:szCs w:val="20"/>
              </w:rPr>
            </w:pPr>
            <w:r w:rsidRPr="006C3201">
              <w:rPr>
                <w:b/>
                <w:noProof/>
                <w:sz w:val="20"/>
              </w:rPr>
              <w:t>0,000</w:t>
            </w:r>
          </w:p>
        </w:tc>
        <w:tc>
          <w:tcPr>
            <w:tcW w:w="487" w:type="pct"/>
            <w:gridSpan w:val="2"/>
            <w:tcBorders>
              <w:top w:val="nil"/>
              <w:left w:val="nil"/>
              <w:bottom w:val="single" w:sz="8" w:space="0" w:color="auto"/>
              <w:right w:val="single" w:sz="8" w:space="0" w:color="auto"/>
            </w:tcBorders>
            <w:shd w:val="clear" w:color="000000" w:fill="D9D9D9"/>
            <w:vAlign w:val="center"/>
            <w:hideMark/>
          </w:tcPr>
          <w:p w14:paraId="34DAFC0D" w14:textId="77777777" w:rsidR="00D048D1" w:rsidRPr="006C3201" w:rsidRDefault="00D048D1">
            <w:pPr>
              <w:spacing w:before="0" w:after="0"/>
              <w:jc w:val="right"/>
              <w:rPr>
                <w:b/>
                <w:bCs/>
                <w:noProof/>
                <w:sz w:val="20"/>
                <w:szCs w:val="20"/>
              </w:rPr>
            </w:pPr>
            <w:r w:rsidRPr="006C3201">
              <w:rPr>
                <w:b/>
                <w:noProof/>
                <w:sz w:val="20"/>
              </w:rPr>
              <w:t>0,000</w:t>
            </w:r>
          </w:p>
        </w:tc>
        <w:tc>
          <w:tcPr>
            <w:tcW w:w="592" w:type="pct"/>
            <w:tcBorders>
              <w:top w:val="nil"/>
              <w:left w:val="nil"/>
              <w:bottom w:val="single" w:sz="8" w:space="0" w:color="auto"/>
              <w:right w:val="single" w:sz="8" w:space="0" w:color="auto"/>
            </w:tcBorders>
            <w:shd w:val="clear" w:color="000000" w:fill="D9D9D9"/>
            <w:vAlign w:val="center"/>
            <w:hideMark/>
          </w:tcPr>
          <w:p w14:paraId="50045E41" w14:textId="77777777" w:rsidR="00D048D1" w:rsidRPr="006C3201" w:rsidRDefault="00D048D1">
            <w:pPr>
              <w:spacing w:before="0" w:after="0"/>
              <w:jc w:val="right"/>
              <w:rPr>
                <w:b/>
                <w:bCs/>
                <w:noProof/>
                <w:sz w:val="20"/>
                <w:szCs w:val="20"/>
              </w:rPr>
            </w:pPr>
            <w:r w:rsidRPr="006C3201">
              <w:rPr>
                <w:b/>
                <w:noProof/>
                <w:sz w:val="20"/>
              </w:rPr>
              <w:t>0,000</w:t>
            </w:r>
          </w:p>
        </w:tc>
      </w:tr>
    </w:tbl>
    <w:p w14:paraId="7EF7D5A0" w14:textId="77777777" w:rsidR="00D048D1" w:rsidRPr="006C3201" w:rsidRDefault="00D048D1" w:rsidP="00D048D1">
      <w:pPr>
        <w:rPr>
          <w:noProof/>
        </w:rPr>
      </w:pPr>
    </w:p>
    <w:tbl>
      <w:tblPr>
        <w:tblW w:w="5000" w:type="pct"/>
        <w:tblLook w:val="04A0" w:firstRow="1" w:lastRow="0" w:firstColumn="1" w:lastColumn="0" w:noHBand="0" w:noVBand="1"/>
      </w:tblPr>
      <w:tblGrid>
        <w:gridCol w:w="3945"/>
        <w:gridCol w:w="1480"/>
        <w:gridCol w:w="1376"/>
        <w:gridCol w:w="1379"/>
        <w:gridCol w:w="1379"/>
        <w:gridCol w:w="1379"/>
        <w:gridCol w:w="1379"/>
        <w:gridCol w:w="1667"/>
      </w:tblGrid>
      <w:tr w:rsidR="00E43BAD" w:rsidRPr="006C3201" w14:paraId="4443C71F" w14:textId="77777777" w:rsidTr="0061523A">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04CB45D4" w14:textId="77777777" w:rsidR="00D048D1" w:rsidRPr="006C3201" w:rsidRDefault="00D048D1">
            <w:pPr>
              <w:spacing w:before="0" w:after="0"/>
              <w:jc w:val="center"/>
              <w:rPr>
                <w:b/>
                <w:bCs/>
                <w:noProof/>
                <w:sz w:val="22"/>
              </w:rPr>
            </w:pPr>
            <w:r w:rsidRPr="006C3201">
              <w:rPr>
                <w:b/>
                <w:noProof/>
                <w:sz w:val="22"/>
              </w:rPr>
              <w:t xml:space="preserve"> </w:t>
            </w:r>
          </w:p>
        </w:tc>
        <w:tc>
          <w:tcPr>
            <w:tcW w:w="493" w:type="pct"/>
            <w:tcBorders>
              <w:top w:val="single" w:sz="8" w:space="0" w:color="auto"/>
              <w:left w:val="nil"/>
              <w:bottom w:val="single" w:sz="8" w:space="0" w:color="auto"/>
              <w:right w:val="single" w:sz="8" w:space="0" w:color="auto"/>
            </w:tcBorders>
            <w:vAlign w:val="center"/>
            <w:hideMark/>
          </w:tcPr>
          <w:p w14:paraId="05427C4F" w14:textId="77777777" w:rsidR="00D048D1" w:rsidRPr="006C3201" w:rsidRDefault="00D048D1">
            <w:pPr>
              <w:spacing w:before="0" w:after="0"/>
              <w:jc w:val="center"/>
              <w:rPr>
                <w:noProof/>
                <w:sz w:val="20"/>
                <w:szCs w:val="20"/>
              </w:rPr>
            </w:pPr>
            <w:r w:rsidRPr="006C3201">
              <w:rPr>
                <w:noProof/>
                <w:sz w:val="20"/>
              </w:rPr>
              <w:t>Rok</w:t>
            </w:r>
          </w:p>
        </w:tc>
        <w:tc>
          <w:tcPr>
            <w:tcW w:w="493" w:type="pct"/>
            <w:tcBorders>
              <w:top w:val="single" w:sz="8" w:space="0" w:color="auto"/>
              <w:left w:val="nil"/>
              <w:bottom w:val="single" w:sz="8" w:space="0" w:color="auto"/>
              <w:right w:val="single" w:sz="8" w:space="0" w:color="auto"/>
            </w:tcBorders>
            <w:vAlign w:val="center"/>
            <w:hideMark/>
          </w:tcPr>
          <w:p w14:paraId="62A78F34" w14:textId="77777777" w:rsidR="00D048D1" w:rsidRPr="006C3201" w:rsidRDefault="00D048D1">
            <w:pPr>
              <w:spacing w:before="0" w:after="0"/>
              <w:jc w:val="center"/>
              <w:rPr>
                <w:noProof/>
                <w:sz w:val="20"/>
                <w:szCs w:val="20"/>
              </w:rPr>
            </w:pPr>
            <w:r w:rsidRPr="006C3201">
              <w:rPr>
                <w:noProof/>
                <w:sz w:val="20"/>
              </w:rPr>
              <w:t>Rok</w:t>
            </w:r>
          </w:p>
        </w:tc>
        <w:tc>
          <w:tcPr>
            <w:tcW w:w="493" w:type="pct"/>
            <w:tcBorders>
              <w:top w:val="single" w:sz="8" w:space="0" w:color="auto"/>
              <w:left w:val="nil"/>
              <w:bottom w:val="single" w:sz="8" w:space="0" w:color="auto"/>
              <w:right w:val="single" w:sz="8" w:space="0" w:color="auto"/>
            </w:tcBorders>
            <w:vAlign w:val="center"/>
            <w:hideMark/>
          </w:tcPr>
          <w:p w14:paraId="512DBA0C" w14:textId="77777777" w:rsidR="00D048D1" w:rsidRPr="006C3201" w:rsidRDefault="00D048D1">
            <w:pPr>
              <w:spacing w:before="0" w:after="0"/>
              <w:jc w:val="center"/>
              <w:rPr>
                <w:noProof/>
                <w:sz w:val="20"/>
                <w:szCs w:val="20"/>
              </w:rPr>
            </w:pPr>
            <w:r w:rsidRPr="006C3201">
              <w:rPr>
                <w:noProof/>
                <w:sz w:val="20"/>
              </w:rPr>
              <w:t>Rok</w:t>
            </w:r>
          </w:p>
        </w:tc>
        <w:tc>
          <w:tcPr>
            <w:tcW w:w="493" w:type="pct"/>
            <w:tcBorders>
              <w:top w:val="single" w:sz="8" w:space="0" w:color="auto"/>
              <w:left w:val="nil"/>
              <w:bottom w:val="single" w:sz="8" w:space="0" w:color="auto"/>
              <w:right w:val="single" w:sz="8" w:space="0" w:color="auto"/>
            </w:tcBorders>
            <w:vAlign w:val="center"/>
            <w:hideMark/>
          </w:tcPr>
          <w:p w14:paraId="6247375F" w14:textId="77777777" w:rsidR="00D048D1" w:rsidRPr="006C3201" w:rsidRDefault="00D048D1">
            <w:pPr>
              <w:spacing w:before="0" w:after="0"/>
              <w:jc w:val="center"/>
              <w:rPr>
                <w:noProof/>
                <w:sz w:val="20"/>
                <w:szCs w:val="20"/>
              </w:rPr>
            </w:pPr>
            <w:r w:rsidRPr="006C3201">
              <w:rPr>
                <w:noProof/>
                <w:sz w:val="20"/>
              </w:rPr>
              <w:t>Rok</w:t>
            </w:r>
          </w:p>
        </w:tc>
        <w:tc>
          <w:tcPr>
            <w:tcW w:w="596" w:type="pct"/>
            <w:vMerge w:val="restart"/>
            <w:tcBorders>
              <w:top w:val="single" w:sz="8" w:space="0" w:color="auto"/>
              <w:left w:val="single" w:sz="8" w:space="0" w:color="auto"/>
              <w:bottom w:val="single" w:sz="8" w:space="0" w:color="auto"/>
              <w:right w:val="single" w:sz="8" w:space="0" w:color="auto"/>
            </w:tcBorders>
            <w:vAlign w:val="center"/>
            <w:hideMark/>
          </w:tcPr>
          <w:p w14:paraId="61242F9F" w14:textId="77777777" w:rsidR="00D048D1" w:rsidRPr="006C3201" w:rsidRDefault="00D048D1">
            <w:pPr>
              <w:spacing w:before="0" w:after="0"/>
              <w:jc w:val="center"/>
              <w:rPr>
                <w:b/>
                <w:bCs/>
                <w:noProof/>
                <w:sz w:val="20"/>
                <w:szCs w:val="20"/>
              </w:rPr>
            </w:pPr>
            <w:r w:rsidRPr="006C3201">
              <w:rPr>
                <w:b/>
                <w:noProof/>
                <w:sz w:val="20"/>
              </w:rPr>
              <w:t>OGÓŁEM WRF 2021–2027</w:t>
            </w:r>
          </w:p>
        </w:tc>
      </w:tr>
      <w:tr w:rsidR="00E43BAD" w:rsidRPr="006C3201" w14:paraId="55424459" w14:textId="77777777" w:rsidTr="0061523A">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14:paraId="773ABA5D" w14:textId="77777777" w:rsidR="00D048D1" w:rsidRPr="006C3201" w:rsidRDefault="00D048D1">
            <w:pPr>
              <w:spacing w:before="0" w:after="0"/>
              <w:jc w:val="left"/>
              <w:rPr>
                <w:b/>
                <w:bCs/>
                <w:noProof/>
                <w:sz w:val="22"/>
                <w:lang w:eastAsia="en-IE"/>
              </w:rPr>
            </w:pPr>
          </w:p>
        </w:tc>
        <w:tc>
          <w:tcPr>
            <w:tcW w:w="493" w:type="pct"/>
            <w:tcBorders>
              <w:top w:val="nil"/>
              <w:left w:val="nil"/>
              <w:bottom w:val="single" w:sz="8" w:space="0" w:color="auto"/>
              <w:right w:val="single" w:sz="8" w:space="0" w:color="auto"/>
            </w:tcBorders>
            <w:vAlign w:val="center"/>
            <w:hideMark/>
          </w:tcPr>
          <w:p w14:paraId="230C7447" w14:textId="77777777" w:rsidR="00D048D1" w:rsidRPr="006C3201" w:rsidRDefault="00D048D1">
            <w:pPr>
              <w:spacing w:before="0" w:after="0"/>
              <w:jc w:val="center"/>
              <w:rPr>
                <w:b/>
                <w:bCs/>
                <w:noProof/>
                <w:sz w:val="20"/>
                <w:szCs w:val="20"/>
              </w:rPr>
            </w:pPr>
            <w:r w:rsidRPr="006C3201">
              <w:rPr>
                <w:b/>
                <w:noProof/>
                <w:sz w:val="20"/>
              </w:rPr>
              <w:t>2024</w:t>
            </w:r>
          </w:p>
        </w:tc>
        <w:tc>
          <w:tcPr>
            <w:tcW w:w="493" w:type="pct"/>
            <w:tcBorders>
              <w:top w:val="nil"/>
              <w:left w:val="nil"/>
              <w:bottom w:val="single" w:sz="8" w:space="0" w:color="auto"/>
              <w:right w:val="single" w:sz="8" w:space="0" w:color="auto"/>
            </w:tcBorders>
            <w:vAlign w:val="center"/>
            <w:hideMark/>
          </w:tcPr>
          <w:p w14:paraId="2FD59040" w14:textId="77777777" w:rsidR="00D048D1" w:rsidRPr="006C3201" w:rsidRDefault="00D048D1">
            <w:pPr>
              <w:spacing w:before="0" w:after="0"/>
              <w:jc w:val="center"/>
              <w:rPr>
                <w:b/>
                <w:bCs/>
                <w:noProof/>
                <w:sz w:val="20"/>
                <w:szCs w:val="20"/>
              </w:rPr>
            </w:pPr>
            <w:r w:rsidRPr="006C3201">
              <w:rPr>
                <w:b/>
                <w:noProof/>
                <w:sz w:val="20"/>
              </w:rPr>
              <w:t>2025</w:t>
            </w:r>
          </w:p>
        </w:tc>
        <w:tc>
          <w:tcPr>
            <w:tcW w:w="493" w:type="pct"/>
            <w:tcBorders>
              <w:top w:val="nil"/>
              <w:left w:val="nil"/>
              <w:bottom w:val="single" w:sz="8" w:space="0" w:color="auto"/>
              <w:right w:val="single" w:sz="8" w:space="0" w:color="auto"/>
            </w:tcBorders>
            <w:vAlign w:val="center"/>
            <w:hideMark/>
          </w:tcPr>
          <w:p w14:paraId="2F0BB387" w14:textId="77777777" w:rsidR="00D048D1" w:rsidRPr="006C3201" w:rsidRDefault="00D048D1">
            <w:pPr>
              <w:spacing w:before="0" w:after="0"/>
              <w:jc w:val="center"/>
              <w:rPr>
                <w:b/>
                <w:bCs/>
                <w:noProof/>
                <w:sz w:val="20"/>
                <w:szCs w:val="20"/>
              </w:rPr>
            </w:pPr>
            <w:r w:rsidRPr="006C3201">
              <w:rPr>
                <w:b/>
                <w:noProof/>
                <w:sz w:val="20"/>
              </w:rPr>
              <w:t>2026</w:t>
            </w:r>
          </w:p>
        </w:tc>
        <w:tc>
          <w:tcPr>
            <w:tcW w:w="493" w:type="pct"/>
            <w:tcBorders>
              <w:top w:val="nil"/>
              <w:left w:val="nil"/>
              <w:bottom w:val="single" w:sz="8" w:space="0" w:color="auto"/>
              <w:right w:val="single" w:sz="8" w:space="0" w:color="auto"/>
            </w:tcBorders>
            <w:vAlign w:val="center"/>
            <w:hideMark/>
          </w:tcPr>
          <w:p w14:paraId="6EF3186F" w14:textId="77777777" w:rsidR="00D048D1" w:rsidRPr="006C3201" w:rsidRDefault="00D048D1">
            <w:pPr>
              <w:spacing w:before="0" w:after="0"/>
              <w:jc w:val="center"/>
              <w:rPr>
                <w:b/>
                <w:bCs/>
                <w:noProof/>
                <w:sz w:val="20"/>
                <w:szCs w:val="20"/>
              </w:rPr>
            </w:pPr>
            <w:r w:rsidRPr="006C3201">
              <w:rPr>
                <w:b/>
                <w:noProof/>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14:paraId="7EFD44B8" w14:textId="77777777" w:rsidR="00D048D1" w:rsidRPr="006C3201" w:rsidRDefault="00D048D1">
            <w:pPr>
              <w:spacing w:before="0" w:after="0"/>
              <w:jc w:val="left"/>
              <w:rPr>
                <w:b/>
                <w:bCs/>
                <w:noProof/>
                <w:sz w:val="20"/>
                <w:szCs w:val="20"/>
                <w:lang w:eastAsia="en-IE"/>
              </w:rPr>
            </w:pPr>
          </w:p>
        </w:tc>
      </w:tr>
      <w:tr w:rsidR="00E43BAD" w:rsidRPr="006C3201" w14:paraId="4079898F" w14:textId="77777777" w:rsidTr="0061523A">
        <w:trPr>
          <w:trHeight w:val="432"/>
        </w:trPr>
        <w:tc>
          <w:tcPr>
            <w:tcW w:w="1411" w:type="pct"/>
            <w:vMerge w:val="restart"/>
            <w:tcBorders>
              <w:top w:val="nil"/>
              <w:left w:val="single" w:sz="8" w:space="0" w:color="auto"/>
              <w:bottom w:val="single" w:sz="8" w:space="0" w:color="auto"/>
              <w:right w:val="single" w:sz="8" w:space="0" w:color="auto"/>
            </w:tcBorders>
            <w:vAlign w:val="center"/>
            <w:hideMark/>
          </w:tcPr>
          <w:p w14:paraId="6A44EDC2" w14:textId="77777777" w:rsidR="00D048D1" w:rsidRPr="006C3201" w:rsidRDefault="00D048D1">
            <w:pPr>
              <w:spacing w:before="0" w:after="0"/>
              <w:rPr>
                <w:noProof/>
                <w:sz w:val="21"/>
                <w:szCs w:val="21"/>
              </w:rPr>
            </w:pPr>
            <w:r w:rsidRPr="006C3201">
              <w:rPr>
                <w:noProof/>
                <w:sz w:val="21"/>
              </w:rPr>
              <w:t>OGÓŁEM środki operacyjn</w:t>
            </w:r>
            <w:r w:rsidRPr="00110A93">
              <w:rPr>
                <w:noProof/>
                <w:sz w:val="21"/>
              </w:rPr>
              <w:t>e</w:t>
            </w:r>
            <w:r w:rsidR="00110A93" w:rsidRPr="00110A93">
              <w:rPr>
                <w:noProof/>
                <w:sz w:val="21"/>
              </w:rPr>
              <w:t xml:space="preserve"> </w:t>
            </w:r>
            <w:r w:rsidRPr="00110A93">
              <w:rPr>
                <w:noProof/>
              </w:rPr>
              <w:br/>
            </w:r>
          </w:p>
        </w:tc>
        <w:tc>
          <w:tcPr>
            <w:tcW w:w="529" w:type="pct"/>
            <w:tcBorders>
              <w:top w:val="nil"/>
              <w:left w:val="nil"/>
              <w:bottom w:val="single" w:sz="8" w:space="0" w:color="auto"/>
              <w:right w:val="single" w:sz="8" w:space="0" w:color="auto"/>
            </w:tcBorders>
            <w:vAlign w:val="center"/>
            <w:hideMark/>
          </w:tcPr>
          <w:p w14:paraId="71622D1A" w14:textId="77777777" w:rsidR="00D048D1" w:rsidRPr="006C3201" w:rsidRDefault="00D048D1">
            <w:pPr>
              <w:spacing w:before="0" w:after="0"/>
              <w:rPr>
                <w:noProof/>
                <w:sz w:val="18"/>
                <w:szCs w:val="18"/>
              </w:rPr>
            </w:pPr>
            <w:r w:rsidRPr="006C3201">
              <w:rPr>
                <w:noProof/>
                <w:sz w:val="18"/>
              </w:rPr>
              <w:t>Środki na zobowiązania</w:t>
            </w:r>
          </w:p>
        </w:tc>
        <w:tc>
          <w:tcPr>
            <w:tcW w:w="492" w:type="pct"/>
            <w:tcBorders>
              <w:top w:val="single" w:sz="8" w:space="0" w:color="auto"/>
              <w:left w:val="nil"/>
              <w:bottom w:val="single" w:sz="8" w:space="0" w:color="auto"/>
              <w:right w:val="single" w:sz="8" w:space="0" w:color="auto"/>
            </w:tcBorders>
            <w:vAlign w:val="center"/>
            <w:hideMark/>
          </w:tcPr>
          <w:p w14:paraId="5E69216D" w14:textId="77777777" w:rsidR="00D048D1" w:rsidRPr="006C3201" w:rsidRDefault="00D048D1">
            <w:pPr>
              <w:spacing w:before="0" w:after="0"/>
              <w:jc w:val="center"/>
              <w:rPr>
                <w:noProof/>
                <w:sz w:val="14"/>
                <w:szCs w:val="14"/>
              </w:rPr>
            </w:pPr>
            <w:r w:rsidRPr="006C3201">
              <w:rPr>
                <w:noProof/>
                <w:sz w:val="14"/>
              </w:rPr>
              <w:t>(4)</w:t>
            </w:r>
          </w:p>
        </w:tc>
        <w:tc>
          <w:tcPr>
            <w:tcW w:w="493" w:type="pct"/>
            <w:tcBorders>
              <w:top w:val="nil"/>
              <w:left w:val="nil"/>
              <w:bottom w:val="single" w:sz="8" w:space="0" w:color="auto"/>
              <w:right w:val="single" w:sz="8" w:space="0" w:color="auto"/>
            </w:tcBorders>
            <w:shd w:val="clear" w:color="000000" w:fill="D9D9D9"/>
            <w:vAlign w:val="center"/>
            <w:hideMark/>
          </w:tcPr>
          <w:p w14:paraId="02342A7E" w14:textId="77777777" w:rsidR="00D048D1" w:rsidRPr="006C3201" w:rsidRDefault="00D048D1">
            <w:pPr>
              <w:spacing w:before="0" w:after="0"/>
              <w:jc w:val="right"/>
              <w:rPr>
                <w:noProof/>
                <w:sz w:val="20"/>
                <w:szCs w:val="20"/>
              </w:rPr>
            </w:pPr>
            <w:r w:rsidRPr="006C3201">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264ED9B9" w14:textId="77777777" w:rsidR="00D048D1" w:rsidRPr="006C3201" w:rsidRDefault="00D048D1">
            <w:pPr>
              <w:spacing w:before="0" w:after="0"/>
              <w:jc w:val="right"/>
              <w:rPr>
                <w:noProof/>
                <w:sz w:val="20"/>
                <w:szCs w:val="20"/>
              </w:rPr>
            </w:pPr>
            <w:r w:rsidRPr="006C3201">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3A035FA8" w14:textId="77777777" w:rsidR="00D048D1" w:rsidRPr="006C3201" w:rsidRDefault="00D048D1">
            <w:pPr>
              <w:spacing w:before="0" w:after="0"/>
              <w:jc w:val="right"/>
              <w:rPr>
                <w:noProof/>
                <w:sz w:val="20"/>
                <w:szCs w:val="20"/>
              </w:rPr>
            </w:pPr>
            <w:r w:rsidRPr="006C3201">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2E798B85" w14:textId="77777777" w:rsidR="00D048D1" w:rsidRPr="006C3201" w:rsidRDefault="00D048D1">
            <w:pPr>
              <w:spacing w:before="0" w:after="0"/>
              <w:jc w:val="right"/>
              <w:rPr>
                <w:noProof/>
                <w:sz w:val="20"/>
                <w:szCs w:val="20"/>
              </w:rPr>
            </w:pPr>
            <w:r w:rsidRPr="006C3201">
              <w:rPr>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07EA3ED8" w14:textId="77777777" w:rsidR="00D048D1" w:rsidRPr="006C3201" w:rsidRDefault="00D048D1">
            <w:pPr>
              <w:spacing w:before="0" w:after="0"/>
              <w:jc w:val="right"/>
              <w:rPr>
                <w:b/>
                <w:bCs/>
                <w:noProof/>
                <w:sz w:val="20"/>
                <w:szCs w:val="20"/>
              </w:rPr>
            </w:pPr>
            <w:r w:rsidRPr="006C3201">
              <w:rPr>
                <w:b/>
                <w:noProof/>
                <w:sz w:val="20"/>
              </w:rPr>
              <w:t>0,000</w:t>
            </w:r>
          </w:p>
        </w:tc>
      </w:tr>
      <w:tr w:rsidR="00E43BAD" w:rsidRPr="006C3201" w14:paraId="55C1DA8F" w14:textId="77777777" w:rsidTr="0061523A">
        <w:trPr>
          <w:trHeight w:val="456"/>
        </w:trPr>
        <w:tc>
          <w:tcPr>
            <w:tcW w:w="1411" w:type="pct"/>
            <w:vMerge/>
            <w:tcBorders>
              <w:top w:val="nil"/>
              <w:left w:val="single" w:sz="8" w:space="0" w:color="auto"/>
              <w:bottom w:val="single" w:sz="8" w:space="0" w:color="auto"/>
              <w:right w:val="single" w:sz="8" w:space="0" w:color="auto"/>
            </w:tcBorders>
            <w:vAlign w:val="center"/>
            <w:hideMark/>
          </w:tcPr>
          <w:p w14:paraId="119F096B" w14:textId="77777777" w:rsidR="00D048D1" w:rsidRPr="006C3201" w:rsidRDefault="00D048D1">
            <w:pPr>
              <w:spacing w:before="0" w:after="0"/>
              <w:jc w:val="left"/>
              <w:rPr>
                <w:noProof/>
                <w:sz w:val="21"/>
                <w:szCs w:val="21"/>
                <w:lang w:eastAsia="en-IE"/>
              </w:rPr>
            </w:pPr>
          </w:p>
        </w:tc>
        <w:tc>
          <w:tcPr>
            <w:tcW w:w="529" w:type="pct"/>
            <w:tcBorders>
              <w:top w:val="nil"/>
              <w:left w:val="nil"/>
              <w:bottom w:val="single" w:sz="8" w:space="0" w:color="auto"/>
              <w:right w:val="single" w:sz="8" w:space="0" w:color="auto"/>
            </w:tcBorders>
            <w:vAlign w:val="center"/>
            <w:hideMark/>
          </w:tcPr>
          <w:p w14:paraId="1D3918E0" w14:textId="77777777" w:rsidR="00D048D1" w:rsidRPr="006C3201" w:rsidRDefault="00D048D1">
            <w:pPr>
              <w:spacing w:before="0" w:after="0"/>
              <w:rPr>
                <w:noProof/>
                <w:sz w:val="18"/>
                <w:szCs w:val="18"/>
              </w:rPr>
            </w:pPr>
            <w:r w:rsidRPr="006C3201">
              <w:rPr>
                <w:noProof/>
                <w:sz w:val="18"/>
              </w:rPr>
              <w:t>Środki na płatności</w:t>
            </w:r>
          </w:p>
        </w:tc>
        <w:tc>
          <w:tcPr>
            <w:tcW w:w="492" w:type="pct"/>
            <w:tcBorders>
              <w:top w:val="single" w:sz="8" w:space="0" w:color="auto"/>
              <w:left w:val="nil"/>
              <w:bottom w:val="single" w:sz="8" w:space="0" w:color="auto"/>
              <w:right w:val="single" w:sz="8" w:space="0" w:color="auto"/>
            </w:tcBorders>
            <w:vAlign w:val="center"/>
            <w:hideMark/>
          </w:tcPr>
          <w:p w14:paraId="327C1C66" w14:textId="77777777" w:rsidR="00D048D1" w:rsidRPr="006C3201" w:rsidRDefault="00D048D1">
            <w:pPr>
              <w:spacing w:before="0" w:after="0"/>
              <w:jc w:val="center"/>
              <w:rPr>
                <w:noProof/>
                <w:sz w:val="14"/>
                <w:szCs w:val="14"/>
              </w:rPr>
            </w:pPr>
            <w:r w:rsidRPr="006C3201">
              <w:rPr>
                <w:noProof/>
                <w:sz w:val="14"/>
              </w:rPr>
              <w:t>(5)</w:t>
            </w:r>
          </w:p>
        </w:tc>
        <w:tc>
          <w:tcPr>
            <w:tcW w:w="493" w:type="pct"/>
            <w:tcBorders>
              <w:top w:val="nil"/>
              <w:left w:val="nil"/>
              <w:bottom w:val="single" w:sz="8" w:space="0" w:color="auto"/>
              <w:right w:val="single" w:sz="8" w:space="0" w:color="auto"/>
            </w:tcBorders>
            <w:shd w:val="clear" w:color="000000" w:fill="D9D9D9"/>
            <w:vAlign w:val="center"/>
            <w:hideMark/>
          </w:tcPr>
          <w:p w14:paraId="5E5A326B" w14:textId="77777777" w:rsidR="00D048D1" w:rsidRPr="006C3201" w:rsidRDefault="00D048D1">
            <w:pPr>
              <w:spacing w:before="0" w:after="0"/>
              <w:jc w:val="right"/>
              <w:rPr>
                <w:noProof/>
                <w:sz w:val="20"/>
                <w:szCs w:val="20"/>
              </w:rPr>
            </w:pPr>
            <w:r w:rsidRPr="006C3201">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454D2A02" w14:textId="77777777" w:rsidR="00D048D1" w:rsidRPr="006C3201" w:rsidRDefault="00D048D1">
            <w:pPr>
              <w:spacing w:before="0" w:after="0"/>
              <w:jc w:val="right"/>
              <w:rPr>
                <w:noProof/>
                <w:sz w:val="20"/>
                <w:szCs w:val="20"/>
              </w:rPr>
            </w:pPr>
            <w:r w:rsidRPr="006C3201">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3C516139" w14:textId="77777777" w:rsidR="00D048D1" w:rsidRPr="006C3201" w:rsidRDefault="00D048D1">
            <w:pPr>
              <w:spacing w:before="0" w:after="0"/>
              <w:jc w:val="right"/>
              <w:rPr>
                <w:noProof/>
                <w:sz w:val="20"/>
                <w:szCs w:val="20"/>
              </w:rPr>
            </w:pPr>
            <w:r w:rsidRPr="006C3201">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190BA106" w14:textId="77777777" w:rsidR="00D048D1" w:rsidRPr="006C3201" w:rsidRDefault="00D048D1">
            <w:pPr>
              <w:spacing w:before="0" w:after="0"/>
              <w:jc w:val="right"/>
              <w:rPr>
                <w:noProof/>
                <w:sz w:val="20"/>
                <w:szCs w:val="20"/>
              </w:rPr>
            </w:pPr>
            <w:r w:rsidRPr="006C3201">
              <w:rPr>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6E2D2A6F" w14:textId="77777777" w:rsidR="00D048D1" w:rsidRPr="006C3201" w:rsidRDefault="00D048D1">
            <w:pPr>
              <w:spacing w:before="0" w:after="0"/>
              <w:jc w:val="right"/>
              <w:rPr>
                <w:b/>
                <w:bCs/>
                <w:noProof/>
                <w:sz w:val="20"/>
                <w:szCs w:val="20"/>
              </w:rPr>
            </w:pPr>
            <w:r w:rsidRPr="006C3201">
              <w:rPr>
                <w:b/>
                <w:noProof/>
                <w:sz w:val="20"/>
              </w:rPr>
              <w:t>0,000</w:t>
            </w:r>
          </w:p>
        </w:tc>
      </w:tr>
      <w:tr w:rsidR="00E43BAD" w:rsidRPr="006C3201" w14:paraId="2F985C11" w14:textId="77777777" w:rsidTr="0061523A">
        <w:trPr>
          <w:trHeight w:val="924"/>
        </w:trPr>
        <w:tc>
          <w:tcPr>
            <w:tcW w:w="1939" w:type="pct"/>
            <w:gridSpan w:val="2"/>
            <w:tcBorders>
              <w:top w:val="single" w:sz="8" w:space="0" w:color="auto"/>
              <w:left w:val="single" w:sz="8" w:space="0" w:color="auto"/>
              <w:bottom w:val="single" w:sz="8" w:space="0" w:color="auto"/>
              <w:right w:val="single" w:sz="8" w:space="0" w:color="auto"/>
            </w:tcBorders>
            <w:vAlign w:val="center"/>
            <w:hideMark/>
          </w:tcPr>
          <w:p w14:paraId="08EA9212" w14:textId="77777777" w:rsidR="00D048D1" w:rsidRPr="006C3201" w:rsidRDefault="00D048D1">
            <w:pPr>
              <w:spacing w:before="0" w:after="0"/>
              <w:rPr>
                <w:noProof/>
                <w:sz w:val="21"/>
                <w:szCs w:val="21"/>
              </w:rPr>
            </w:pPr>
            <w:r w:rsidRPr="006C3201">
              <w:rPr>
                <w:noProof/>
                <w:sz w:val="21"/>
              </w:rPr>
              <w:t xml:space="preserve">OGÓŁEM środki administracyjne finansowane ze środków przydzielonych na określone programy </w:t>
            </w:r>
          </w:p>
        </w:tc>
        <w:tc>
          <w:tcPr>
            <w:tcW w:w="492" w:type="pct"/>
            <w:tcBorders>
              <w:top w:val="single" w:sz="8" w:space="0" w:color="auto"/>
              <w:left w:val="nil"/>
              <w:bottom w:val="single" w:sz="8" w:space="0" w:color="auto"/>
              <w:right w:val="single" w:sz="8" w:space="0" w:color="auto"/>
            </w:tcBorders>
            <w:vAlign w:val="center"/>
            <w:hideMark/>
          </w:tcPr>
          <w:p w14:paraId="29F26228" w14:textId="77777777" w:rsidR="00D048D1" w:rsidRPr="006C3201" w:rsidRDefault="00D048D1">
            <w:pPr>
              <w:spacing w:before="0" w:after="0"/>
              <w:jc w:val="center"/>
              <w:rPr>
                <w:noProof/>
                <w:sz w:val="14"/>
                <w:szCs w:val="14"/>
              </w:rPr>
            </w:pPr>
            <w:r w:rsidRPr="006C3201">
              <w:rPr>
                <w:noProof/>
                <w:sz w:val="14"/>
              </w:rPr>
              <w:t>(6)</w:t>
            </w:r>
          </w:p>
        </w:tc>
        <w:tc>
          <w:tcPr>
            <w:tcW w:w="493" w:type="pct"/>
            <w:tcBorders>
              <w:top w:val="nil"/>
              <w:left w:val="nil"/>
              <w:bottom w:val="single" w:sz="8" w:space="0" w:color="auto"/>
              <w:right w:val="single" w:sz="8" w:space="0" w:color="auto"/>
            </w:tcBorders>
            <w:shd w:val="clear" w:color="000000" w:fill="D9D9D9"/>
            <w:vAlign w:val="center"/>
            <w:hideMark/>
          </w:tcPr>
          <w:p w14:paraId="52AC530D" w14:textId="77777777" w:rsidR="00D048D1" w:rsidRPr="006C3201" w:rsidRDefault="00D048D1">
            <w:pPr>
              <w:spacing w:before="0" w:after="0"/>
              <w:jc w:val="right"/>
              <w:rPr>
                <w:noProof/>
                <w:sz w:val="20"/>
                <w:szCs w:val="20"/>
              </w:rPr>
            </w:pPr>
            <w:r w:rsidRPr="006C3201">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37FAEE3E" w14:textId="77777777" w:rsidR="00D048D1" w:rsidRPr="006C3201" w:rsidRDefault="00D048D1">
            <w:pPr>
              <w:spacing w:before="0" w:after="0"/>
              <w:jc w:val="right"/>
              <w:rPr>
                <w:noProof/>
                <w:sz w:val="20"/>
                <w:szCs w:val="20"/>
              </w:rPr>
            </w:pPr>
            <w:r w:rsidRPr="006C3201">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3092962B" w14:textId="77777777" w:rsidR="00D048D1" w:rsidRPr="006C3201" w:rsidRDefault="00D048D1">
            <w:pPr>
              <w:spacing w:before="0" w:after="0"/>
              <w:jc w:val="right"/>
              <w:rPr>
                <w:noProof/>
                <w:sz w:val="20"/>
                <w:szCs w:val="20"/>
              </w:rPr>
            </w:pPr>
            <w:r w:rsidRPr="006C3201">
              <w:rPr>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0297BAB4" w14:textId="77777777" w:rsidR="00D048D1" w:rsidRPr="006C3201" w:rsidRDefault="00D048D1">
            <w:pPr>
              <w:spacing w:before="0" w:after="0"/>
              <w:jc w:val="right"/>
              <w:rPr>
                <w:noProof/>
                <w:sz w:val="20"/>
                <w:szCs w:val="20"/>
              </w:rPr>
            </w:pPr>
            <w:r w:rsidRPr="006C3201">
              <w:rPr>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11E23F05" w14:textId="77777777" w:rsidR="00D048D1" w:rsidRPr="006C3201" w:rsidRDefault="00D048D1">
            <w:pPr>
              <w:spacing w:before="0" w:after="0"/>
              <w:jc w:val="right"/>
              <w:rPr>
                <w:b/>
                <w:bCs/>
                <w:noProof/>
                <w:sz w:val="20"/>
                <w:szCs w:val="20"/>
              </w:rPr>
            </w:pPr>
            <w:r w:rsidRPr="006C3201">
              <w:rPr>
                <w:b/>
                <w:noProof/>
                <w:sz w:val="20"/>
              </w:rPr>
              <w:t>0,000</w:t>
            </w:r>
          </w:p>
        </w:tc>
      </w:tr>
      <w:tr w:rsidR="00E43BAD" w:rsidRPr="006C3201" w14:paraId="525C501D" w14:textId="77777777" w:rsidTr="0061523A">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0310B9F8" w14:textId="77777777" w:rsidR="00D048D1" w:rsidRPr="006C3201" w:rsidRDefault="00D048D1">
            <w:pPr>
              <w:spacing w:before="0" w:after="0"/>
              <w:jc w:val="center"/>
              <w:rPr>
                <w:b/>
                <w:bCs/>
                <w:noProof/>
                <w:sz w:val="22"/>
              </w:rPr>
            </w:pPr>
            <w:r w:rsidRPr="006C3201">
              <w:rPr>
                <w:b/>
                <w:noProof/>
                <w:sz w:val="22"/>
              </w:rPr>
              <w:t>OGÓŁEM środki na DZIAŁ &lt;….&gt;</w:t>
            </w:r>
          </w:p>
        </w:tc>
        <w:tc>
          <w:tcPr>
            <w:tcW w:w="529" w:type="pct"/>
            <w:tcBorders>
              <w:top w:val="nil"/>
              <w:left w:val="nil"/>
              <w:bottom w:val="single" w:sz="8" w:space="0" w:color="auto"/>
              <w:right w:val="single" w:sz="8" w:space="0" w:color="auto"/>
            </w:tcBorders>
            <w:vAlign w:val="center"/>
            <w:hideMark/>
          </w:tcPr>
          <w:p w14:paraId="33BAFEA4" w14:textId="77777777" w:rsidR="00D048D1" w:rsidRPr="006C3201" w:rsidRDefault="00D048D1">
            <w:pPr>
              <w:spacing w:before="0" w:after="0"/>
              <w:rPr>
                <w:noProof/>
                <w:sz w:val="18"/>
                <w:szCs w:val="18"/>
              </w:rPr>
            </w:pPr>
            <w:r w:rsidRPr="006C3201">
              <w:rPr>
                <w:noProof/>
                <w:sz w:val="18"/>
              </w:rPr>
              <w:t>Środki na zobowiązania</w:t>
            </w:r>
          </w:p>
        </w:tc>
        <w:tc>
          <w:tcPr>
            <w:tcW w:w="492" w:type="pct"/>
            <w:tcBorders>
              <w:top w:val="single" w:sz="8" w:space="0" w:color="auto"/>
              <w:left w:val="nil"/>
              <w:bottom w:val="single" w:sz="8" w:space="0" w:color="auto"/>
              <w:right w:val="single" w:sz="8" w:space="0" w:color="auto"/>
            </w:tcBorders>
            <w:vAlign w:val="center"/>
            <w:hideMark/>
          </w:tcPr>
          <w:p w14:paraId="27C79F1E" w14:textId="77777777" w:rsidR="00D048D1" w:rsidRPr="006C3201" w:rsidRDefault="00D048D1">
            <w:pPr>
              <w:spacing w:before="0" w:after="0"/>
              <w:jc w:val="center"/>
              <w:rPr>
                <w:noProof/>
                <w:sz w:val="14"/>
                <w:szCs w:val="14"/>
              </w:rPr>
            </w:pPr>
            <w:r w:rsidRPr="006C3201">
              <w:rPr>
                <w:noProof/>
                <w:sz w:val="14"/>
              </w:rPr>
              <w:t>=4+6</w:t>
            </w:r>
          </w:p>
        </w:tc>
        <w:tc>
          <w:tcPr>
            <w:tcW w:w="493" w:type="pct"/>
            <w:tcBorders>
              <w:top w:val="nil"/>
              <w:left w:val="nil"/>
              <w:bottom w:val="single" w:sz="8" w:space="0" w:color="auto"/>
              <w:right w:val="single" w:sz="8" w:space="0" w:color="auto"/>
            </w:tcBorders>
            <w:shd w:val="clear" w:color="000000" w:fill="D9D9D9"/>
            <w:vAlign w:val="center"/>
            <w:hideMark/>
          </w:tcPr>
          <w:p w14:paraId="302FFB98" w14:textId="77777777" w:rsidR="00D048D1" w:rsidRPr="006C3201" w:rsidRDefault="00D048D1">
            <w:pPr>
              <w:spacing w:before="0" w:after="0"/>
              <w:jc w:val="right"/>
              <w:rPr>
                <w:b/>
                <w:bCs/>
                <w:noProof/>
                <w:sz w:val="20"/>
                <w:szCs w:val="20"/>
              </w:rPr>
            </w:pPr>
            <w:r w:rsidRPr="006C3201">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3BD3CAD0" w14:textId="77777777" w:rsidR="00D048D1" w:rsidRPr="006C3201" w:rsidRDefault="00D048D1">
            <w:pPr>
              <w:spacing w:before="0" w:after="0"/>
              <w:jc w:val="right"/>
              <w:rPr>
                <w:b/>
                <w:bCs/>
                <w:noProof/>
                <w:sz w:val="20"/>
                <w:szCs w:val="20"/>
              </w:rPr>
            </w:pPr>
            <w:r w:rsidRPr="006C3201">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47186A2C" w14:textId="77777777" w:rsidR="00D048D1" w:rsidRPr="006C3201" w:rsidRDefault="00D048D1">
            <w:pPr>
              <w:spacing w:before="0" w:after="0"/>
              <w:jc w:val="right"/>
              <w:rPr>
                <w:b/>
                <w:bCs/>
                <w:noProof/>
                <w:sz w:val="20"/>
                <w:szCs w:val="20"/>
              </w:rPr>
            </w:pPr>
            <w:r w:rsidRPr="006C3201">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0EAE074F" w14:textId="77777777" w:rsidR="00D048D1" w:rsidRPr="006C3201" w:rsidRDefault="00D048D1">
            <w:pPr>
              <w:spacing w:before="0" w:after="0"/>
              <w:jc w:val="right"/>
              <w:rPr>
                <w:b/>
                <w:bCs/>
                <w:noProof/>
                <w:sz w:val="20"/>
                <w:szCs w:val="20"/>
              </w:rPr>
            </w:pPr>
            <w:r w:rsidRPr="006C3201">
              <w:rPr>
                <w:b/>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455B15B3" w14:textId="77777777" w:rsidR="00D048D1" w:rsidRPr="006C3201" w:rsidRDefault="00D048D1">
            <w:pPr>
              <w:spacing w:before="0" w:after="0"/>
              <w:jc w:val="right"/>
              <w:rPr>
                <w:b/>
                <w:bCs/>
                <w:noProof/>
                <w:sz w:val="20"/>
                <w:szCs w:val="20"/>
              </w:rPr>
            </w:pPr>
            <w:r w:rsidRPr="006C3201">
              <w:rPr>
                <w:b/>
                <w:noProof/>
                <w:sz w:val="20"/>
              </w:rPr>
              <w:t>0,000</w:t>
            </w:r>
          </w:p>
        </w:tc>
      </w:tr>
      <w:tr w:rsidR="00E43BAD" w:rsidRPr="006C3201" w14:paraId="4C0326EA" w14:textId="77777777" w:rsidTr="0061523A">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3A7A4B71" w14:textId="77777777" w:rsidR="00D048D1" w:rsidRPr="006C3201" w:rsidRDefault="00D048D1">
            <w:pPr>
              <w:spacing w:before="0" w:after="0"/>
              <w:jc w:val="center"/>
              <w:rPr>
                <w:noProof/>
                <w:sz w:val="22"/>
              </w:rPr>
            </w:pPr>
            <w:r w:rsidRPr="006C3201">
              <w:rPr>
                <w:noProof/>
                <w:sz w:val="22"/>
              </w:rPr>
              <w:t>wieloletnich ram finansowych</w:t>
            </w:r>
          </w:p>
        </w:tc>
        <w:tc>
          <w:tcPr>
            <w:tcW w:w="529" w:type="pct"/>
            <w:tcBorders>
              <w:top w:val="nil"/>
              <w:left w:val="nil"/>
              <w:bottom w:val="single" w:sz="8" w:space="0" w:color="auto"/>
              <w:right w:val="single" w:sz="8" w:space="0" w:color="auto"/>
            </w:tcBorders>
            <w:vAlign w:val="center"/>
            <w:hideMark/>
          </w:tcPr>
          <w:p w14:paraId="00ACFEE7" w14:textId="77777777" w:rsidR="00D048D1" w:rsidRPr="006C3201" w:rsidRDefault="00D048D1">
            <w:pPr>
              <w:spacing w:before="0" w:after="0"/>
              <w:rPr>
                <w:noProof/>
                <w:sz w:val="18"/>
                <w:szCs w:val="18"/>
              </w:rPr>
            </w:pPr>
            <w:r w:rsidRPr="006C3201">
              <w:rPr>
                <w:noProof/>
                <w:sz w:val="18"/>
              </w:rPr>
              <w:t>Środki na płatności</w:t>
            </w:r>
          </w:p>
        </w:tc>
        <w:tc>
          <w:tcPr>
            <w:tcW w:w="492" w:type="pct"/>
            <w:tcBorders>
              <w:top w:val="single" w:sz="8" w:space="0" w:color="auto"/>
              <w:left w:val="nil"/>
              <w:bottom w:val="single" w:sz="8" w:space="0" w:color="auto"/>
              <w:right w:val="single" w:sz="8" w:space="0" w:color="auto"/>
            </w:tcBorders>
            <w:vAlign w:val="center"/>
            <w:hideMark/>
          </w:tcPr>
          <w:p w14:paraId="07BB9706" w14:textId="77777777" w:rsidR="00D048D1" w:rsidRPr="006C3201" w:rsidRDefault="00D048D1">
            <w:pPr>
              <w:spacing w:before="0" w:after="0"/>
              <w:jc w:val="center"/>
              <w:rPr>
                <w:noProof/>
                <w:sz w:val="14"/>
                <w:szCs w:val="14"/>
              </w:rPr>
            </w:pPr>
            <w:r w:rsidRPr="006C3201">
              <w:rPr>
                <w:noProof/>
                <w:sz w:val="14"/>
              </w:rPr>
              <w:t>=5+6</w:t>
            </w:r>
          </w:p>
        </w:tc>
        <w:tc>
          <w:tcPr>
            <w:tcW w:w="493" w:type="pct"/>
            <w:tcBorders>
              <w:top w:val="nil"/>
              <w:left w:val="nil"/>
              <w:bottom w:val="single" w:sz="8" w:space="0" w:color="auto"/>
              <w:right w:val="single" w:sz="8" w:space="0" w:color="auto"/>
            </w:tcBorders>
            <w:shd w:val="clear" w:color="000000" w:fill="D9D9D9"/>
            <w:vAlign w:val="center"/>
            <w:hideMark/>
          </w:tcPr>
          <w:p w14:paraId="429D7003" w14:textId="77777777" w:rsidR="00D048D1" w:rsidRPr="006C3201" w:rsidRDefault="00D048D1">
            <w:pPr>
              <w:spacing w:before="0" w:after="0"/>
              <w:jc w:val="right"/>
              <w:rPr>
                <w:b/>
                <w:bCs/>
                <w:noProof/>
                <w:sz w:val="20"/>
                <w:szCs w:val="20"/>
              </w:rPr>
            </w:pPr>
            <w:r w:rsidRPr="006C3201">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2CDEF639" w14:textId="77777777" w:rsidR="00D048D1" w:rsidRPr="006C3201" w:rsidRDefault="00D048D1">
            <w:pPr>
              <w:spacing w:before="0" w:after="0"/>
              <w:jc w:val="right"/>
              <w:rPr>
                <w:b/>
                <w:bCs/>
                <w:noProof/>
                <w:sz w:val="20"/>
                <w:szCs w:val="20"/>
              </w:rPr>
            </w:pPr>
            <w:r w:rsidRPr="006C3201">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0098C3AD" w14:textId="77777777" w:rsidR="00D048D1" w:rsidRPr="006C3201" w:rsidRDefault="00D048D1">
            <w:pPr>
              <w:spacing w:before="0" w:after="0"/>
              <w:jc w:val="right"/>
              <w:rPr>
                <w:b/>
                <w:bCs/>
                <w:noProof/>
                <w:sz w:val="20"/>
                <w:szCs w:val="20"/>
              </w:rPr>
            </w:pPr>
            <w:r w:rsidRPr="006C3201">
              <w:rPr>
                <w:b/>
                <w:noProof/>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7F976496" w14:textId="77777777" w:rsidR="00D048D1" w:rsidRPr="006C3201" w:rsidRDefault="00D048D1">
            <w:pPr>
              <w:spacing w:before="0" w:after="0"/>
              <w:jc w:val="right"/>
              <w:rPr>
                <w:b/>
                <w:bCs/>
                <w:noProof/>
                <w:sz w:val="20"/>
                <w:szCs w:val="20"/>
              </w:rPr>
            </w:pPr>
            <w:r w:rsidRPr="006C3201">
              <w:rPr>
                <w:b/>
                <w:noProof/>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6DFADD28" w14:textId="77777777" w:rsidR="00D048D1" w:rsidRPr="006C3201" w:rsidRDefault="00D048D1">
            <w:pPr>
              <w:spacing w:before="0" w:after="0"/>
              <w:jc w:val="right"/>
              <w:rPr>
                <w:b/>
                <w:bCs/>
                <w:noProof/>
                <w:sz w:val="20"/>
                <w:szCs w:val="20"/>
              </w:rPr>
            </w:pPr>
            <w:r w:rsidRPr="006C3201">
              <w:rPr>
                <w:b/>
                <w:noProof/>
                <w:sz w:val="20"/>
              </w:rPr>
              <w:t>0,000</w:t>
            </w:r>
          </w:p>
        </w:tc>
      </w:tr>
    </w:tbl>
    <w:p w14:paraId="2FF8C1B1" w14:textId="77777777" w:rsidR="00D048D1" w:rsidRPr="006C3201" w:rsidRDefault="00D048D1" w:rsidP="00D048D1">
      <w:pPr>
        <w:spacing w:after="40"/>
        <w:rPr>
          <w:noProof/>
        </w:rPr>
      </w:pPr>
    </w:p>
    <w:p w14:paraId="752B5F3E" w14:textId="77777777" w:rsidR="00D048D1" w:rsidRPr="006C3201" w:rsidRDefault="00D048D1" w:rsidP="00D048D1">
      <w:pPr>
        <w:pStyle w:val="ManualHeading3"/>
        <w:rPr>
          <w:bCs/>
          <w:noProof/>
          <w:szCs w:val="24"/>
        </w:rPr>
      </w:pPr>
      <w:bookmarkStart w:id="189" w:name="_Toc514938054"/>
      <w:bookmarkStart w:id="190" w:name="_Toc520485053"/>
      <w:bookmarkStart w:id="191" w:name="_Toc160804597"/>
      <w:bookmarkStart w:id="192" w:name="_Toc167220289"/>
      <w:bookmarkStart w:id="193" w:name="_Toc177549022"/>
      <w:bookmarkStart w:id="194" w:name="_Toc214887236"/>
      <w:r w:rsidRPr="006C3201">
        <w:rPr>
          <w:noProof/>
        </w:rPr>
        <w:t>3.2.2.</w:t>
      </w:r>
      <w:r w:rsidRPr="006C3201">
        <w:rPr>
          <w:noProof/>
        </w:rPr>
        <w:tab/>
        <w:t>Szacowany produkt finansowany ze środków operacyjnych</w:t>
      </w:r>
      <w:bookmarkEnd w:id="189"/>
      <w:bookmarkEnd w:id="190"/>
      <w:r w:rsidRPr="006C3201">
        <w:rPr>
          <w:noProof/>
        </w:rPr>
        <w:t xml:space="preserve"> (nie wypełniać</w:t>
      </w:r>
      <w:r w:rsidR="00110A93" w:rsidRPr="006C3201">
        <w:rPr>
          <w:noProof/>
        </w:rPr>
        <w:t xml:space="preserve"> w</w:t>
      </w:r>
      <w:r w:rsidR="00110A93">
        <w:rPr>
          <w:noProof/>
        </w:rPr>
        <w:t> </w:t>
      </w:r>
      <w:r w:rsidR="00110A93" w:rsidRPr="006C3201">
        <w:rPr>
          <w:noProof/>
        </w:rPr>
        <w:t>prz</w:t>
      </w:r>
      <w:r w:rsidRPr="006C3201">
        <w:rPr>
          <w:noProof/>
        </w:rPr>
        <w:t>ypadku agencji zdecentralizowanych)</w:t>
      </w:r>
      <w:bookmarkEnd w:id="191"/>
      <w:bookmarkEnd w:id="192"/>
      <w:bookmarkEnd w:id="193"/>
      <w:bookmarkEnd w:id="194"/>
    </w:p>
    <w:p w14:paraId="1BF1B35B" w14:textId="77777777" w:rsidR="00D048D1" w:rsidRPr="006C3201" w:rsidRDefault="00D048D1" w:rsidP="00D048D1">
      <w:pPr>
        <w:jc w:val="right"/>
        <w:rPr>
          <w:noProof/>
          <w:sz w:val="20"/>
        </w:rPr>
      </w:pPr>
      <w:r w:rsidRPr="006C3201">
        <w:rPr>
          <w:noProof/>
          <w:sz w:val="20"/>
        </w:rPr>
        <w:t>Środki na zobowiązania</w:t>
      </w:r>
      <w:r w:rsidR="00110A93" w:rsidRPr="006C3201">
        <w:rPr>
          <w:noProof/>
          <w:sz w:val="20"/>
        </w:rPr>
        <w:t xml:space="preserve"> w</w:t>
      </w:r>
      <w:r w:rsidR="00110A93">
        <w:rPr>
          <w:noProof/>
          <w:sz w:val="20"/>
        </w:rPr>
        <w:t> </w:t>
      </w:r>
      <w:r w:rsidR="00110A93" w:rsidRPr="006C3201">
        <w:rPr>
          <w:noProof/>
          <w:sz w:val="20"/>
        </w:rPr>
        <w:t>mln</w:t>
      </w:r>
      <w:r w:rsidRPr="006C3201">
        <w:rPr>
          <w:noProof/>
          <w:sz w:val="20"/>
        </w:rPr>
        <w:t xml:space="preserve"> EUR (do trzech miejsc po przecinku)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E43BAD" w:rsidRPr="006C3201" w14:paraId="6C41FD49" w14:textId="77777777">
        <w:trPr>
          <w:jc w:val="center"/>
        </w:trPr>
        <w:tc>
          <w:tcPr>
            <w:tcW w:w="1423" w:type="dxa"/>
            <w:vMerge w:val="restart"/>
            <w:vAlign w:val="center"/>
          </w:tcPr>
          <w:p w14:paraId="227A57D8" w14:textId="77777777" w:rsidR="00D048D1" w:rsidRPr="006C3201" w:rsidRDefault="00D048D1">
            <w:pPr>
              <w:ind w:right="-29"/>
              <w:jc w:val="center"/>
              <w:rPr>
                <w:b/>
                <w:noProof/>
                <w:sz w:val="18"/>
                <w:szCs w:val="18"/>
              </w:rPr>
            </w:pPr>
            <w:r w:rsidRPr="006C3201">
              <w:rPr>
                <w:b/>
                <w:noProof/>
                <w:sz w:val="18"/>
              </w:rPr>
              <w:t>Określić cele</w:t>
            </w:r>
            <w:r w:rsidR="00110A93" w:rsidRPr="006C3201">
              <w:rPr>
                <w:b/>
                <w:noProof/>
                <w:sz w:val="18"/>
              </w:rPr>
              <w:t xml:space="preserve"> i</w:t>
            </w:r>
            <w:r w:rsidR="00110A93">
              <w:rPr>
                <w:b/>
                <w:noProof/>
                <w:sz w:val="18"/>
              </w:rPr>
              <w:t> </w:t>
            </w:r>
            <w:r w:rsidR="00110A93" w:rsidRPr="006C3201">
              <w:rPr>
                <w:b/>
                <w:noProof/>
                <w:sz w:val="18"/>
              </w:rPr>
              <w:t>pro</w:t>
            </w:r>
            <w:r w:rsidRPr="006C3201">
              <w:rPr>
                <w:b/>
                <w:noProof/>
                <w:sz w:val="18"/>
              </w:rPr>
              <w:t xml:space="preserve">dukty </w:t>
            </w:r>
          </w:p>
          <w:p w14:paraId="4A88AC45" w14:textId="77777777" w:rsidR="00D048D1" w:rsidRPr="006C3201" w:rsidRDefault="00D048D1">
            <w:pPr>
              <w:ind w:right="-29"/>
              <w:jc w:val="center"/>
              <w:rPr>
                <w:b/>
                <w:noProof/>
                <w:sz w:val="18"/>
                <w:szCs w:val="18"/>
              </w:rPr>
            </w:pPr>
          </w:p>
          <w:p w14:paraId="7845B2BF" w14:textId="77777777" w:rsidR="00D048D1" w:rsidRPr="006C3201" w:rsidRDefault="00D048D1">
            <w:pPr>
              <w:ind w:right="-29"/>
              <w:jc w:val="center"/>
              <w:rPr>
                <w:noProof/>
                <w:sz w:val="18"/>
                <w:szCs w:val="18"/>
              </w:rPr>
            </w:pPr>
            <w:r w:rsidRPr="006C3201">
              <w:rPr>
                <w:rFonts w:ascii="Wingdings" w:hAnsi="Wingdings"/>
                <w:noProof/>
                <w:sz w:val="18"/>
              </w:rPr>
              <w:t></w:t>
            </w:r>
          </w:p>
        </w:tc>
        <w:tc>
          <w:tcPr>
            <w:tcW w:w="720" w:type="dxa"/>
            <w:vAlign w:val="center"/>
          </w:tcPr>
          <w:p w14:paraId="24E747DE" w14:textId="77777777" w:rsidR="00D048D1" w:rsidRPr="006C3201" w:rsidRDefault="00D048D1">
            <w:pPr>
              <w:ind w:right="-29"/>
              <w:jc w:val="center"/>
              <w:rPr>
                <w:noProof/>
                <w:sz w:val="18"/>
                <w:szCs w:val="18"/>
              </w:rPr>
            </w:pPr>
          </w:p>
        </w:tc>
        <w:tc>
          <w:tcPr>
            <w:tcW w:w="701" w:type="dxa"/>
            <w:vAlign w:val="center"/>
          </w:tcPr>
          <w:p w14:paraId="57BCDA80" w14:textId="77777777" w:rsidR="00D048D1" w:rsidRPr="006C3201" w:rsidRDefault="00D048D1">
            <w:pPr>
              <w:ind w:right="-29"/>
              <w:jc w:val="center"/>
              <w:rPr>
                <w:noProof/>
                <w:sz w:val="18"/>
                <w:szCs w:val="18"/>
              </w:rPr>
            </w:pPr>
          </w:p>
        </w:tc>
        <w:tc>
          <w:tcPr>
            <w:tcW w:w="1224" w:type="dxa"/>
            <w:gridSpan w:val="2"/>
            <w:tcBorders>
              <w:left w:val="nil"/>
            </w:tcBorders>
            <w:vAlign w:val="center"/>
          </w:tcPr>
          <w:p w14:paraId="03174BF4" w14:textId="77777777" w:rsidR="00D048D1" w:rsidRPr="006C3201" w:rsidRDefault="00D048D1">
            <w:pPr>
              <w:ind w:right="-29"/>
              <w:jc w:val="center"/>
              <w:rPr>
                <w:noProof/>
                <w:sz w:val="18"/>
                <w:szCs w:val="18"/>
              </w:rPr>
            </w:pPr>
            <w:r w:rsidRPr="006C3201">
              <w:rPr>
                <w:noProof/>
                <w:sz w:val="18"/>
              </w:rPr>
              <w:t>Ro</w:t>
            </w:r>
            <w:r w:rsidRPr="00110A93">
              <w:rPr>
                <w:noProof/>
                <w:sz w:val="18"/>
              </w:rPr>
              <w:t>k</w:t>
            </w:r>
            <w:r w:rsidR="00110A93" w:rsidRPr="00110A93">
              <w:rPr>
                <w:noProof/>
                <w:sz w:val="18"/>
              </w:rPr>
              <w:t xml:space="preserve"> </w:t>
            </w:r>
            <w:r w:rsidRPr="00110A93">
              <w:rPr>
                <w:noProof/>
              </w:rPr>
              <w:br/>
            </w:r>
            <w:r w:rsidRPr="006C3201">
              <w:rPr>
                <w:b/>
                <w:noProof/>
                <w:sz w:val="18"/>
              </w:rPr>
              <w:t>2024</w:t>
            </w:r>
          </w:p>
        </w:tc>
        <w:tc>
          <w:tcPr>
            <w:tcW w:w="1260" w:type="dxa"/>
            <w:gridSpan w:val="2"/>
            <w:vAlign w:val="center"/>
          </w:tcPr>
          <w:p w14:paraId="2FC96EE3" w14:textId="77777777" w:rsidR="00D048D1" w:rsidRPr="006C3201" w:rsidRDefault="00D048D1">
            <w:pPr>
              <w:ind w:right="-29"/>
              <w:jc w:val="center"/>
              <w:rPr>
                <w:noProof/>
                <w:sz w:val="18"/>
                <w:szCs w:val="18"/>
              </w:rPr>
            </w:pPr>
            <w:r w:rsidRPr="006C3201">
              <w:rPr>
                <w:noProof/>
                <w:sz w:val="18"/>
              </w:rPr>
              <w:t>Ro</w:t>
            </w:r>
            <w:r w:rsidRPr="00110A93">
              <w:rPr>
                <w:noProof/>
                <w:sz w:val="18"/>
              </w:rPr>
              <w:t>k</w:t>
            </w:r>
            <w:r w:rsidR="00110A93" w:rsidRPr="00110A93">
              <w:rPr>
                <w:noProof/>
                <w:sz w:val="18"/>
              </w:rPr>
              <w:t xml:space="preserve"> </w:t>
            </w:r>
            <w:r w:rsidRPr="00110A93">
              <w:rPr>
                <w:noProof/>
              </w:rPr>
              <w:br/>
            </w:r>
            <w:r w:rsidRPr="006C3201">
              <w:rPr>
                <w:b/>
                <w:noProof/>
                <w:sz w:val="18"/>
              </w:rPr>
              <w:t>2025</w:t>
            </w:r>
          </w:p>
        </w:tc>
        <w:tc>
          <w:tcPr>
            <w:tcW w:w="1440" w:type="dxa"/>
            <w:gridSpan w:val="2"/>
            <w:vAlign w:val="center"/>
          </w:tcPr>
          <w:p w14:paraId="5DAFCA7D" w14:textId="77777777" w:rsidR="00D048D1" w:rsidRPr="006C3201" w:rsidRDefault="00D048D1">
            <w:pPr>
              <w:ind w:right="-29"/>
              <w:jc w:val="center"/>
              <w:rPr>
                <w:noProof/>
                <w:sz w:val="18"/>
                <w:szCs w:val="18"/>
              </w:rPr>
            </w:pPr>
            <w:r w:rsidRPr="006C3201">
              <w:rPr>
                <w:noProof/>
                <w:sz w:val="18"/>
              </w:rPr>
              <w:t>Ro</w:t>
            </w:r>
            <w:r w:rsidRPr="00110A93">
              <w:rPr>
                <w:noProof/>
                <w:sz w:val="18"/>
              </w:rPr>
              <w:t>k</w:t>
            </w:r>
            <w:r w:rsidR="00110A93" w:rsidRPr="00110A93">
              <w:rPr>
                <w:noProof/>
                <w:sz w:val="18"/>
              </w:rPr>
              <w:t xml:space="preserve"> </w:t>
            </w:r>
            <w:r w:rsidRPr="00110A93">
              <w:rPr>
                <w:noProof/>
              </w:rPr>
              <w:br/>
            </w:r>
            <w:r w:rsidRPr="006C3201">
              <w:rPr>
                <w:b/>
                <w:noProof/>
                <w:sz w:val="18"/>
              </w:rPr>
              <w:t>2026</w:t>
            </w:r>
          </w:p>
        </w:tc>
        <w:tc>
          <w:tcPr>
            <w:tcW w:w="1620" w:type="dxa"/>
            <w:gridSpan w:val="3"/>
            <w:vAlign w:val="center"/>
          </w:tcPr>
          <w:p w14:paraId="3BF80DF4" w14:textId="77777777" w:rsidR="00D048D1" w:rsidRPr="006C3201" w:rsidRDefault="00D048D1">
            <w:pPr>
              <w:ind w:right="-29"/>
              <w:jc w:val="center"/>
              <w:rPr>
                <w:noProof/>
                <w:sz w:val="18"/>
                <w:szCs w:val="18"/>
              </w:rPr>
            </w:pPr>
            <w:r w:rsidRPr="006C3201">
              <w:rPr>
                <w:noProof/>
                <w:sz w:val="18"/>
              </w:rPr>
              <w:t>Ro</w:t>
            </w:r>
            <w:r w:rsidRPr="00110A93">
              <w:rPr>
                <w:noProof/>
                <w:sz w:val="18"/>
              </w:rPr>
              <w:t>k</w:t>
            </w:r>
            <w:r w:rsidR="00110A93" w:rsidRPr="00110A93">
              <w:rPr>
                <w:noProof/>
                <w:sz w:val="18"/>
              </w:rPr>
              <w:t xml:space="preserve"> </w:t>
            </w:r>
            <w:r w:rsidRPr="00110A93">
              <w:rPr>
                <w:noProof/>
              </w:rPr>
              <w:br/>
            </w:r>
            <w:r w:rsidRPr="006C3201">
              <w:rPr>
                <w:b/>
                <w:noProof/>
                <w:sz w:val="18"/>
              </w:rPr>
              <w:t>2027</w:t>
            </w:r>
          </w:p>
        </w:tc>
        <w:tc>
          <w:tcPr>
            <w:tcW w:w="3600" w:type="dxa"/>
            <w:gridSpan w:val="6"/>
            <w:vAlign w:val="center"/>
          </w:tcPr>
          <w:p w14:paraId="363C1CBD" w14:textId="77777777" w:rsidR="00D048D1" w:rsidRPr="006C3201" w:rsidRDefault="00D048D1">
            <w:pPr>
              <w:jc w:val="center"/>
              <w:rPr>
                <w:noProof/>
                <w:sz w:val="18"/>
                <w:szCs w:val="18"/>
              </w:rPr>
            </w:pPr>
            <w:r w:rsidRPr="006C3201">
              <w:rPr>
                <w:noProof/>
                <w:sz w:val="18"/>
              </w:rPr>
              <w:t>Wprowadzić taką liczbę kolumn dla poszczególnych lat, jaka jest niezbędna, by odzwierciedlić cały okres wpływu (por. sekcja 1.6)</w:t>
            </w:r>
          </w:p>
        </w:tc>
        <w:tc>
          <w:tcPr>
            <w:tcW w:w="1620" w:type="dxa"/>
            <w:gridSpan w:val="2"/>
            <w:tcBorders>
              <w:left w:val="nil"/>
              <w:bottom w:val="nil"/>
            </w:tcBorders>
            <w:vAlign w:val="center"/>
          </w:tcPr>
          <w:p w14:paraId="3B2742FF" w14:textId="77777777" w:rsidR="00D048D1" w:rsidRPr="006C3201" w:rsidRDefault="00D048D1">
            <w:pPr>
              <w:ind w:right="-29"/>
              <w:jc w:val="center"/>
              <w:rPr>
                <w:noProof/>
                <w:sz w:val="18"/>
                <w:szCs w:val="18"/>
              </w:rPr>
            </w:pPr>
            <w:r w:rsidRPr="006C3201">
              <w:rPr>
                <w:b/>
                <w:noProof/>
                <w:sz w:val="18"/>
              </w:rPr>
              <w:t>OGÓŁEM</w:t>
            </w:r>
          </w:p>
        </w:tc>
      </w:tr>
      <w:tr w:rsidR="00E43BAD" w:rsidRPr="006C3201" w14:paraId="21C35C0A" w14:textId="77777777">
        <w:trPr>
          <w:jc w:val="center"/>
        </w:trPr>
        <w:tc>
          <w:tcPr>
            <w:tcW w:w="1423" w:type="dxa"/>
            <w:vMerge/>
            <w:vAlign w:val="center"/>
          </w:tcPr>
          <w:p w14:paraId="3A9ED2C1" w14:textId="77777777" w:rsidR="00D048D1" w:rsidRPr="006C3201" w:rsidRDefault="00D048D1">
            <w:pPr>
              <w:ind w:right="-29"/>
              <w:jc w:val="center"/>
              <w:rPr>
                <w:noProof/>
                <w:sz w:val="18"/>
                <w:szCs w:val="18"/>
              </w:rPr>
            </w:pPr>
          </w:p>
        </w:tc>
        <w:tc>
          <w:tcPr>
            <w:tcW w:w="12185" w:type="dxa"/>
            <w:gridSpan w:val="19"/>
            <w:vAlign w:val="center"/>
          </w:tcPr>
          <w:p w14:paraId="7A080C0E" w14:textId="77777777" w:rsidR="00D048D1" w:rsidRPr="006C3201" w:rsidRDefault="00D048D1">
            <w:pPr>
              <w:spacing w:before="60" w:after="60"/>
              <w:ind w:right="-29"/>
              <w:jc w:val="center"/>
              <w:rPr>
                <w:noProof/>
                <w:sz w:val="18"/>
                <w:szCs w:val="18"/>
              </w:rPr>
            </w:pPr>
            <w:r w:rsidRPr="006C3201">
              <w:rPr>
                <w:b/>
                <w:noProof/>
                <w:sz w:val="18"/>
              </w:rPr>
              <w:t>PRODUKT</w:t>
            </w:r>
          </w:p>
        </w:tc>
      </w:tr>
      <w:tr w:rsidR="00E43BAD" w:rsidRPr="006C3201" w14:paraId="77796D70" w14:textId="77777777">
        <w:trPr>
          <w:cantSplit/>
          <w:trHeight w:val="1134"/>
          <w:jc w:val="center"/>
        </w:trPr>
        <w:tc>
          <w:tcPr>
            <w:tcW w:w="1423" w:type="dxa"/>
            <w:vMerge/>
            <w:vAlign w:val="center"/>
          </w:tcPr>
          <w:p w14:paraId="5EAEB549" w14:textId="77777777" w:rsidR="00D048D1" w:rsidRPr="006C3201" w:rsidRDefault="00D048D1">
            <w:pPr>
              <w:rPr>
                <w:noProof/>
                <w:sz w:val="18"/>
                <w:szCs w:val="18"/>
              </w:rPr>
            </w:pPr>
          </w:p>
        </w:tc>
        <w:tc>
          <w:tcPr>
            <w:tcW w:w="720" w:type="dxa"/>
            <w:vAlign w:val="center"/>
          </w:tcPr>
          <w:p w14:paraId="6F6DA090" w14:textId="77777777" w:rsidR="00D048D1" w:rsidRPr="006C3201" w:rsidRDefault="00D048D1">
            <w:pPr>
              <w:jc w:val="center"/>
              <w:rPr>
                <w:noProof/>
                <w:sz w:val="18"/>
                <w:szCs w:val="18"/>
              </w:rPr>
            </w:pPr>
            <w:r w:rsidRPr="006C3201">
              <w:rPr>
                <w:noProof/>
                <w:sz w:val="18"/>
              </w:rPr>
              <w:t>Rodzaj</w:t>
            </w:r>
            <w:r w:rsidRPr="006C3201">
              <w:rPr>
                <w:rStyle w:val="Odwoanieprzypisudolnego"/>
                <w:noProof/>
                <w:sz w:val="18"/>
              </w:rPr>
              <w:footnoteReference w:id="11"/>
            </w:r>
          </w:p>
          <w:p w14:paraId="5BB5957E" w14:textId="77777777" w:rsidR="00D048D1" w:rsidRPr="006C3201" w:rsidRDefault="00D048D1">
            <w:pPr>
              <w:spacing w:before="0" w:after="0"/>
              <w:jc w:val="center"/>
              <w:rPr>
                <w:noProof/>
                <w:sz w:val="18"/>
                <w:szCs w:val="18"/>
              </w:rPr>
            </w:pPr>
          </w:p>
        </w:tc>
        <w:tc>
          <w:tcPr>
            <w:tcW w:w="701" w:type="dxa"/>
            <w:vAlign w:val="center"/>
          </w:tcPr>
          <w:p w14:paraId="6034F33D" w14:textId="77777777" w:rsidR="00D048D1" w:rsidRPr="006C3201" w:rsidRDefault="00D048D1">
            <w:pPr>
              <w:jc w:val="center"/>
              <w:rPr>
                <w:noProof/>
                <w:sz w:val="18"/>
                <w:szCs w:val="18"/>
              </w:rPr>
            </w:pPr>
            <w:r w:rsidRPr="006C3201">
              <w:rPr>
                <w:noProof/>
                <w:sz w:val="18"/>
              </w:rPr>
              <w:t>Średni koszt</w:t>
            </w:r>
          </w:p>
        </w:tc>
        <w:tc>
          <w:tcPr>
            <w:tcW w:w="504" w:type="dxa"/>
            <w:tcBorders>
              <w:left w:val="nil"/>
              <w:right w:val="dashSmallGap" w:sz="4" w:space="0" w:color="auto"/>
            </w:tcBorders>
            <w:shd w:val="pct10" w:color="auto" w:fill="auto"/>
            <w:textDirection w:val="btLr"/>
            <w:vAlign w:val="center"/>
          </w:tcPr>
          <w:p w14:paraId="6A645DA6" w14:textId="77777777" w:rsidR="00D048D1" w:rsidRPr="006C3201" w:rsidRDefault="00D048D1">
            <w:pPr>
              <w:ind w:left="113" w:right="113"/>
              <w:jc w:val="center"/>
              <w:rPr>
                <w:noProof/>
                <w:sz w:val="18"/>
                <w:szCs w:val="18"/>
              </w:rPr>
            </w:pPr>
            <w:r w:rsidRPr="006C3201">
              <w:rPr>
                <w:noProof/>
                <w:sz w:val="18"/>
              </w:rPr>
              <w:t>Liczba</w:t>
            </w:r>
          </w:p>
        </w:tc>
        <w:tc>
          <w:tcPr>
            <w:tcW w:w="720" w:type="dxa"/>
            <w:tcBorders>
              <w:left w:val="dashSmallGap" w:sz="4" w:space="0" w:color="auto"/>
            </w:tcBorders>
            <w:shd w:val="pct10" w:color="auto" w:fill="auto"/>
            <w:vAlign w:val="center"/>
          </w:tcPr>
          <w:p w14:paraId="27699820" w14:textId="77777777" w:rsidR="00D048D1" w:rsidRPr="006C3201" w:rsidRDefault="00D048D1">
            <w:pPr>
              <w:jc w:val="center"/>
              <w:rPr>
                <w:noProof/>
                <w:sz w:val="18"/>
                <w:szCs w:val="18"/>
              </w:rPr>
            </w:pPr>
            <w:r w:rsidRPr="006C3201">
              <w:rPr>
                <w:noProof/>
                <w:sz w:val="18"/>
              </w:rPr>
              <w:t>Koszt</w:t>
            </w:r>
          </w:p>
        </w:tc>
        <w:tc>
          <w:tcPr>
            <w:tcW w:w="540" w:type="dxa"/>
            <w:tcBorders>
              <w:right w:val="dashSmallGap" w:sz="4" w:space="0" w:color="auto"/>
            </w:tcBorders>
            <w:shd w:val="pct10" w:color="auto" w:fill="auto"/>
            <w:textDirection w:val="btLr"/>
            <w:vAlign w:val="center"/>
          </w:tcPr>
          <w:p w14:paraId="18FDCFE8" w14:textId="77777777" w:rsidR="00D048D1" w:rsidRPr="006C3201" w:rsidRDefault="00D048D1">
            <w:pPr>
              <w:ind w:left="113" w:right="113"/>
              <w:jc w:val="center"/>
              <w:rPr>
                <w:noProof/>
                <w:sz w:val="18"/>
                <w:szCs w:val="18"/>
              </w:rPr>
            </w:pPr>
            <w:r w:rsidRPr="006C3201">
              <w:rPr>
                <w:noProof/>
                <w:sz w:val="18"/>
              </w:rPr>
              <w:t>Liczba</w:t>
            </w:r>
          </w:p>
        </w:tc>
        <w:tc>
          <w:tcPr>
            <w:tcW w:w="720" w:type="dxa"/>
            <w:tcBorders>
              <w:left w:val="dashSmallGap" w:sz="4" w:space="0" w:color="auto"/>
            </w:tcBorders>
            <w:shd w:val="pct10" w:color="auto" w:fill="auto"/>
            <w:vAlign w:val="center"/>
          </w:tcPr>
          <w:p w14:paraId="5C1DA74F" w14:textId="77777777" w:rsidR="00D048D1" w:rsidRPr="006C3201" w:rsidRDefault="00D048D1">
            <w:pPr>
              <w:jc w:val="center"/>
              <w:rPr>
                <w:noProof/>
                <w:sz w:val="18"/>
                <w:szCs w:val="18"/>
              </w:rPr>
            </w:pPr>
            <w:r w:rsidRPr="006C3201">
              <w:rPr>
                <w:noProof/>
                <w:sz w:val="18"/>
              </w:rPr>
              <w:t>Koszt</w:t>
            </w:r>
          </w:p>
        </w:tc>
        <w:tc>
          <w:tcPr>
            <w:tcW w:w="720" w:type="dxa"/>
            <w:tcBorders>
              <w:right w:val="dashSmallGap" w:sz="4" w:space="0" w:color="auto"/>
            </w:tcBorders>
            <w:shd w:val="pct10" w:color="auto" w:fill="auto"/>
            <w:textDirection w:val="btLr"/>
            <w:vAlign w:val="center"/>
          </w:tcPr>
          <w:p w14:paraId="78A86C18" w14:textId="77777777" w:rsidR="00D048D1" w:rsidRPr="006C3201" w:rsidRDefault="00D048D1">
            <w:pPr>
              <w:ind w:left="113" w:right="113"/>
              <w:jc w:val="center"/>
              <w:rPr>
                <w:noProof/>
                <w:sz w:val="18"/>
                <w:szCs w:val="18"/>
              </w:rPr>
            </w:pPr>
            <w:r w:rsidRPr="006C3201">
              <w:rPr>
                <w:noProof/>
                <w:sz w:val="18"/>
              </w:rPr>
              <w:t>Liczba</w:t>
            </w:r>
          </w:p>
        </w:tc>
        <w:tc>
          <w:tcPr>
            <w:tcW w:w="720" w:type="dxa"/>
            <w:tcBorders>
              <w:left w:val="dashSmallGap" w:sz="4" w:space="0" w:color="auto"/>
            </w:tcBorders>
            <w:shd w:val="pct10" w:color="auto" w:fill="auto"/>
            <w:vAlign w:val="center"/>
          </w:tcPr>
          <w:p w14:paraId="7047D239" w14:textId="77777777" w:rsidR="00D048D1" w:rsidRPr="006C3201" w:rsidRDefault="00D048D1">
            <w:pPr>
              <w:jc w:val="center"/>
              <w:rPr>
                <w:noProof/>
                <w:sz w:val="18"/>
                <w:szCs w:val="18"/>
              </w:rPr>
            </w:pPr>
            <w:r w:rsidRPr="006C3201">
              <w:rPr>
                <w:noProof/>
                <w:sz w:val="18"/>
              </w:rPr>
              <w:t>Koszt</w:t>
            </w:r>
          </w:p>
        </w:tc>
        <w:tc>
          <w:tcPr>
            <w:tcW w:w="900" w:type="dxa"/>
            <w:tcBorders>
              <w:right w:val="dashSmallGap" w:sz="4" w:space="0" w:color="auto"/>
            </w:tcBorders>
            <w:shd w:val="pct10" w:color="auto" w:fill="auto"/>
            <w:textDirection w:val="btLr"/>
            <w:vAlign w:val="center"/>
          </w:tcPr>
          <w:p w14:paraId="0E58B824" w14:textId="77777777" w:rsidR="00D048D1" w:rsidRPr="006C3201" w:rsidRDefault="00D048D1">
            <w:pPr>
              <w:ind w:left="113" w:right="113"/>
              <w:jc w:val="center"/>
              <w:rPr>
                <w:noProof/>
                <w:sz w:val="18"/>
                <w:szCs w:val="18"/>
              </w:rPr>
            </w:pPr>
            <w:r w:rsidRPr="006C3201">
              <w:rPr>
                <w:noProof/>
                <w:sz w:val="18"/>
              </w:rPr>
              <w:t>Liczba</w:t>
            </w:r>
          </w:p>
        </w:tc>
        <w:tc>
          <w:tcPr>
            <w:tcW w:w="720" w:type="dxa"/>
            <w:gridSpan w:val="2"/>
            <w:tcBorders>
              <w:left w:val="dashSmallGap" w:sz="4" w:space="0" w:color="auto"/>
            </w:tcBorders>
            <w:shd w:val="pct10" w:color="auto" w:fill="auto"/>
            <w:vAlign w:val="center"/>
          </w:tcPr>
          <w:p w14:paraId="7C9CF20D" w14:textId="77777777" w:rsidR="00D048D1" w:rsidRPr="006C3201" w:rsidRDefault="00D048D1">
            <w:pPr>
              <w:jc w:val="center"/>
              <w:rPr>
                <w:noProof/>
                <w:sz w:val="18"/>
                <w:szCs w:val="18"/>
              </w:rPr>
            </w:pPr>
            <w:r w:rsidRPr="006C3201">
              <w:rPr>
                <w:noProof/>
                <w:sz w:val="18"/>
              </w:rPr>
              <w:t>Koszt</w:t>
            </w:r>
          </w:p>
        </w:tc>
        <w:tc>
          <w:tcPr>
            <w:tcW w:w="540" w:type="dxa"/>
            <w:tcBorders>
              <w:right w:val="dashSmallGap" w:sz="4" w:space="0" w:color="auto"/>
            </w:tcBorders>
            <w:shd w:val="pct10" w:color="auto" w:fill="auto"/>
            <w:textDirection w:val="btLr"/>
            <w:vAlign w:val="center"/>
          </w:tcPr>
          <w:p w14:paraId="2BFEC6AC" w14:textId="77777777" w:rsidR="00D048D1" w:rsidRPr="006C3201" w:rsidRDefault="00D048D1">
            <w:pPr>
              <w:ind w:left="113" w:right="113"/>
              <w:jc w:val="center"/>
              <w:rPr>
                <w:noProof/>
                <w:sz w:val="18"/>
                <w:szCs w:val="18"/>
              </w:rPr>
            </w:pPr>
            <w:r w:rsidRPr="006C3201">
              <w:rPr>
                <w:noProof/>
                <w:sz w:val="18"/>
              </w:rPr>
              <w:t>Liczba</w:t>
            </w:r>
          </w:p>
        </w:tc>
        <w:tc>
          <w:tcPr>
            <w:tcW w:w="648" w:type="dxa"/>
            <w:tcBorders>
              <w:left w:val="dashSmallGap" w:sz="4" w:space="0" w:color="auto"/>
            </w:tcBorders>
            <w:shd w:val="pct10" w:color="auto" w:fill="auto"/>
            <w:vAlign w:val="center"/>
          </w:tcPr>
          <w:p w14:paraId="68188854" w14:textId="77777777" w:rsidR="00D048D1" w:rsidRPr="006C3201" w:rsidRDefault="00D048D1">
            <w:pPr>
              <w:jc w:val="center"/>
              <w:rPr>
                <w:noProof/>
                <w:sz w:val="18"/>
                <w:szCs w:val="18"/>
              </w:rPr>
            </w:pPr>
            <w:r w:rsidRPr="006C3201">
              <w:rPr>
                <w:noProof/>
                <w:sz w:val="18"/>
              </w:rPr>
              <w:t>Koszt</w:t>
            </w:r>
          </w:p>
        </w:tc>
        <w:tc>
          <w:tcPr>
            <w:tcW w:w="432" w:type="dxa"/>
            <w:tcBorders>
              <w:right w:val="dashSmallGap" w:sz="4" w:space="0" w:color="auto"/>
            </w:tcBorders>
            <w:shd w:val="pct10" w:color="auto" w:fill="auto"/>
            <w:textDirection w:val="btLr"/>
            <w:vAlign w:val="center"/>
          </w:tcPr>
          <w:p w14:paraId="1032E22C" w14:textId="77777777" w:rsidR="00D048D1" w:rsidRPr="006C3201" w:rsidRDefault="00D048D1">
            <w:pPr>
              <w:ind w:left="113" w:right="113"/>
              <w:jc w:val="center"/>
              <w:rPr>
                <w:noProof/>
                <w:sz w:val="18"/>
                <w:szCs w:val="18"/>
              </w:rPr>
            </w:pPr>
            <w:r w:rsidRPr="006C3201">
              <w:rPr>
                <w:noProof/>
                <w:sz w:val="18"/>
              </w:rPr>
              <w:t>Liczba</w:t>
            </w:r>
          </w:p>
        </w:tc>
        <w:tc>
          <w:tcPr>
            <w:tcW w:w="720" w:type="dxa"/>
            <w:tcBorders>
              <w:left w:val="dashSmallGap" w:sz="4" w:space="0" w:color="auto"/>
            </w:tcBorders>
            <w:shd w:val="pct10" w:color="auto" w:fill="auto"/>
            <w:vAlign w:val="center"/>
          </w:tcPr>
          <w:p w14:paraId="0B1B7BCB" w14:textId="77777777" w:rsidR="00D048D1" w:rsidRPr="006C3201" w:rsidRDefault="00D048D1">
            <w:pPr>
              <w:jc w:val="center"/>
              <w:rPr>
                <w:noProof/>
                <w:sz w:val="18"/>
                <w:szCs w:val="18"/>
              </w:rPr>
            </w:pPr>
            <w:r w:rsidRPr="006C3201">
              <w:rPr>
                <w:noProof/>
                <w:sz w:val="18"/>
              </w:rPr>
              <w:t>Koszt</w:t>
            </w:r>
          </w:p>
        </w:tc>
        <w:tc>
          <w:tcPr>
            <w:tcW w:w="540" w:type="dxa"/>
            <w:tcBorders>
              <w:right w:val="dashSmallGap" w:sz="4" w:space="0" w:color="auto"/>
            </w:tcBorders>
            <w:shd w:val="pct10" w:color="auto" w:fill="auto"/>
            <w:textDirection w:val="btLr"/>
            <w:vAlign w:val="center"/>
          </w:tcPr>
          <w:p w14:paraId="3868CB00" w14:textId="77777777" w:rsidR="00D048D1" w:rsidRPr="006C3201" w:rsidRDefault="00D048D1">
            <w:pPr>
              <w:ind w:left="113" w:right="113"/>
              <w:jc w:val="center"/>
              <w:rPr>
                <w:noProof/>
                <w:sz w:val="18"/>
                <w:szCs w:val="18"/>
              </w:rPr>
            </w:pPr>
            <w:r w:rsidRPr="006C3201">
              <w:rPr>
                <w:noProof/>
                <w:sz w:val="18"/>
              </w:rPr>
              <w:t>Liczba</w:t>
            </w:r>
          </w:p>
        </w:tc>
        <w:tc>
          <w:tcPr>
            <w:tcW w:w="720" w:type="dxa"/>
            <w:tcBorders>
              <w:left w:val="dashSmallGap" w:sz="4" w:space="0" w:color="auto"/>
            </w:tcBorders>
            <w:shd w:val="pct10" w:color="auto" w:fill="auto"/>
            <w:vAlign w:val="center"/>
          </w:tcPr>
          <w:p w14:paraId="274097F1" w14:textId="77777777" w:rsidR="00D048D1" w:rsidRPr="006C3201" w:rsidRDefault="00D048D1">
            <w:pPr>
              <w:jc w:val="center"/>
              <w:rPr>
                <w:noProof/>
                <w:sz w:val="18"/>
                <w:szCs w:val="18"/>
              </w:rPr>
            </w:pPr>
            <w:r w:rsidRPr="006C3201">
              <w:rPr>
                <w:noProof/>
                <w:sz w:val="18"/>
              </w:rPr>
              <w:t>Koszt</w:t>
            </w:r>
          </w:p>
        </w:tc>
        <w:tc>
          <w:tcPr>
            <w:tcW w:w="720" w:type="dxa"/>
            <w:tcBorders>
              <w:right w:val="dashSmallGap" w:sz="4" w:space="0" w:color="auto"/>
            </w:tcBorders>
            <w:shd w:val="pct10" w:color="auto" w:fill="auto"/>
            <w:vAlign w:val="center"/>
          </w:tcPr>
          <w:p w14:paraId="7411C354" w14:textId="77777777" w:rsidR="00D048D1" w:rsidRPr="006C3201" w:rsidRDefault="00D048D1">
            <w:pPr>
              <w:jc w:val="center"/>
              <w:rPr>
                <w:noProof/>
                <w:sz w:val="18"/>
                <w:szCs w:val="18"/>
              </w:rPr>
            </w:pPr>
            <w:r w:rsidRPr="006C3201">
              <w:rPr>
                <w:noProof/>
                <w:sz w:val="18"/>
              </w:rPr>
              <w:t>Liczba ogółem</w:t>
            </w:r>
          </w:p>
        </w:tc>
        <w:tc>
          <w:tcPr>
            <w:tcW w:w="900" w:type="dxa"/>
            <w:tcBorders>
              <w:left w:val="dashSmallGap" w:sz="4" w:space="0" w:color="auto"/>
            </w:tcBorders>
            <w:shd w:val="pct10" w:color="auto" w:fill="auto"/>
            <w:vAlign w:val="center"/>
          </w:tcPr>
          <w:p w14:paraId="687F51FE" w14:textId="77777777" w:rsidR="00D048D1" w:rsidRPr="006C3201" w:rsidRDefault="00D048D1">
            <w:pPr>
              <w:jc w:val="center"/>
              <w:rPr>
                <w:noProof/>
                <w:sz w:val="18"/>
                <w:szCs w:val="18"/>
              </w:rPr>
            </w:pPr>
            <w:r w:rsidRPr="006C3201">
              <w:rPr>
                <w:noProof/>
                <w:sz w:val="18"/>
              </w:rPr>
              <w:t>Koszt całkowity</w:t>
            </w:r>
          </w:p>
        </w:tc>
      </w:tr>
      <w:tr w:rsidR="00E43BAD" w:rsidRPr="006C3201" w14:paraId="3A085DF8" w14:textId="77777777">
        <w:trPr>
          <w:jc w:val="center"/>
        </w:trPr>
        <w:tc>
          <w:tcPr>
            <w:tcW w:w="2844" w:type="dxa"/>
            <w:gridSpan w:val="3"/>
            <w:vAlign w:val="center"/>
          </w:tcPr>
          <w:p w14:paraId="08685EAC" w14:textId="77777777" w:rsidR="00D048D1" w:rsidRPr="006C3201" w:rsidRDefault="00D048D1">
            <w:pPr>
              <w:spacing w:before="60" w:after="60"/>
              <w:ind w:right="-29"/>
              <w:jc w:val="center"/>
              <w:rPr>
                <w:noProof/>
                <w:sz w:val="18"/>
                <w:szCs w:val="18"/>
              </w:rPr>
            </w:pPr>
            <w:r w:rsidRPr="006C3201">
              <w:rPr>
                <w:noProof/>
                <w:sz w:val="18"/>
              </w:rPr>
              <w:t xml:space="preserve">CEL SZCZEGÓŁOWY </w:t>
            </w:r>
            <w:r w:rsidRPr="00110A93">
              <w:rPr>
                <w:noProof/>
                <w:sz w:val="18"/>
              </w:rPr>
              <w:t>nr</w:t>
            </w:r>
            <w:r w:rsidR="00110A93" w:rsidRPr="00110A93">
              <w:rPr>
                <w:noProof/>
                <w:sz w:val="18"/>
              </w:rPr>
              <w:t> </w:t>
            </w:r>
            <w:r w:rsidRPr="00110A93">
              <w:rPr>
                <w:noProof/>
                <w:sz w:val="18"/>
              </w:rPr>
              <w:t>1</w:t>
            </w:r>
            <w:r w:rsidRPr="006C3201">
              <w:rPr>
                <w:rStyle w:val="Odwoanieprzypisudolnego"/>
                <w:noProof/>
                <w:sz w:val="18"/>
              </w:rPr>
              <w:footnoteReference w:id="12"/>
            </w:r>
          </w:p>
        </w:tc>
        <w:tc>
          <w:tcPr>
            <w:tcW w:w="504" w:type="dxa"/>
            <w:tcBorders>
              <w:top w:val="nil"/>
              <w:left w:val="nil"/>
              <w:bottom w:val="nil"/>
              <w:right w:val="nil"/>
            </w:tcBorders>
          </w:tcPr>
          <w:p w14:paraId="27049F10"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7756F396" w14:textId="77777777" w:rsidR="00D048D1" w:rsidRPr="006C3201" w:rsidRDefault="00D048D1">
            <w:pPr>
              <w:spacing w:before="60" w:after="60"/>
              <w:ind w:right="-29"/>
              <w:jc w:val="center"/>
              <w:rPr>
                <w:noProof/>
                <w:sz w:val="18"/>
                <w:szCs w:val="18"/>
              </w:rPr>
            </w:pPr>
          </w:p>
        </w:tc>
        <w:tc>
          <w:tcPr>
            <w:tcW w:w="540" w:type="dxa"/>
            <w:tcBorders>
              <w:top w:val="nil"/>
              <w:left w:val="nil"/>
              <w:bottom w:val="nil"/>
              <w:right w:val="nil"/>
            </w:tcBorders>
          </w:tcPr>
          <w:p w14:paraId="5DCBCC55"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6E6AC90B"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11AFA7FB"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1ACBFAC3" w14:textId="77777777" w:rsidR="00D048D1" w:rsidRPr="006C3201" w:rsidRDefault="00D048D1">
            <w:pPr>
              <w:spacing w:before="60" w:after="60"/>
              <w:ind w:right="-29"/>
              <w:jc w:val="center"/>
              <w:rPr>
                <w:noProof/>
                <w:sz w:val="18"/>
                <w:szCs w:val="18"/>
              </w:rPr>
            </w:pPr>
          </w:p>
        </w:tc>
        <w:tc>
          <w:tcPr>
            <w:tcW w:w="900" w:type="dxa"/>
            <w:tcBorders>
              <w:top w:val="nil"/>
              <w:left w:val="nil"/>
              <w:bottom w:val="nil"/>
              <w:right w:val="nil"/>
            </w:tcBorders>
          </w:tcPr>
          <w:p w14:paraId="1E5FD59F" w14:textId="77777777" w:rsidR="00D048D1" w:rsidRPr="006C3201" w:rsidRDefault="00D048D1">
            <w:pPr>
              <w:spacing w:before="60" w:after="60"/>
              <w:ind w:right="-29"/>
              <w:jc w:val="center"/>
              <w:rPr>
                <w:noProof/>
                <w:sz w:val="18"/>
                <w:szCs w:val="18"/>
              </w:rPr>
            </w:pPr>
          </w:p>
        </w:tc>
        <w:tc>
          <w:tcPr>
            <w:tcW w:w="720" w:type="dxa"/>
            <w:gridSpan w:val="2"/>
            <w:tcBorders>
              <w:top w:val="nil"/>
              <w:left w:val="nil"/>
              <w:bottom w:val="nil"/>
              <w:right w:val="nil"/>
            </w:tcBorders>
          </w:tcPr>
          <w:p w14:paraId="5D92F2E0" w14:textId="77777777" w:rsidR="00D048D1" w:rsidRPr="006C3201" w:rsidRDefault="00D048D1">
            <w:pPr>
              <w:spacing w:before="60" w:after="60"/>
              <w:ind w:right="-29"/>
              <w:jc w:val="center"/>
              <w:rPr>
                <w:noProof/>
                <w:sz w:val="18"/>
                <w:szCs w:val="18"/>
              </w:rPr>
            </w:pPr>
          </w:p>
        </w:tc>
        <w:tc>
          <w:tcPr>
            <w:tcW w:w="540" w:type="dxa"/>
            <w:tcBorders>
              <w:top w:val="nil"/>
              <w:left w:val="nil"/>
              <w:bottom w:val="nil"/>
              <w:right w:val="nil"/>
            </w:tcBorders>
          </w:tcPr>
          <w:p w14:paraId="697C6B77" w14:textId="77777777" w:rsidR="00D048D1" w:rsidRPr="006C3201" w:rsidRDefault="00D048D1">
            <w:pPr>
              <w:spacing w:before="60" w:after="60"/>
              <w:ind w:right="-29"/>
              <w:jc w:val="center"/>
              <w:rPr>
                <w:noProof/>
                <w:sz w:val="18"/>
                <w:szCs w:val="18"/>
              </w:rPr>
            </w:pPr>
          </w:p>
        </w:tc>
        <w:tc>
          <w:tcPr>
            <w:tcW w:w="648" w:type="dxa"/>
            <w:tcBorders>
              <w:top w:val="nil"/>
              <w:left w:val="nil"/>
              <w:bottom w:val="nil"/>
              <w:right w:val="nil"/>
            </w:tcBorders>
          </w:tcPr>
          <w:p w14:paraId="6533AA3E" w14:textId="77777777" w:rsidR="00D048D1" w:rsidRPr="006C3201" w:rsidRDefault="00D048D1">
            <w:pPr>
              <w:spacing w:before="60" w:after="60"/>
              <w:ind w:right="-29"/>
              <w:jc w:val="center"/>
              <w:rPr>
                <w:noProof/>
                <w:sz w:val="18"/>
                <w:szCs w:val="18"/>
              </w:rPr>
            </w:pPr>
          </w:p>
        </w:tc>
        <w:tc>
          <w:tcPr>
            <w:tcW w:w="432" w:type="dxa"/>
            <w:tcBorders>
              <w:top w:val="nil"/>
              <w:left w:val="nil"/>
              <w:bottom w:val="nil"/>
              <w:right w:val="nil"/>
            </w:tcBorders>
          </w:tcPr>
          <w:p w14:paraId="0A16E997"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2C0BE9E6" w14:textId="77777777" w:rsidR="00D048D1" w:rsidRPr="006C3201" w:rsidRDefault="00D048D1">
            <w:pPr>
              <w:spacing w:before="60" w:after="60"/>
              <w:ind w:right="-29"/>
              <w:jc w:val="center"/>
              <w:rPr>
                <w:noProof/>
                <w:sz w:val="18"/>
                <w:szCs w:val="18"/>
              </w:rPr>
            </w:pPr>
          </w:p>
        </w:tc>
        <w:tc>
          <w:tcPr>
            <w:tcW w:w="540" w:type="dxa"/>
            <w:tcBorders>
              <w:top w:val="nil"/>
              <w:left w:val="nil"/>
              <w:bottom w:val="nil"/>
              <w:right w:val="nil"/>
            </w:tcBorders>
          </w:tcPr>
          <w:p w14:paraId="6018DE31"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3510DC23"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62D9F87D" w14:textId="77777777" w:rsidR="00D048D1" w:rsidRPr="006C3201" w:rsidRDefault="00D048D1">
            <w:pPr>
              <w:spacing w:before="60" w:after="60"/>
              <w:ind w:right="-29"/>
              <w:jc w:val="center"/>
              <w:rPr>
                <w:noProof/>
                <w:sz w:val="18"/>
                <w:szCs w:val="18"/>
              </w:rPr>
            </w:pPr>
          </w:p>
        </w:tc>
        <w:tc>
          <w:tcPr>
            <w:tcW w:w="900" w:type="dxa"/>
            <w:tcBorders>
              <w:top w:val="nil"/>
              <w:left w:val="nil"/>
              <w:bottom w:val="nil"/>
              <w:right w:val="nil"/>
            </w:tcBorders>
          </w:tcPr>
          <w:p w14:paraId="5F1EC214" w14:textId="77777777" w:rsidR="00D048D1" w:rsidRPr="006C3201" w:rsidRDefault="00D048D1">
            <w:pPr>
              <w:spacing w:before="60" w:after="60"/>
              <w:ind w:right="-29"/>
              <w:jc w:val="center"/>
              <w:rPr>
                <w:noProof/>
                <w:sz w:val="18"/>
                <w:szCs w:val="18"/>
              </w:rPr>
            </w:pPr>
          </w:p>
        </w:tc>
      </w:tr>
      <w:tr w:rsidR="00E43BAD" w:rsidRPr="006C3201" w14:paraId="4F8D4D3C" w14:textId="77777777">
        <w:trPr>
          <w:trHeight w:hRule="exact" w:val="369"/>
          <w:jc w:val="center"/>
        </w:trPr>
        <w:tc>
          <w:tcPr>
            <w:tcW w:w="1423" w:type="dxa"/>
          </w:tcPr>
          <w:p w14:paraId="6E09D1BA" w14:textId="77777777" w:rsidR="00D048D1" w:rsidRPr="006C3201" w:rsidRDefault="00D048D1">
            <w:pPr>
              <w:ind w:right="-29"/>
              <w:jc w:val="center"/>
              <w:rPr>
                <w:noProof/>
                <w:sz w:val="18"/>
                <w:szCs w:val="18"/>
              </w:rPr>
            </w:pPr>
            <w:r w:rsidRPr="006C3201">
              <w:rPr>
                <w:noProof/>
                <w:sz w:val="18"/>
              </w:rPr>
              <w:t>- Produkt</w:t>
            </w:r>
          </w:p>
        </w:tc>
        <w:tc>
          <w:tcPr>
            <w:tcW w:w="720" w:type="dxa"/>
          </w:tcPr>
          <w:p w14:paraId="09BFB639" w14:textId="77777777" w:rsidR="00D048D1" w:rsidRPr="006C3201" w:rsidRDefault="00D048D1">
            <w:pPr>
              <w:ind w:right="-29"/>
              <w:jc w:val="center"/>
              <w:rPr>
                <w:noProof/>
                <w:sz w:val="18"/>
                <w:szCs w:val="18"/>
              </w:rPr>
            </w:pPr>
          </w:p>
        </w:tc>
        <w:tc>
          <w:tcPr>
            <w:tcW w:w="701" w:type="dxa"/>
          </w:tcPr>
          <w:p w14:paraId="1ABE60AE" w14:textId="77777777" w:rsidR="00D048D1" w:rsidRPr="006C3201" w:rsidRDefault="00D048D1">
            <w:pPr>
              <w:ind w:right="-29"/>
              <w:jc w:val="center"/>
              <w:rPr>
                <w:noProof/>
                <w:sz w:val="18"/>
                <w:szCs w:val="18"/>
              </w:rPr>
            </w:pPr>
          </w:p>
        </w:tc>
        <w:tc>
          <w:tcPr>
            <w:tcW w:w="504" w:type="dxa"/>
            <w:tcBorders>
              <w:right w:val="dashSmallGap" w:sz="4" w:space="0" w:color="auto"/>
            </w:tcBorders>
          </w:tcPr>
          <w:p w14:paraId="148FC0FD" w14:textId="77777777" w:rsidR="00D048D1" w:rsidRPr="006C3201" w:rsidRDefault="00D048D1">
            <w:pPr>
              <w:ind w:right="-29"/>
              <w:jc w:val="center"/>
              <w:rPr>
                <w:noProof/>
                <w:sz w:val="18"/>
                <w:szCs w:val="18"/>
              </w:rPr>
            </w:pPr>
          </w:p>
        </w:tc>
        <w:tc>
          <w:tcPr>
            <w:tcW w:w="720" w:type="dxa"/>
            <w:tcBorders>
              <w:left w:val="dashSmallGap" w:sz="4" w:space="0" w:color="auto"/>
            </w:tcBorders>
          </w:tcPr>
          <w:p w14:paraId="69EB7237" w14:textId="77777777" w:rsidR="00D048D1" w:rsidRPr="006C3201" w:rsidRDefault="00D048D1">
            <w:pPr>
              <w:ind w:right="-29"/>
              <w:jc w:val="center"/>
              <w:rPr>
                <w:noProof/>
                <w:sz w:val="18"/>
                <w:szCs w:val="18"/>
              </w:rPr>
            </w:pPr>
          </w:p>
        </w:tc>
        <w:tc>
          <w:tcPr>
            <w:tcW w:w="540" w:type="dxa"/>
            <w:tcBorders>
              <w:right w:val="dashSmallGap" w:sz="4" w:space="0" w:color="auto"/>
            </w:tcBorders>
          </w:tcPr>
          <w:p w14:paraId="08898CB0" w14:textId="77777777" w:rsidR="00D048D1" w:rsidRPr="006C3201" w:rsidRDefault="00D048D1">
            <w:pPr>
              <w:ind w:right="-29"/>
              <w:jc w:val="center"/>
              <w:rPr>
                <w:noProof/>
                <w:sz w:val="18"/>
                <w:szCs w:val="18"/>
              </w:rPr>
            </w:pPr>
          </w:p>
        </w:tc>
        <w:tc>
          <w:tcPr>
            <w:tcW w:w="720" w:type="dxa"/>
            <w:tcBorders>
              <w:left w:val="dashSmallGap" w:sz="4" w:space="0" w:color="auto"/>
            </w:tcBorders>
          </w:tcPr>
          <w:p w14:paraId="1FE6F436" w14:textId="77777777" w:rsidR="00D048D1" w:rsidRPr="006C3201" w:rsidRDefault="00D048D1">
            <w:pPr>
              <w:ind w:right="-29"/>
              <w:jc w:val="center"/>
              <w:rPr>
                <w:noProof/>
                <w:sz w:val="18"/>
                <w:szCs w:val="18"/>
              </w:rPr>
            </w:pPr>
          </w:p>
        </w:tc>
        <w:tc>
          <w:tcPr>
            <w:tcW w:w="720" w:type="dxa"/>
            <w:tcBorders>
              <w:right w:val="dashSmallGap" w:sz="4" w:space="0" w:color="auto"/>
            </w:tcBorders>
          </w:tcPr>
          <w:p w14:paraId="7A337EE6" w14:textId="77777777" w:rsidR="00D048D1" w:rsidRPr="006C3201" w:rsidRDefault="00D048D1">
            <w:pPr>
              <w:ind w:right="-29"/>
              <w:jc w:val="center"/>
              <w:rPr>
                <w:noProof/>
                <w:sz w:val="18"/>
                <w:szCs w:val="18"/>
              </w:rPr>
            </w:pPr>
          </w:p>
        </w:tc>
        <w:tc>
          <w:tcPr>
            <w:tcW w:w="720" w:type="dxa"/>
            <w:tcBorders>
              <w:left w:val="dashSmallGap" w:sz="4" w:space="0" w:color="auto"/>
            </w:tcBorders>
          </w:tcPr>
          <w:p w14:paraId="2498421B" w14:textId="77777777" w:rsidR="00D048D1" w:rsidRPr="006C3201" w:rsidRDefault="00D048D1">
            <w:pPr>
              <w:ind w:right="-29"/>
              <w:jc w:val="center"/>
              <w:rPr>
                <w:noProof/>
                <w:sz w:val="18"/>
                <w:szCs w:val="18"/>
              </w:rPr>
            </w:pPr>
          </w:p>
        </w:tc>
        <w:tc>
          <w:tcPr>
            <w:tcW w:w="900" w:type="dxa"/>
            <w:tcBorders>
              <w:right w:val="dashSmallGap" w:sz="4" w:space="0" w:color="auto"/>
            </w:tcBorders>
          </w:tcPr>
          <w:p w14:paraId="002CC5BA" w14:textId="77777777" w:rsidR="00D048D1" w:rsidRPr="006C3201" w:rsidRDefault="00D048D1">
            <w:pPr>
              <w:ind w:right="-29"/>
              <w:jc w:val="center"/>
              <w:rPr>
                <w:noProof/>
                <w:sz w:val="18"/>
                <w:szCs w:val="18"/>
              </w:rPr>
            </w:pPr>
          </w:p>
        </w:tc>
        <w:tc>
          <w:tcPr>
            <w:tcW w:w="720" w:type="dxa"/>
            <w:gridSpan w:val="2"/>
            <w:tcBorders>
              <w:left w:val="dashSmallGap" w:sz="4" w:space="0" w:color="auto"/>
            </w:tcBorders>
          </w:tcPr>
          <w:p w14:paraId="50AA21B9" w14:textId="77777777" w:rsidR="00D048D1" w:rsidRPr="006C3201" w:rsidRDefault="00D048D1">
            <w:pPr>
              <w:ind w:right="-29"/>
              <w:jc w:val="center"/>
              <w:rPr>
                <w:noProof/>
                <w:sz w:val="18"/>
                <w:szCs w:val="18"/>
              </w:rPr>
            </w:pPr>
          </w:p>
        </w:tc>
        <w:tc>
          <w:tcPr>
            <w:tcW w:w="540" w:type="dxa"/>
            <w:tcBorders>
              <w:right w:val="dashSmallGap" w:sz="4" w:space="0" w:color="auto"/>
            </w:tcBorders>
          </w:tcPr>
          <w:p w14:paraId="29DC960B" w14:textId="77777777" w:rsidR="00D048D1" w:rsidRPr="006C3201" w:rsidRDefault="00D048D1">
            <w:pPr>
              <w:ind w:right="-29"/>
              <w:jc w:val="center"/>
              <w:rPr>
                <w:noProof/>
                <w:sz w:val="18"/>
                <w:szCs w:val="18"/>
              </w:rPr>
            </w:pPr>
          </w:p>
        </w:tc>
        <w:tc>
          <w:tcPr>
            <w:tcW w:w="648" w:type="dxa"/>
            <w:tcBorders>
              <w:left w:val="dashSmallGap" w:sz="4" w:space="0" w:color="auto"/>
            </w:tcBorders>
          </w:tcPr>
          <w:p w14:paraId="0E74F213" w14:textId="77777777" w:rsidR="00D048D1" w:rsidRPr="006C3201" w:rsidRDefault="00D048D1">
            <w:pPr>
              <w:ind w:right="-29"/>
              <w:jc w:val="center"/>
              <w:rPr>
                <w:noProof/>
                <w:sz w:val="18"/>
                <w:szCs w:val="18"/>
              </w:rPr>
            </w:pPr>
          </w:p>
        </w:tc>
        <w:tc>
          <w:tcPr>
            <w:tcW w:w="432" w:type="dxa"/>
            <w:tcBorders>
              <w:right w:val="dashSmallGap" w:sz="4" w:space="0" w:color="auto"/>
            </w:tcBorders>
          </w:tcPr>
          <w:p w14:paraId="377780B8" w14:textId="77777777" w:rsidR="00D048D1" w:rsidRPr="006C3201" w:rsidRDefault="00D048D1">
            <w:pPr>
              <w:ind w:right="-29"/>
              <w:jc w:val="center"/>
              <w:rPr>
                <w:noProof/>
                <w:sz w:val="18"/>
                <w:szCs w:val="18"/>
              </w:rPr>
            </w:pPr>
          </w:p>
        </w:tc>
        <w:tc>
          <w:tcPr>
            <w:tcW w:w="720" w:type="dxa"/>
            <w:tcBorders>
              <w:left w:val="dashSmallGap" w:sz="4" w:space="0" w:color="auto"/>
            </w:tcBorders>
          </w:tcPr>
          <w:p w14:paraId="7E91E70F" w14:textId="77777777" w:rsidR="00D048D1" w:rsidRPr="006C3201" w:rsidRDefault="00D048D1">
            <w:pPr>
              <w:ind w:right="-29"/>
              <w:jc w:val="center"/>
              <w:rPr>
                <w:noProof/>
                <w:sz w:val="18"/>
                <w:szCs w:val="18"/>
              </w:rPr>
            </w:pPr>
          </w:p>
        </w:tc>
        <w:tc>
          <w:tcPr>
            <w:tcW w:w="540" w:type="dxa"/>
            <w:tcBorders>
              <w:right w:val="dashSmallGap" w:sz="4" w:space="0" w:color="auto"/>
            </w:tcBorders>
          </w:tcPr>
          <w:p w14:paraId="3E5A30F2" w14:textId="77777777" w:rsidR="00D048D1" w:rsidRPr="006C3201" w:rsidRDefault="00D048D1">
            <w:pPr>
              <w:ind w:right="-29"/>
              <w:jc w:val="center"/>
              <w:rPr>
                <w:noProof/>
                <w:sz w:val="18"/>
                <w:szCs w:val="18"/>
              </w:rPr>
            </w:pPr>
          </w:p>
        </w:tc>
        <w:tc>
          <w:tcPr>
            <w:tcW w:w="720" w:type="dxa"/>
            <w:tcBorders>
              <w:left w:val="dashSmallGap" w:sz="4" w:space="0" w:color="auto"/>
            </w:tcBorders>
          </w:tcPr>
          <w:p w14:paraId="25148F8E" w14:textId="77777777" w:rsidR="00D048D1" w:rsidRPr="006C3201" w:rsidRDefault="00D048D1">
            <w:pPr>
              <w:ind w:right="-29"/>
              <w:jc w:val="center"/>
              <w:rPr>
                <w:noProof/>
                <w:sz w:val="18"/>
                <w:szCs w:val="18"/>
              </w:rPr>
            </w:pPr>
          </w:p>
        </w:tc>
        <w:tc>
          <w:tcPr>
            <w:tcW w:w="720" w:type="dxa"/>
          </w:tcPr>
          <w:p w14:paraId="20D3F3AF" w14:textId="77777777" w:rsidR="00D048D1" w:rsidRPr="006C3201" w:rsidRDefault="00D048D1">
            <w:pPr>
              <w:ind w:right="-29"/>
              <w:jc w:val="center"/>
              <w:rPr>
                <w:noProof/>
                <w:sz w:val="18"/>
                <w:szCs w:val="18"/>
              </w:rPr>
            </w:pPr>
          </w:p>
        </w:tc>
        <w:tc>
          <w:tcPr>
            <w:tcW w:w="900" w:type="dxa"/>
          </w:tcPr>
          <w:p w14:paraId="7E3843C8" w14:textId="77777777" w:rsidR="00D048D1" w:rsidRPr="006C3201" w:rsidRDefault="00D048D1">
            <w:pPr>
              <w:ind w:right="-29"/>
              <w:jc w:val="center"/>
              <w:rPr>
                <w:noProof/>
                <w:sz w:val="18"/>
                <w:szCs w:val="18"/>
              </w:rPr>
            </w:pPr>
          </w:p>
        </w:tc>
      </w:tr>
      <w:tr w:rsidR="00E43BAD" w:rsidRPr="006C3201" w14:paraId="19B3148B" w14:textId="77777777">
        <w:trPr>
          <w:trHeight w:hRule="exact" w:val="369"/>
          <w:jc w:val="center"/>
        </w:trPr>
        <w:tc>
          <w:tcPr>
            <w:tcW w:w="1423" w:type="dxa"/>
          </w:tcPr>
          <w:p w14:paraId="7AD8E11E" w14:textId="77777777" w:rsidR="00D048D1" w:rsidRPr="006C3201" w:rsidRDefault="00D048D1">
            <w:pPr>
              <w:ind w:right="-29"/>
              <w:jc w:val="center"/>
              <w:rPr>
                <w:noProof/>
                <w:sz w:val="18"/>
                <w:szCs w:val="18"/>
              </w:rPr>
            </w:pPr>
            <w:r w:rsidRPr="006C3201">
              <w:rPr>
                <w:noProof/>
                <w:sz w:val="18"/>
              </w:rPr>
              <w:t>- Produkt</w:t>
            </w:r>
          </w:p>
        </w:tc>
        <w:tc>
          <w:tcPr>
            <w:tcW w:w="720" w:type="dxa"/>
          </w:tcPr>
          <w:p w14:paraId="6D41326F" w14:textId="77777777" w:rsidR="00D048D1" w:rsidRPr="006C3201" w:rsidRDefault="00D048D1">
            <w:pPr>
              <w:ind w:right="-29"/>
              <w:jc w:val="center"/>
              <w:rPr>
                <w:noProof/>
                <w:sz w:val="18"/>
                <w:szCs w:val="18"/>
              </w:rPr>
            </w:pPr>
          </w:p>
        </w:tc>
        <w:tc>
          <w:tcPr>
            <w:tcW w:w="701" w:type="dxa"/>
          </w:tcPr>
          <w:p w14:paraId="7938B3F2" w14:textId="77777777" w:rsidR="00D048D1" w:rsidRPr="006C3201" w:rsidRDefault="00D048D1">
            <w:pPr>
              <w:ind w:right="-29"/>
              <w:jc w:val="center"/>
              <w:rPr>
                <w:noProof/>
                <w:sz w:val="18"/>
                <w:szCs w:val="18"/>
              </w:rPr>
            </w:pPr>
          </w:p>
        </w:tc>
        <w:tc>
          <w:tcPr>
            <w:tcW w:w="504" w:type="dxa"/>
            <w:tcBorders>
              <w:right w:val="dashSmallGap" w:sz="4" w:space="0" w:color="auto"/>
            </w:tcBorders>
          </w:tcPr>
          <w:p w14:paraId="0F5C5336" w14:textId="77777777" w:rsidR="00D048D1" w:rsidRPr="006C3201" w:rsidRDefault="00D048D1">
            <w:pPr>
              <w:ind w:right="-29"/>
              <w:jc w:val="center"/>
              <w:rPr>
                <w:noProof/>
                <w:sz w:val="18"/>
                <w:szCs w:val="18"/>
              </w:rPr>
            </w:pPr>
          </w:p>
        </w:tc>
        <w:tc>
          <w:tcPr>
            <w:tcW w:w="720" w:type="dxa"/>
            <w:tcBorders>
              <w:left w:val="dashSmallGap" w:sz="4" w:space="0" w:color="auto"/>
            </w:tcBorders>
          </w:tcPr>
          <w:p w14:paraId="63F101AD" w14:textId="77777777" w:rsidR="00D048D1" w:rsidRPr="006C3201" w:rsidRDefault="00D048D1">
            <w:pPr>
              <w:ind w:right="-29"/>
              <w:jc w:val="center"/>
              <w:rPr>
                <w:noProof/>
                <w:sz w:val="18"/>
                <w:szCs w:val="18"/>
              </w:rPr>
            </w:pPr>
          </w:p>
        </w:tc>
        <w:tc>
          <w:tcPr>
            <w:tcW w:w="540" w:type="dxa"/>
            <w:tcBorders>
              <w:right w:val="dashSmallGap" w:sz="4" w:space="0" w:color="auto"/>
            </w:tcBorders>
          </w:tcPr>
          <w:p w14:paraId="2FDA397E" w14:textId="77777777" w:rsidR="00D048D1" w:rsidRPr="006C3201" w:rsidRDefault="00D048D1">
            <w:pPr>
              <w:ind w:right="-29"/>
              <w:jc w:val="center"/>
              <w:rPr>
                <w:noProof/>
                <w:sz w:val="18"/>
                <w:szCs w:val="18"/>
              </w:rPr>
            </w:pPr>
          </w:p>
        </w:tc>
        <w:tc>
          <w:tcPr>
            <w:tcW w:w="720" w:type="dxa"/>
            <w:tcBorders>
              <w:left w:val="dashSmallGap" w:sz="4" w:space="0" w:color="auto"/>
            </w:tcBorders>
          </w:tcPr>
          <w:p w14:paraId="61DC62F9" w14:textId="77777777" w:rsidR="00D048D1" w:rsidRPr="006C3201" w:rsidRDefault="00D048D1">
            <w:pPr>
              <w:ind w:right="-29"/>
              <w:jc w:val="center"/>
              <w:rPr>
                <w:noProof/>
                <w:sz w:val="18"/>
                <w:szCs w:val="18"/>
              </w:rPr>
            </w:pPr>
          </w:p>
        </w:tc>
        <w:tc>
          <w:tcPr>
            <w:tcW w:w="720" w:type="dxa"/>
            <w:tcBorders>
              <w:right w:val="dashSmallGap" w:sz="4" w:space="0" w:color="auto"/>
            </w:tcBorders>
          </w:tcPr>
          <w:p w14:paraId="5ECDE03E" w14:textId="77777777" w:rsidR="00D048D1" w:rsidRPr="006C3201" w:rsidRDefault="00D048D1">
            <w:pPr>
              <w:ind w:right="-29"/>
              <w:jc w:val="center"/>
              <w:rPr>
                <w:noProof/>
                <w:sz w:val="18"/>
                <w:szCs w:val="18"/>
              </w:rPr>
            </w:pPr>
          </w:p>
        </w:tc>
        <w:tc>
          <w:tcPr>
            <w:tcW w:w="720" w:type="dxa"/>
            <w:tcBorders>
              <w:left w:val="dashSmallGap" w:sz="4" w:space="0" w:color="auto"/>
            </w:tcBorders>
          </w:tcPr>
          <w:p w14:paraId="1B20990C" w14:textId="77777777" w:rsidR="00D048D1" w:rsidRPr="006C3201" w:rsidRDefault="00D048D1">
            <w:pPr>
              <w:ind w:right="-29"/>
              <w:jc w:val="center"/>
              <w:rPr>
                <w:noProof/>
                <w:sz w:val="18"/>
                <w:szCs w:val="18"/>
              </w:rPr>
            </w:pPr>
          </w:p>
        </w:tc>
        <w:tc>
          <w:tcPr>
            <w:tcW w:w="900" w:type="dxa"/>
            <w:tcBorders>
              <w:right w:val="dashSmallGap" w:sz="4" w:space="0" w:color="auto"/>
            </w:tcBorders>
          </w:tcPr>
          <w:p w14:paraId="4C9C11C3" w14:textId="77777777" w:rsidR="00D048D1" w:rsidRPr="006C3201" w:rsidRDefault="00D048D1">
            <w:pPr>
              <w:ind w:right="-29"/>
              <w:jc w:val="center"/>
              <w:rPr>
                <w:noProof/>
                <w:sz w:val="18"/>
                <w:szCs w:val="18"/>
              </w:rPr>
            </w:pPr>
          </w:p>
        </w:tc>
        <w:tc>
          <w:tcPr>
            <w:tcW w:w="720" w:type="dxa"/>
            <w:gridSpan w:val="2"/>
            <w:tcBorders>
              <w:left w:val="dashSmallGap" w:sz="4" w:space="0" w:color="auto"/>
            </w:tcBorders>
          </w:tcPr>
          <w:p w14:paraId="1A624CB8" w14:textId="77777777" w:rsidR="00D048D1" w:rsidRPr="006C3201" w:rsidRDefault="00D048D1">
            <w:pPr>
              <w:ind w:right="-29"/>
              <w:jc w:val="center"/>
              <w:rPr>
                <w:noProof/>
                <w:sz w:val="18"/>
                <w:szCs w:val="18"/>
              </w:rPr>
            </w:pPr>
          </w:p>
        </w:tc>
        <w:tc>
          <w:tcPr>
            <w:tcW w:w="540" w:type="dxa"/>
            <w:tcBorders>
              <w:right w:val="dashSmallGap" w:sz="4" w:space="0" w:color="auto"/>
            </w:tcBorders>
          </w:tcPr>
          <w:p w14:paraId="4825F161" w14:textId="77777777" w:rsidR="00D048D1" w:rsidRPr="006C3201" w:rsidRDefault="00D048D1">
            <w:pPr>
              <w:ind w:right="-29"/>
              <w:jc w:val="center"/>
              <w:rPr>
                <w:noProof/>
                <w:sz w:val="18"/>
                <w:szCs w:val="18"/>
              </w:rPr>
            </w:pPr>
          </w:p>
        </w:tc>
        <w:tc>
          <w:tcPr>
            <w:tcW w:w="648" w:type="dxa"/>
            <w:tcBorders>
              <w:left w:val="dashSmallGap" w:sz="4" w:space="0" w:color="auto"/>
            </w:tcBorders>
          </w:tcPr>
          <w:p w14:paraId="72A9FB77" w14:textId="77777777" w:rsidR="00D048D1" w:rsidRPr="006C3201" w:rsidRDefault="00D048D1">
            <w:pPr>
              <w:ind w:right="-29"/>
              <w:jc w:val="center"/>
              <w:rPr>
                <w:noProof/>
                <w:sz w:val="18"/>
                <w:szCs w:val="18"/>
              </w:rPr>
            </w:pPr>
          </w:p>
        </w:tc>
        <w:tc>
          <w:tcPr>
            <w:tcW w:w="432" w:type="dxa"/>
            <w:tcBorders>
              <w:right w:val="dashSmallGap" w:sz="4" w:space="0" w:color="auto"/>
            </w:tcBorders>
          </w:tcPr>
          <w:p w14:paraId="7E20ED47" w14:textId="77777777" w:rsidR="00D048D1" w:rsidRPr="006C3201" w:rsidRDefault="00D048D1">
            <w:pPr>
              <w:ind w:right="-29"/>
              <w:jc w:val="center"/>
              <w:rPr>
                <w:noProof/>
                <w:sz w:val="18"/>
                <w:szCs w:val="18"/>
              </w:rPr>
            </w:pPr>
          </w:p>
        </w:tc>
        <w:tc>
          <w:tcPr>
            <w:tcW w:w="720" w:type="dxa"/>
            <w:tcBorders>
              <w:left w:val="dashSmallGap" w:sz="4" w:space="0" w:color="auto"/>
            </w:tcBorders>
          </w:tcPr>
          <w:p w14:paraId="503BB01B" w14:textId="77777777" w:rsidR="00D048D1" w:rsidRPr="006C3201" w:rsidRDefault="00D048D1">
            <w:pPr>
              <w:ind w:right="-29"/>
              <w:jc w:val="center"/>
              <w:rPr>
                <w:noProof/>
                <w:sz w:val="18"/>
                <w:szCs w:val="18"/>
              </w:rPr>
            </w:pPr>
          </w:p>
        </w:tc>
        <w:tc>
          <w:tcPr>
            <w:tcW w:w="540" w:type="dxa"/>
            <w:tcBorders>
              <w:right w:val="dashSmallGap" w:sz="4" w:space="0" w:color="auto"/>
            </w:tcBorders>
          </w:tcPr>
          <w:p w14:paraId="1CDFEAA1" w14:textId="77777777" w:rsidR="00D048D1" w:rsidRPr="006C3201" w:rsidRDefault="00D048D1">
            <w:pPr>
              <w:ind w:right="-29"/>
              <w:jc w:val="center"/>
              <w:rPr>
                <w:noProof/>
                <w:sz w:val="18"/>
                <w:szCs w:val="18"/>
              </w:rPr>
            </w:pPr>
          </w:p>
        </w:tc>
        <w:tc>
          <w:tcPr>
            <w:tcW w:w="720" w:type="dxa"/>
            <w:tcBorders>
              <w:left w:val="dashSmallGap" w:sz="4" w:space="0" w:color="auto"/>
            </w:tcBorders>
          </w:tcPr>
          <w:p w14:paraId="5538EEC4" w14:textId="77777777" w:rsidR="00D048D1" w:rsidRPr="006C3201" w:rsidRDefault="00D048D1">
            <w:pPr>
              <w:ind w:right="-29"/>
              <w:jc w:val="center"/>
              <w:rPr>
                <w:noProof/>
                <w:sz w:val="18"/>
                <w:szCs w:val="18"/>
              </w:rPr>
            </w:pPr>
          </w:p>
        </w:tc>
        <w:tc>
          <w:tcPr>
            <w:tcW w:w="720" w:type="dxa"/>
          </w:tcPr>
          <w:p w14:paraId="042CAB99" w14:textId="77777777" w:rsidR="00D048D1" w:rsidRPr="006C3201" w:rsidRDefault="00D048D1">
            <w:pPr>
              <w:ind w:right="-29"/>
              <w:jc w:val="center"/>
              <w:rPr>
                <w:noProof/>
                <w:sz w:val="18"/>
                <w:szCs w:val="18"/>
              </w:rPr>
            </w:pPr>
          </w:p>
        </w:tc>
        <w:tc>
          <w:tcPr>
            <w:tcW w:w="900" w:type="dxa"/>
          </w:tcPr>
          <w:p w14:paraId="40BFD09E" w14:textId="77777777" w:rsidR="00D048D1" w:rsidRPr="006C3201" w:rsidRDefault="00D048D1">
            <w:pPr>
              <w:ind w:right="-29"/>
              <w:jc w:val="center"/>
              <w:rPr>
                <w:noProof/>
                <w:sz w:val="18"/>
                <w:szCs w:val="18"/>
              </w:rPr>
            </w:pPr>
          </w:p>
        </w:tc>
      </w:tr>
      <w:tr w:rsidR="00E43BAD" w:rsidRPr="006C3201" w14:paraId="30E8F8E3" w14:textId="77777777">
        <w:trPr>
          <w:trHeight w:hRule="exact" w:val="369"/>
          <w:jc w:val="center"/>
        </w:trPr>
        <w:tc>
          <w:tcPr>
            <w:tcW w:w="1423" w:type="dxa"/>
          </w:tcPr>
          <w:p w14:paraId="0627D57E" w14:textId="77777777" w:rsidR="00D048D1" w:rsidRPr="006C3201" w:rsidRDefault="00D048D1">
            <w:pPr>
              <w:ind w:right="-29"/>
              <w:jc w:val="center"/>
              <w:rPr>
                <w:noProof/>
                <w:sz w:val="18"/>
                <w:szCs w:val="18"/>
              </w:rPr>
            </w:pPr>
            <w:r w:rsidRPr="006C3201">
              <w:rPr>
                <w:noProof/>
                <w:sz w:val="18"/>
              </w:rPr>
              <w:t>- Produkt</w:t>
            </w:r>
          </w:p>
        </w:tc>
        <w:tc>
          <w:tcPr>
            <w:tcW w:w="720" w:type="dxa"/>
          </w:tcPr>
          <w:p w14:paraId="4135F0B4" w14:textId="77777777" w:rsidR="00D048D1" w:rsidRPr="006C3201" w:rsidRDefault="00D048D1">
            <w:pPr>
              <w:ind w:right="-29"/>
              <w:jc w:val="center"/>
              <w:rPr>
                <w:noProof/>
                <w:sz w:val="18"/>
                <w:szCs w:val="18"/>
              </w:rPr>
            </w:pPr>
          </w:p>
        </w:tc>
        <w:tc>
          <w:tcPr>
            <w:tcW w:w="701" w:type="dxa"/>
          </w:tcPr>
          <w:p w14:paraId="4D60107E" w14:textId="77777777" w:rsidR="00D048D1" w:rsidRPr="006C3201" w:rsidRDefault="00D048D1">
            <w:pPr>
              <w:ind w:right="-29"/>
              <w:jc w:val="center"/>
              <w:rPr>
                <w:noProof/>
                <w:sz w:val="18"/>
                <w:szCs w:val="18"/>
              </w:rPr>
            </w:pPr>
          </w:p>
        </w:tc>
        <w:tc>
          <w:tcPr>
            <w:tcW w:w="504" w:type="dxa"/>
          </w:tcPr>
          <w:p w14:paraId="79658936" w14:textId="77777777" w:rsidR="00D048D1" w:rsidRPr="006C3201" w:rsidRDefault="00D048D1">
            <w:pPr>
              <w:ind w:right="-29"/>
              <w:jc w:val="center"/>
              <w:rPr>
                <w:noProof/>
                <w:sz w:val="18"/>
                <w:szCs w:val="18"/>
              </w:rPr>
            </w:pPr>
          </w:p>
        </w:tc>
        <w:tc>
          <w:tcPr>
            <w:tcW w:w="720" w:type="dxa"/>
          </w:tcPr>
          <w:p w14:paraId="474DDBD8" w14:textId="77777777" w:rsidR="00D048D1" w:rsidRPr="006C3201" w:rsidRDefault="00D048D1">
            <w:pPr>
              <w:ind w:right="-29"/>
              <w:jc w:val="center"/>
              <w:rPr>
                <w:noProof/>
                <w:sz w:val="18"/>
                <w:szCs w:val="18"/>
              </w:rPr>
            </w:pPr>
          </w:p>
        </w:tc>
        <w:tc>
          <w:tcPr>
            <w:tcW w:w="540" w:type="dxa"/>
          </w:tcPr>
          <w:p w14:paraId="10F7D7CC" w14:textId="77777777" w:rsidR="00D048D1" w:rsidRPr="006C3201" w:rsidRDefault="00D048D1">
            <w:pPr>
              <w:ind w:right="-29"/>
              <w:jc w:val="center"/>
              <w:rPr>
                <w:noProof/>
                <w:sz w:val="18"/>
                <w:szCs w:val="18"/>
              </w:rPr>
            </w:pPr>
          </w:p>
        </w:tc>
        <w:tc>
          <w:tcPr>
            <w:tcW w:w="720" w:type="dxa"/>
          </w:tcPr>
          <w:p w14:paraId="0F1E56EC" w14:textId="77777777" w:rsidR="00D048D1" w:rsidRPr="006C3201" w:rsidRDefault="00D048D1">
            <w:pPr>
              <w:ind w:right="-29"/>
              <w:jc w:val="center"/>
              <w:rPr>
                <w:noProof/>
                <w:sz w:val="18"/>
                <w:szCs w:val="18"/>
              </w:rPr>
            </w:pPr>
          </w:p>
        </w:tc>
        <w:tc>
          <w:tcPr>
            <w:tcW w:w="720" w:type="dxa"/>
          </w:tcPr>
          <w:p w14:paraId="19F95CDA" w14:textId="77777777" w:rsidR="00D048D1" w:rsidRPr="006C3201" w:rsidRDefault="00D048D1">
            <w:pPr>
              <w:ind w:right="-29"/>
              <w:jc w:val="center"/>
              <w:rPr>
                <w:noProof/>
                <w:sz w:val="18"/>
                <w:szCs w:val="18"/>
              </w:rPr>
            </w:pPr>
          </w:p>
        </w:tc>
        <w:tc>
          <w:tcPr>
            <w:tcW w:w="720" w:type="dxa"/>
          </w:tcPr>
          <w:p w14:paraId="0E6BC4C1" w14:textId="77777777" w:rsidR="00D048D1" w:rsidRPr="006C3201" w:rsidRDefault="00D048D1">
            <w:pPr>
              <w:ind w:right="-29"/>
              <w:jc w:val="center"/>
              <w:rPr>
                <w:noProof/>
                <w:sz w:val="18"/>
                <w:szCs w:val="18"/>
              </w:rPr>
            </w:pPr>
          </w:p>
        </w:tc>
        <w:tc>
          <w:tcPr>
            <w:tcW w:w="900" w:type="dxa"/>
          </w:tcPr>
          <w:p w14:paraId="5767E45F" w14:textId="77777777" w:rsidR="00D048D1" w:rsidRPr="006C3201" w:rsidRDefault="00D048D1">
            <w:pPr>
              <w:ind w:right="-29"/>
              <w:jc w:val="center"/>
              <w:rPr>
                <w:noProof/>
                <w:sz w:val="18"/>
                <w:szCs w:val="18"/>
              </w:rPr>
            </w:pPr>
          </w:p>
        </w:tc>
        <w:tc>
          <w:tcPr>
            <w:tcW w:w="720" w:type="dxa"/>
            <w:gridSpan w:val="2"/>
          </w:tcPr>
          <w:p w14:paraId="47B0FC8F" w14:textId="77777777" w:rsidR="00D048D1" w:rsidRPr="006C3201" w:rsidRDefault="00D048D1">
            <w:pPr>
              <w:ind w:right="-29"/>
              <w:jc w:val="center"/>
              <w:rPr>
                <w:noProof/>
                <w:sz w:val="18"/>
                <w:szCs w:val="18"/>
              </w:rPr>
            </w:pPr>
          </w:p>
        </w:tc>
        <w:tc>
          <w:tcPr>
            <w:tcW w:w="540" w:type="dxa"/>
          </w:tcPr>
          <w:p w14:paraId="6BD5D0F0" w14:textId="77777777" w:rsidR="00D048D1" w:rsidRPr="006C3201" w:rsidRDefault="00D048D1">
            <w:pPr>
              <w:ind w:right="-29"/>
              <w:jc w:val="center"/>
              <w:rPr>
                <w:noProof/>
                <w:sz w:val="18"/>
                <w:szCs w:val="18"/>
              </w:rPr>
            </w:pPr>
          </w:p>
        </w:tc>
        <w:tc>
          <w:tcPr>
            <w:tcW w:w="648" w:type="dxa"/>
          </w:tcPr>
          <w:p w14:paraId="04BD82F9" w14:textId="77777777" w:rsidR="00D048D1" w:rsidRPr="006C3201" w:rsidRDefault="00D048D1">
            <w:pPr>
              <w:ind w:right="-29"/>
              <w:jc w:val="center"/>
              <w:rPr>
                <w:noProof/>
                <w:sz w:val="18"/>
                <w:szCs w:val="18"/>
              </w:rPr>
            </w:pPr>
          </w:p>
        </w:tc>
        <w:tc>
          <w:tcPr>
            <w:tcW w:w="432" w:type="dxa"/>
          </w:tcPr>
          <w:p w14:paraId="755640A1" w14:textId="77777777" w:rsidR="00D048D1" w:rsidRPr="006C3201" w:rsidRDefault="00D048D1">
            <w:pPr>
              <w:ind w:right="-29"/>
              <w:jc w:val="center"/>
              <w:rPr>
                <w:noProof/>
                <w:sz w:val="18"/>
                <w:szCs w:val="18"/>
              </w:rPr>
            </w:pPr>
          </w:p>
        </w:tc>
        <w:tc>
          <w:tcPr>
            <w:tcW w:w="720" w:type="dxa"/>
          </w:tcPr>
          <w:p w14:paraId="08FA46D8" w14:textId="77777777" w:rsidR="00D048D1" w:rsidRPr="006C3201" w:rsidRDefault="00D048D1">
            <w:pPr>
              <w:ind w:right="-29"/>
              <w:jc w:val="center"/>
              <w:rPr>
                <w:noProof/>
                <w:sz w:val="18"/>
                <w:szCs w:val="18"/>
              </w:rPr>
            </w:pPr>
          </w:p>
        </w:tc>
        <w:tc>
          <w:tcPr>
            <w:tcW w:w="540" w:type="dxa"/>
          </w:tcPr>
          <w:p w14:paraId="047C84BE" w14:textId="77777777" w:rsidR="00D048D1" w:rsidRPr="006C3201" w:rsidRDefault="00D048D1">
            <w:pPr>
              <w:ind w:right="-29"/>
              <w:jc w:val="center"/>
              <w:rPr>
                <w:noProof/>
                <w:sz w:val="18"/>
                <w:szCs w:val="18"/>
              </w:rPr>
            </w:pPr>
          </w:p>
        </w:tc>
        <w:tc>
          <w:tcPr>
            <w:tcW w:w="720" w:type="dxa"/>
          </w:tcPr>
          <w:p w14:paraId="37FD304F" w14:textId="77777777" w:rsidR="00D048D1" w:rsidRPr="006C3201" w:rsidRDefault="00D048D1">
            <w:pPr>
              <w:ind w:right="-29"/>
              <w:jc w:val="center"/>
              <w:rPr>
                <w:noProof/>
                <w:sz w:val="18"/>
                <w:szCs w:val="18"/>
              </w:rPr>
            </w:pPr>
          </w:p>
        </w:tc>
        <w:tc>
          <w:tcPr>
            <w:tcW w:w="720" w:type="dxa"/>
          </w:tcPr>
          <w:p w14:paraId="073324E3" w14:textId="77777777" w:rsidR="00D048D1" w:rsidRPr="006C3201" w:rsidRDefault="00D048D1">
            <w:pPr>
              <w:ind w:right="-29"/>
              <w:jc w:val="center"/>
              <w:rPr>
                <w:noProof/>
                <w:sz w:val="18"/>
                <w:szCs w:val="18"/>
              </w:rPr>
            </w:pPr>
          </w:p>
        </w:tc>
        <w:tc>
          <w:tcPr>
            <w:tcW w:w="900" w:type="dxa"/>
          </w:tcPr>
          <w:p w14:paraId="501AD84E" w14:textId="77777777" w:rsidR="00D048D1" w:rsidRPr="006C3201" w:rsidRDefault="00D048D1">
            <w:pPr>
              <w:ind w:right="-29"/>
              <w:jc w:val="center"/>
              <w:rPr>
                <w:noProof/>
                <w:sz w:val="18"/>
                <w:szCs w:val="18"/>
              </w:rPr>
            </w:pPr>
          </w:p>
        </w:tc>
      </w:tr>
      <w:tr w:rsidR="00E43BAD" w:rsidRPr="006C3201" w14:paraId="2A5EFE58" w14:textId="77777777">
        <w:trPr>
          <w:trHeight w:val="77"/>
          <w:jc w:val="center"/>
        </w:trPr>
        <w:tc>
          <w:tcPr>
            <w:tcW w:w="2844" w:type="dxa"/>
            <w:gridSpan w:val="3"/>
            <w:tcBorders>
              <w:bottom w:val="single" w:sz="12" w:space="0" w:color="auto"/>
            </w:tcBorders>
            <w:vAlign w:val="center"/>
          </w:tcPr>
          <w:p w14:paraId="74A0DA0E" w14:textId="77777777" w:rsidR="00D048D1" w:rsidRPr="006C3201" w:rsidRDefault="00D048D1">
            <w:pPr>
              <w:ind w:right="-29"/>
              <w:jc w:val="center"/>
              <w:rPr>
                <w:noProof/>
                <w:sz w:val="18"/>
                <w:szCs w:val="18"/>
              </w:rPr>
            </w:pPr>
            <w:r w:rsidRPr="006C3201">
              <w:rPr>
                <w:noProof/>
                <w:sz w:val="18"/>
              </w:rPr>
              <w:t xml:space="preserve">Cel szczegółowy </w:t>
            </w:r>
            <w:r w:rsidRPr="00110A93">
              <w:rPr>
                <w:noProof/>
                <w:sz w:val="18"/>
              </w:rPr>
              <w:t>nr</w:t>
            </w:r>
            <w:r w:rsidR="00110A93" w:rsidRPr="00110A93">
              <w:rPr>
                <w:noProof/>
                <w:sz w:val="18"/>
              </w:rPr>
              <w:t> </w:t>
            </w:r>
            <w:r w:rsidRPr="00110A93">
              <w:rPr>
                <w:noProof/>
                <w:sz w:val="18"/>
              </w:rPr>
              <w:t>1</w:t>
            </w:r>
            <w:r w:rsidRPr="006C3201">
              <w:rPr>
                <w:noProof/>
                <w:sz w:val="18"/>
              </w:rPr>
              <w:t xml:space="preserve"> – suma cząstkowa</w:t>
            </w:r>
          </w:p>
        </w:tc>
        <w:tc>
          <w:tcPr>
            <w:tcW w:w="504" w:type="dxa"/>
            <w:tcBorders>
              <w:bottom w:val="single" w:sz="12" w:space="0" w:color="auto"/>
            </w:tcBorders>
          </w:tcPr>
          <w:p w14:paraId="59DA30C3" w14:textId="77777777" w:rsidR="00D048D1" w:rsidRPr="006C3201" w:rsidRDefault="00D048D1">
            <w:pPr>
              <w:ind w:right="-29"/>
              <w:jc w:val="center"/>
              <w:rPr>
                <w:noProof/>
                <w:sz w:val="18"/>
                <w:szCs w:val="18"/>
              </w:rPr>
            </w:pPr>
          </w:p>
        </w:tc>
        <w:tc>
          <w:tcPr>
            <w:tcW w:w="720" w:type="dxa"/>
            <w:tcBorders>
              <w:bottom w:val="single" w:sz="12" w:space="0" w:color="auto"/>
            </w:tcBorders>
          </w:tcPr>
          <w:p w14:paraId="228D956A" w14:textId="77777777" w:rsidR="00D048D1" w:rsidRPr="006C3201" w:rsidRDefault="00D048D1">
            <w:pPr>
              <w:ind w:right="-29"/>
              <w:jc w:val="center"/>
              <w:rPr>
                <w:noProof/>
                <w:sz w:val="18"/>
                <w:szCs w:val="18"/>
              </w:rPr>
            </w:pPr>
          </w:p>
        </w:tc>
        <w:tc>
          <w:tcPr>
            <w:tcW w:w="540" w:type="dxa"/>
            <w:tcBorders>
              <w:bottom w:val="single" w:sz="12" w:space="0" w:color="auto"/>
            </w:tcBorders>
          </w:tcPr>
          <w:p w14:paraId="2CA9BE8E" w14:textId="77777777" w:rsidR="00D048D1" w:rsidRPr="006C3201" w:rsidRDefault="00D048D1">
            <w:pPr>
              <w:ind w:right="-29"/>
              <w:jc w:val="center"/>
              <w:rPr>
                <w:noProof/>
                <w:sz w:val="18"/>
                <w:szCs w:val="18"/>
              </w:rPr>
            </w:pPr>
          </w:p>
        </w:tc>
        <w:tc>
          <w:tcPr>
            <w:tcW w:w="720" w:type="dxa"/>
            <w:tcBorders>
              <w:bottom w:val="single" w:sz="12" w:space="0" w:color="auto"/>
            </w:tcBorders>
          </w:tcPr>
          <w:p w14:paraId="07000629" w14:textId="77777777" w:rsidR="00D048D1" w:rsidRPr="006C3201" w:rsidRDefault="00D048D1">
            <w:pPr>
              <w:ind w:right="-29"/>
              <w:jc w:val="center"/>
              <w:rPr>
                <w:noProof/>
                <w:sz w:val="18"/>
                <w:szCs w:val="18"/>
              </w:rPr>
            </w:pPr>
          </w:p>
        </w:tc>
        <w:tc>
          <w:tcPr>
            <w:tcW w:w="720" w:type="dxa"/>
            <w:tcBorders>
              <w:bottom w:val="single" w:sz="12" w:space="0" w:color="auto"/>
            </w:tcBorders>
          </w:tcPr>
          <w:p w14:paraId="26F90BB1" w14:textId="77777777" w:rsidR="00D048D1" w:rsidRPr="006C3201" w:rsidRDefault="00D048D1">
            <w:pPr>
              <w:ind w:right="-29"/>
              <w:jc w:val="center"/>
              <w:rPr>
                <w:noProof/>
                <w:sz w:val="18"/>
                <w:szCs w:val="18"/>
              </w:rPr>
            </w:pPr>
          </w:p>
        </w:tc>
        <w:tc>
          <w:tcPr>
            <w:tcW w:w="720" w:type="dxa"/>
            <w:tcBorders>
              <w:bottom w:val="single" w:sz="12" w:space="0" w:color="auto"/>
            </w:tcBorders>
          </w:tcPr>
          <w:p w14:paraId="3B425301" w14:textId="77777777" w:rsidR="00D048D1" w:rsidRPr="006C3201" w:rsidRDefault="00D048D1">
            <w:pPr>
              <w:ind w:right="-29"/>
              <w:jc w:val="center"/>
              <w:rPr>
                <w:noProof/>
                <w:sz w:val="18"/>
                <w:szCs w:val="18"/>
              </w:rPr>
            </w:pPr>
          </w:p>
        </w:tc>
        <w:tc>
          <w:tcPr>
            <w:tcW w:w="900" w:type="dxa"/>
            <w:tcBorders>
              <w:bottom w:val="single" w:sz="12" w:space="0" w:color="auto"/>
            </w:tcBorders>
          </w:tcPr>
          <w:p w14:paraId="7A770EB3" w14:textId="77777777" w:rsidR="00D048D1" w:rsidRPr="006C3201" w:rsidRDefault="00D048D1">
            <w:pPr>
              <w:ind w:right="-29"/>
              <w:jc w:val="center"/>
              <w:rPr>
                <w:noProof/>
                <w:sz w:val="18"/>
                <w:szCs w:val="18"/>
              </w:rPr>
            </w:pPr>
          </w:p>
        </w:tc>
        <w:tc>
          <w:tcPr>
            <w:tcW w:w="720" w:type="dxa"/>
            <w:gridSpan w:val="2"/>
            <w:tcBorders>
              <w:bottom w:val="single" w:sz="12" w:space="0" w:color="auto"/>
            </w:tcBorders>
          </w:tcPr>
          <w:p w14:paraId="447BD1DA" w14:textId="77777777" w:rsidR="00D048D1" w:rsidRPr="006C3201" w:rsidRDefault="00D048D1">
            <w:pPr>
              <w:ind w:right="-29"/>
              <w:jc w:val="center"/>
              <w:rPr>
                <w:noProof/>
                <w:sz w:val="18"/>
                <w:szCs w:val="18"/>
              </w:rPr>
            </w:pPr>
          </w:p>
        </w:tc>
        <w:tc>
          <w:tcPr>
            <w:tcW w:w="540" w:type="dxa"/>
            <w:tcBorders>
              <w:bottom w:val="single" w:sz="12" w:space="0" w:color="auto"/>
            </w:tcBorders>
          </w:tcPr>
          <w:p w14:paraId="5D2E7687" w14:textId="77777777" w:rsidR="00D048D1" w:rsidRPr="006C3201" w:rsidRDefault="00D048D1">
            <w:pPr>
              <w:ind w:right="-29"/>
              <w:jc w:val="center"/>
              <w:rPr>
                <w:noProof/>
                <w:sz w:val="18"/>
                <w:szCs w:val="18"/>
              </w:rPr>
            </w:pPr>
          </w:p>
        </w:tc>
        <w:tc>
          <w:tcPr>
            <w:tcW w:w="648" w:type="dxa"/>
            <w:tcBorders>
              <w:bottom w:val="single" w:sz="12" w:space="0" w:color="auto"/>
            </w:tcBorders>
          </w:tcPr>
          <w:p w14:paraId="5A860D2E" w14:textId="77777777" w:rsidR="00D048D1" w:rsidRPr="006C3201" w:rsidRDefault="00D048D1">
            <w:pPr>
              <w:ind w:right="-29"/>
              <w:jc w:val="center"/>
              <w:rPr>
                <w:noProof/>
                <w:sz w:val="18"/>
                <w:szCs w:val="18"/>
              </w:rPr>
            </w:pPr>
          </w:p>
        </w:tc>
        <w:tc>
          <w:tcPr>
            <w:tcW w:w="432" w:type="dxa"/>
            <w:tcBorders>
              <w:bottom w:val="single" w:sz="12" w:space="0" w:color="auto"/>
            </w:tcBorders>
          </w:tcPr>
          <w:p w14:paraId="63B48C61" w14:textId="77777777" w:rsidR="00D048D1" w:rsidRPr="006C3201" w:rsidRDefault="00D048D1">
            <w:pPr>
              <w:ind w:right="-29"/>
              <w:jc w:val="center"/>
              <w:rPr>
                <w:noProof/>
                <w:sz w:val="18"/>
                <w:szCs w:val="18"/>
              </w:rPr>
            </w:pPr>
          </w:p>
        </w:tc>
        <w:tc>
          <w:tcPr>
            <w:tcW w:w="720" w:type="dxa"/>
            <w:tcBorders>
              <w:bottom w:val="single" w:sz="12" w:space="0" w:color="auto"/>
            </w:tcBorders>
          </w:tcPr>
          <w:p w14:paraId="207A49F2" w14:textId="77777777" w:rsidR="00D048D1" w:rsidRPr="006C3201" w:rsidRDefault="00D048D1">
            <w:pPr>
              <w:ind w:right="-29"/>
              <w:jc w:val="center"/>
              <w:rPr>
                <w:noProof/>
                <w:sz w:val="18"/>
                <w:szCs w:val="18"/>
              </w:rPr>
            </w:pPr>
          </w:p>
        </w:tc>
        <w:tc>
          <w:tcPr>
            <w:tcW w:w="540" w:type="dxa"/>
            <w:tcBorders>
              <w:bottom w:val="single" w:sz="12" w:space="0" w:color="auto"/>
            </w:tcBorders>
          </w:tcPr>
          <w:p w14:paraId="0E738130" w14:textId="77777777" w:rsidR="00D048D1" w:rsidRPr="006C3201" w:rsidRDefault="00D048D1">
            <w:pPr>
              <w:ind w:right="-29"/>
              <w:jc w:val="center"/>
              <w:rPr>
                <w:noProof/>
                <w:sz w:val="18"/>
                <w:szCs w:val="18"/>
              </w:rPr>
            </w:pPr>
          </w:p>
        </w:tc>
        <w:tc>
          <w:tcPr>
            <w:tcW w:w="720" w:type="dxa"/>
            <w:tcBorders>
              <w:bottom w:val="single" w:sz="12" w:space="0" w:color="auto"/>
            </w:tcBorders>
          </w:tcPr>
          <w:p w14:paraId="002FD1BA" w14:textId="77777777" w:rsidR="00D048D1" w:rsidRPr="006C3201" w:rsidRDefault="00D048D1">
            <w:pPr>
              <w:ind w:right="-29"/>
              <w:jc w:val="center"/>
              <w:rPr>
                <w:noProof/>
                <w:sz w:val="18"/>
                <w:szCs w:val="18"/>
              </w:rPr>
            </w:pPr>
          </w:p>
        </w:tc>
        <w:tc>
          <w:tcPr>
            <w:tcW w:w="720" w:type="dxa"/>
            <w:tcBorders>
              <w:bottom w:val="single" w:sz="12" w:space="0" w:color="auto"/>
            </w:tcBorders>
          </w:tcPr>
          <w:p w14:paraId="458D8464" w14:textId="77777777" w:rsidR="00D048D1" w:rsidRPr="006C3201" w:rsidRDefault="00D048D1">
            <w:pPr>
              <w:ind w:right="-29"/>
              <w:jc w:val="center"/>
              <w:rPr>
                <w:noProof/>
                <w:sz w:val="18"/>
                <w:szCs w:val="18"/>
              </w:rPr>
            </w:pPr>
          </w:p>
        </w:tc>
        <w:tc>
          <w:tcPr>
            <w:tcW w:w="900" w:type="dxa"/>
            <w:tcBorders>
              <w:bottom w:val="single" w:sz="12" w:space="0" w:color="auto"/>
            </w:tcBorders>
          </w:tcPr>
          <w:p w14:paraId="611CD688" w14:textId="77777777" w:rsidR="00D048D1" w:rsidRPr="006C3201" w:rsidRDefault="00D048D1">
            <w:pPr>
              <w:ind w:right="-29"/>
              <w:jc w:val="center"/>
              <w:rPr>
                <w:noProof/>
                <w:sz w:val="18"/>
                <w:szCs w:val="18"/>
              </w:rPr>
            </w:pPr>
          </w:p>
        </w:tc>
      </w:tr>
      <w:tr w:rsidR="00E43BAD" w:rsidRPr="006C3201" w14:paraId="363FD82E" w14:textId="77777777">
        <w:trPr>
          <w:jc w:val="center"/>
        </w:trPr>
        <w:tc>
          <w:tcPr>
            <w:tcW w:w="2844" w:type="dxa"/>
            <w:gridSpan w:val="3"/>
            <w:vAlign w:val="center"/>
          </w:tcPr>
          <w:p w14:paraId="19502EC4" w14:textId="77777777" w:rsidR="00D048D1" w:rsidRPr="006C3201" w:rsidRDefault="00D048D1">
            <w:pPr>
              <w:spacing w:before="60" w:after="60"/>
              <w:ind w:right="-29"/>
              <w:jc w:val="center"/>
              <w:rPr>
                <w:noProof/>
                <w:sz w:val="18"/>
                <w:szCs w:val="18"/>
              </w:rPr>
            </w:pPr>
            <w:r w:rsidRPr="006C3201">
              <w:rPr>
                <w:noProof/>
                <w:sz w:val="18"/>
              </w:rPr>
              <w:t xml:space="preserve">CEL SZCZEGÓŁOWY </w:t>
            </w:r>
            <w:r w:rsidRPr="00110A93">
              <w:rPr>
                <w:noProof/>
                <w:sz w:val="18"/>
              </w:rPr>
              <w:t>nr</w:t>
            </w:r>
            <w:r w:rsidR="00110A93" w:rsidRPr="00110A93">
              <w:rPr>
                <w:noProof/>
                <w:sz w:val="18"/>
              </w:rPr>
              <w:t> </w:t>
            </w:r>
            <w:r w:rsidRPr="00110A93">
              <w:rPr>
                <w:noProof/>
                <w:sz w:val="18"/>
              </w:rPr>
              <w:t>2</w:t>
            </w:r>
          </w:p>
        </w:tc>
        <w:tc>
          <w:tcPr>
            <w:tcW w:w="504" w:type="dxa"/>
            <w:tcBorders>
              <w:top w:val="nil"/>
              <w:left w:val="nil"/>
              <w:bottom w:val="nil"/>
              <w:right w:val="nil"/>
            </w:tcBorders>
          </w:tcPr>
          <w:p w14:paraId="341EE2E8"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1FF39F9F" w14:textId="77777777" w:rsidR="00D048D1" w:rsidRPr="006C3201" w:rsidRDefault="00D048D1">
            <w:pPr>
              <w:spacing w:before="60" w:after="60"/>
              <w:ind w:right="-29"/>
              <w:jc w:val="center"/>
              <w:rPr>
                <w:noProof/>
                <w:sz w:val="18"/>
                <w:szCs w:val="18"/>
              </w:rPr>
            </w:pPr>
          </w:p>
        </w:tc>
        <w:tc>
          <w:tcPr>
            <w:tcW w:w="540" w:type="dxa"/>
            <w:tcBorders>
              <w:top w:val="nil"/>
              <w:left w:val="nil"/>
              <w:bottom w:val="nil"/>
              <w:right w:val="nil"/>
            </w:tcBorders>
          </w:tcPr>
          <w:p w14:paraId="603F5939"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794EBDF7"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5CDA99E6"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494EFF6B" w14:textId="77777777" w:rsidR="00D048D1" w:rsidRPr="006C3201" w:rsidRDefault="00D048D1">
            <w:pPr>
              <w:spacing w:before="60" w:after="60"/>
              <w:ind w:right="-29"/>
              <w:jc w:val="center"/>
              <w:rPr>
                <w:noProof/>
                <w:sz w:val="18"/>
                <w:szCs w:val="18"/>
              </w:rPr>
            </w:pPr>
          </w:p>
        </w:tc>
        <w:tc>
          <w:tcPr>
            <w:tcW w:w="900" w:type="dxa"/>
            <w:tcBorders>
              <w:top w:val="nil"/>
              <w:left w:val="nil"/>
              <w:bottom w:val="nil"/>
              <w:right w:val="nil"/>
            </w:tcBorders>
          </w:tcPr>
          <w:p w14:paraId="76A9972A" w14:textId="77777777" w:rsidR="00D048D1" w:rsidRPr="006C3201" w:rsidRDefault="00D048D1">
            <w:pPr>
              <w:spacing w:before="60" w:after="60"/>
              <w:ind w:right="-29"/>
              <w:jc w:val="center"/>
              <w:rPr>
                <w:noProof/>
                <w:sz w:val="18"/>
                <w:szCs w:val="18"/>
              </w:rPr>
            </w:pPr>
          </w:p>
        </w:tc>
        <w:tc>
          <w:tcPr>
            <w:tcW w:w="720" w:type="dxa"/>
            <w:gridSpan w:val="2"/>
            <w:tcBorders>
              <w:top w:val="nil"/>
              <w:left w:val="nil"/>
              <w:bottom w:val="nil"/>
              <w:right w:val="nil"/>
            </w:tcBorders>
          </w:tcPr>
          <w:p w14:paraId="63192AA7" w14:textId="77777777" w:rsidR="00D048D1" w:rsidRPr="006C3201" w:rsidRDefault="00D048D1">
            <w:pPr>
              <w:spacing w:before="60" w:after="60"/>
              <w:ind w:right="-29"/>
              <w:jc w:val="center"/>
              <w:rPr>
                <w:noProof/>
                <w:sz w:val="18"/>
                <w:szCs w:val="18"/>
              </w:rPr>
            </w:pPr>
          </w:p>
        </w:tc>
        <w:tc>
          <w:tcPr>
            <w:tcW w:w="540" w:type="dxa"/>
            <w:tcBorders>
              <w:top w:val="nil"/>
              <w:left w:val="nil"/>
              <w:bottom w:val="nil"/>
              <w:right w:val="nil"/>
            </w:tcBorders>
          </w:tcPr>
          <w:p w14:paraId="5786475F" w14:textId="77777777" w:rsidR="00D048D1" w:rsidRPr="006C3201" w:rsidRDefault="00D048D1">
            <w:pPr>
              <w:spacing w:before="60" w:after="60"/>
              <w:ind w:right="-29"/>
              <w:jc w:val="center"/>
              <w:rPr>
                <w:noProof/>
                <w:sz w:val="18"/>
                <w:szCs w:val="18"/>
              </w:rPr>
            </w:pPr>
          </w:p>
        </w:tc>
        <w:tc>
          <w:tcPr>
            <w:tcW w:w="648" w:type="dxa"/>
            <w:tcBorders>
              <w:top w:val="nil"/>
              <w:left w:val="nil"/>
              <w:bottom w:val="nil"/>
              <w:right w:val="nil"/>
            </w:tcBorders>
          </w:tcPr>
          <w:p w14:paraId="556CE745" w14:textId="77777777" w:rsidR="00D048D1" w:rsidRPr="006C3201" w:rsidRDefault="00D048D1">
            <w:pPr>
              <w:spacing w:before="60" w:after="60"/>
              <w:ind w:right="-29"/>
              <w:jc w:val="center"/>
              <w:rPr>
                <w:noProof/>
                <w:sz w:val="18"/>
                <w:szCs w:val="18"/>
              </w:rPr>
            </w:pPr>
          </w:p>
        </w:tc>
        <w:tc>
          <w:tcPr>
            <w:tcW w:w="432" w:type="dxa"/>
            <w:tcBorders>
              <w:top w:val="nil"/>
              <w:left w:val="nil"/>
              <w:bottom w:val="nil"/>
              <w:right w:val="nil"/>
            </w:tcBorders>
          </w:tcPr>
          <w:p w14:paraId="4DF12126"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36919BE7" w14:textId="77777777" w:rsidR="00D048D1" w:rsidRPr="006C3201" w:rsidRDefault="00D048D1">
            <w:pPr>
              <w:spacing w:before="60" w:after="60"/>
              <w:ind w:right="-29"/>
              <w:jc w:val="center"/>
              <w:rPr>
                <w:noProof/>
                <w:sz w:val="18"/>
                <w:szCs w:val="18"/>
              </w:rPr>
            </w:pPr>
          </w:p>
        </w:tc>
        <w:tc>
          <w:tcPr>
            <w:tcW w:w="540" w:type="dxa"/>
            <w:tcBorders>
              <w:top w:val="nil"/>
              <w:left w:val="nil"/>
              <w:bottom w:val="nil"/>
              <w:right w:val="nil"/>
            </w:tcBorders>
          </w:tcPr>
          <w:p w14:paraId="0B16B261"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00C5F554" w14:textId="77777777" w:rsidR="00D048D1" w:rsidRPr="006C3201" w:rsidRDefault="00D048D1">
            <w:pPr>
              <w:spacing w:before="60" w:after="60"/>
              <w:ind w:right="-29"/>
              <w:jc w:val="center"/>
              <w:rPr>
                <w:noProof/>
                <w:sz w:val="18"/>
                <w:szCs w:val="18"/>
              </w:rPr>
            </w:pPr>
          </w:p>
        </w:tc>
        <w:tc>
          <w:tcPr>
            <w:tcW w:w="720" w:type="dxa"/>
            <w:tcBorders>
              <w:top w:val="nil"/>
              <w:left w:val="nil"/>
              <w:bottom w:val="nil"/>
              <w:right w:val="nil"/>
            </w:tcBorders>
          </w:tcPr>
          <w:p w14:paraId="456152EF" w14:textId="77777777" w:rsidR="00D048D1" w:rsidRPr="006C3201" w:rsidRDefault="00D048D1">
            <w:pPr>
              <w:spacing w:before="60" w:after="60"/>
              <w:ind w:right="-29"/>
              <w:jc w:val="center"/>
              <w:rPr>
                <w:noProof/>
                <w:sz w:val="18"/>
                <w:szCs w:val="18"/>
              </w:rPr>
            </w:pPr>
          </w:p>
        </w:tc>
        <w:tc>
          <w:tcPr>
            <w:tcW w:w="900" w:type="dxa"/>
            <w:tcBorders>
              <w:top w:val="nil"/>
              <w:left w:val="nil"/>
              <w:bottom w:val="nil"/>
              <w:right w:val="nil"/>
            </w:tcBorders>
          </w:tcPr>
          <w:p w14:paraId="41B7763D" w14:textId="77777777" w:rsidR="00D048D1" w:rsidRPr="006C3201" w:rsidRDefault="00D048D1">
            <w:pPr>
              <w:spacing w:before="60" w:after="60"/>
              <w:ind w:right="-29"/>
              <w:jc w:val="center"/>
              <w:rPr>
                <w:noProof/>
                <w:sz w:val="18"/>
                <w:szCs w:val="18"/>
              </w:rPr>
            </w:pPr>
          </w:p>
        </w:tc>
      </w:tr>
      <w:tr w:rsidR="00E43BAD" w:rsidRPr="006C3201" w14:paraId="258DA623" w14:textId="77777777">
        <w:trPr>
          <w:trHeight w:hRule="exact" w:val="369"/>
          <w:jc w:val="center"/>
        </w:trPr>
        <w:tc>
          <w:tcPr>
            <w:tcW w:w="1423" w:type="dxa"/>
          </w:tcPr>
          <w:p w14:paraId="4A552444" w14:textId="77777777" w:rsidR="00D048D1" w:rsidRPr="006C3201" w:rsidRDefault="00D048D1">
            <w:pPr>
              <w:ind w:right="-29"/>
              <w:jc w:val="center"/>
              <w:rPr>
                <w:noProof/>
                <w:sz w:val="18"/>
                <w:szCs w:val="18"/>
              </w:rPr>
            </w:pPr>
            <w:r w:rsidRPr="006C3201">
              <w:rPr>
                <w:noProof/>
                <w:sz w:val="18"/>
              </w:rPr>
              <w:t>- Produkt</w:t>
            </w:r>
          </w:p>
        </w:tc>
        <w:tc>
          <w:tcPr>
            <w:tcW w:w="720" w:type="dxa"/>
          </w:tcPr>
          <w:p w14:paraId="3F5D3073" w14:textId="77777777" w:rsidR="00D048D1" w:rsidRPr="006C3201" w:rsidRDefault="00D048D1">
            <w:pPr>
              <w:ind w:right="-29"/>
              <w:jc w:val="center"/>
              <w:rPr>
                <w:noProof/>
                <w:sz w:val="18"/>
                <w:szCs w:val="18"/>
              </w:rPr>
            </w:pPr>
          </w:p>
        </w:tc>
        <w:tc>
          <w:tcPr>
            <w:tcW w:w="701" w:type="dxa"/>
          </w:tcPr>
          <w:p w14:paraId="75188D42" w14:textId="77777777" w:rsidR="00D048D1" w:rsidRPr="006C3201" w:rsidRDefault="00D048D1">
            <w:pPr>
              <w:ind w:right="-29"/>
              <w:jc w:val="center"/>
              <w:rPr>
                <w:noProof/>
                <w:sz w:val="18"/>
                <w:szCs w:val="18"/>
              </w:rPr>
            </w:pPr>
          </w:p>
        </w:tc>
        <w:tc>
          <w:tcPr>
            <w:tcW w:w="504" w:type="dxa"/>
          </w:tcPr>
          <w:p w14:paraId="49F002E1" w14:textId="77777777" w:rsidR="00D048D1" w:rsidRPr="006C3201" w:rsidRDefault="00D048D1">
            <w:pPr>
              <w:ind w:right="-29"/>
              <w:jc w:val="center"/>
              <w:rPr>
                <w:noProof/>
                <w:sz w:val="18"/>
                <w:szCs w:val="18"/>
              </w:rPr>
            </w:pPr>
          </w:p>
        </w:tc>
        <w:tc>
          <w:tcPr>
            <w:tcW w:w="720" w:type="dxa"/>
          </w:tcPr>
          <w:p w14:paraId="17AB4CC7" w14:textId="77777777" w:rsidR="00D048D1" w:rsidRPr="006C3201" w:rsidRDefault="00D048D1">
            <w:pPr>
              <w:ind w:right="-29"/>
              <w:jc w:val="center"/>
              <w:rPr>
                <w:noProof/>
                <w:sz w:val="18"/>
                <w:szCs w:val="18"/>
              </w:rPr>
            </w:pPr>
          </w:p>
        </w:tc>
        <w:tc>
          <w:tcPr>
            <w:tcW w:w="540" w:type="dxa"/>
          </w:tcPr>
          <w:p w14:paraId="21AD3C5F" w14:textId="77777777" w:rsidR="00D048D1" w:rsidRPr="006C3201" w:rsidRDefault="00D048D1">
            <w:pPr>
              <w:ind w:right="-29"/>
              <w:jc w:val="center"/>
              <w:rPr>
                <w:noProof/>
                <w:sz w:val="18"/>
                <w:szCs w:val="18"/>
              </w:rPr>
            </w:pPr>
          </w:p>
        </w:tc>
        <w:tc>
          <w:tcPr>
            <w:tcW w:w="720" w:type="dxa"/>
          </w:tcPr>
          <w:p w14:paraId="0DF1C655" w14:textId="77777777" w:rsidR="00D048D1" w:rsidRPr="006C3201" w:rsidRDefault="00D048D1">
            <w:pPr>
              <w:ind w:right="-29"/>
              <w:jc w:val="center"/>
              <w:rPr>
                <w:noProof/>
                <w:sz w:val="18"/>
                <w:szCs w:val="18"/>
              </w:rPr>
            </w:pPr>
          </w:p>
        </w:tc>
        <w:tc>
          <w:tcPr>
            <w:tcW w:w="720" w:type="dxa"/>
          </w:tcPr>
          <w:p w14:paraId="0F5258BD" w14:textId="77777777" w:rsidR="00D048D1" w:rsidRPr="006C3201" w:rsidRDefault="00D048D1">
            <w:pPr>
              <w:ind w:right="-29"/>
              <w:jc w:val="center"/>
              <w:rPr>
                <w:noProof/>
                <w:sz w:val="18"/>
                <w:szCs w:val="18"/>
              </w:rPr>
            </w:pPr>
          </w:p>
        </w:tc>
        <w:tc>
          <w:tcPr>
            <w:tcW w:w="720" w:type="dxa"/>
          </w:tcPr>
          <w:p w14:paraId="6523046E" w14:textId="77777777" w:rsidR="00D048D1" w:rsidRPr="006C3201" w:rsidRDefault="00D048D1">
            <w:pPr>
              <w:ind w:right="-29"/>
              <w:jc w:val="center"/>
              <w:rPr>
                <w:noProof/>
                <w:sz w:val="18"/>
                <w:szCs w:val="18"/>
              </w:rPr>
            </w:pPr>
          </w:p>
        </w:tc>
        <w:tc>
          <w:tcPr>
            <w:tcW w:w="900" w:type="dxa"/>
          </w:tcPr>
          <w:p w14:paraId="0B6DCB87" w14:textId="77777777" w:rsidR="00D048D1" w:rsidRPr="006C3201" w:rsidRDefault="00D048D1">
            <w:pPr>
              <w:ind w:right="-29"/>
              <w:jc w:val="center"/>
              <w:rPr>
                <w:noProof/>
                <w:sz w:val="18"/>
                <w:szCs w:val="18"/>
              </w:rPr>
            </w:pPr>
          </w:p>
        </w:tc>
        <w:tc>
          <w:tcPr>
            <w:tcW w:w="720" w:type="dxa"/>
            <w:gridSpan w:val="2"/>
          </w:tcPr>
          <w:p w14:paraId="0E25AC2C" w14:textId="77777777" w:rsidR="00D048D1" w:rsidRPr="006C3201" w:rsidRDefault="00D048D1">
            <w:pPr>
              <w:ind w:right="-29"/>
              <w:jc w:val="center"/>
              <w:rPr>
                <w:noProof/>
                <w:sz w:val="18"/>
                <w:szCs w:val="18"/>
              </w:rPr>
            </w:pPr>
          </w:p>
        </w:tc>
        <w:tc>
          <w:tcPr>
            <w:tcW w:w="540" w:type="dxa"/>
          </w:tcPr>
          <w:p w14:paraId="564ADB51" w14:textId="77777777" w:rsidR="00D048D1" w:rsidRPr="006C3201" w:rsidRDefault="00D048D1">
            <w:pPr>
              <w:ind w:right="-29"/>
              <w:jc w:val="center"/>
              <w:rPr>
                <w:noProof/>
                <w:sz w:val="18"/>
                <w:szCs w:val="18"/>
              </w:rPr>
            </w:pPr>
          </w:p>
        </w:tc>
        <w:tc>
          <w:tcPr>
            <w:tcW w:w="648" w:type="dxa"/>
          </w:tcPr>
          <w:p w14:paraId="10CC8945" w14:textId="77777777" w:rsidR="00D048D1" w:rsidRPr="006C3201" w:rsidRDefault="00D048D1">
            <w:pPr>
              <w:ind w:right="-29"/>
              <w:jc w:val="center"/>
              <w:rPr>
                <w:noProof/>
                <w:sz w:val="18"/>
                <w:szCs w:val="18"/>
              </w:rPr>
            </w:pPr>
          </w:p>
        </w:tc>
        <w:tc>
          <w:tcPr>
            <w:tcW w:w="432" w:type="dxa"/>
          </w:tcPr>
          <w:p w14:paraId="11BAE38D" w14:textId="77777777" w:rsidR="00D048D1" w:rsidRPr="006C3201" w:rsidRDefault="00D048D1">
            <w:pPr>
              <w:ind w:right="-29"/>
              <w:jc w:val="center"/>
              <w:rPr>
                <w:noProof/>
                <w:sz w:val="18"/>
                <w:szCs w:val="18"/>
              </w:rPr>
            </w:pPr>
          </w:p>
        </w:tc>
        <w:tc>
          <w:tcPr>
            <w:tcW w:w="720" w:type="dxa"/>
          </w:tcPr>
          <w:p w14:paraId="49B856A3" w14:textId="77777777" w:rsidR="00D048D1" w:rsidRPr="006C3201" w:rsidRDefault="00D048D1">
            <w:pPr>
              <w:ind w:right="-29"/>
              <w:jc w:val="center"/>
              <w:rPr>
                <w:noProof/>
                <w:sz w:val="18"/>
                <w:szCs w:val="18"/>
              </w:rPr>
            </w:pPr>
          </w:p>
        </w:tc>
        <w:tc>
          <w:tcPr>
            <w:tcW w:w="540" w:type="dxa"/>
          </w:tcPr>
          <w:p w14:paraId="3FE090D1" w14:textId="77777777" w:rsidR="00D048D1" w:rsidRPr="006C3201" w:rsidRDefault="00D048D1">
            <w:pPr>
              <w:ind w:right="-29"/>
              <w:jc w:val="center"/>
              <w:rPr>
                <w:noProof/>
                <w:sz w:val="18"/>
                <w:szCs w:val="18"/>
              </w:rPr>
            </w:pPr>
          </w:p>
        </w:tc>
        <w:tc>
          <w:tcPr>
            <w:tcW w:w="720" w:type="dxa"/>
          </w:tcPr>
          <w:p w14:paraId="25208775" w14:textId="77777777" w:rsidR="00D048D1" w:rsidRPr="006C3201" w:rsidRDefault="00D048D1">
            <w:pPr>
              <w:ind w:right="-29"/>
              <w:jc w:val="center"/>
              <w:rPr>
                <w:noProof/>
                <w:sz w:val="18"/>
                <w:szCs w:val="18"/>
              </w:rPr>
            </w:pPr>
          </w:p>
        </w:tc>
        <w:tc>
          <w:tcPr>
            <w:tcW w:w="720" w:type="dxa"/>
          </w:tcPr>
          <w:p w14:paraId="6BF94BB3" w14:textId="77777777" w:rsidR="00D048D1" w:rsidRPr="006C3201" w:rsidRDefault="00D048D1">
            <w:pPr>
              <w:ind w:right="-29"/>
              <w:jc w:val="center"/>
              <w:rPr>
                <w:noProof/>
                <w:sz w:val="18"/>
                <w:szCs w:val="18"/>
              </w:rPr>
            </w:pPr>
          </w:p>
        </w:tc>
        <w:tc>
          <w:tcPr>
            <w:tcW w:w="900" w:type="dxa"/>
          </w:tcPr>
          <w:p w14:paraId="55D9F4B5" w14:textId="77777777" w:rsidR="00D048D1" w:rsidRPr="006C3201" w:rsidRDefault="00D048D1">
            <w:pPr>
              <w:ind w:right="-29"/>
              <w:jc w:val="center"/>
              <w:rPr>
                <w:noProof/>
                <w:sz w:val="18"/>
                <w:szCs w:val="18"/>
              </w:rPr>
            </w:pPr>
          </w:p>
        </w:tc>
      </w:tr>
      <w:tr w:rsidR="00E43BAD" w:rsidRPr="006C3201" w14:paraId="187F5E73" w14:textId="77777777">
        <w:trPr>
          <w:jc w:val="center"/>
        </w:trPr>
        <w:tc>
          <w:tcPr>
            <w:tcW w:w="2844" w:type="dxa"/>
            <w:gridSpan w:val="3"/>
            <w:tcBorders>
              <w:bottom w:val="single" w:sz="12" w:space="0" w:color="auto"/>
            </w:tcBorders>
            <w:vAlign w:val="center"/>
          </w:tcPr>
          <w:p w14:paraId="462B5326" w14:textId="77777777" w:rsidR="00D048D1" w:rsidRPr="006C3201" w:rsidRDefault="00D048D1">
            <w:pPr>
              <w:jc w:val="center"/>
              <w:rPr>
                <w:noProof/>
                <w:sz w:val="18"/>
                <w:szCs w:val="18"/>
              </w:rPr>
            </w:pPr>
            <w:r w:rsidRPr="006C3201">
              <w:rPr>
                <w:noProof/>
                <w:sz w:val="18"/>
              </w:rPr>
              <w:t xml:space="preserve">Cel szczegółowy </w:t>
            </w:r>
            <w:r w:rsidRPr="00110A93">
              <w:rPr>
                <w:noProof/>
                <w:sz w:val="18"/>
              </w:rPr>
              <w:t>nr</w:t>
            </w:r>
            <w:r w:rsidR="00110A93" w:rsidRPr="00110A93">
              <w:rPr>
                <w:noProof/>
                <w:sz w:val="18"/>
              </w:rPr>
              <w:t> </w:t>
            </w:r>
            <w:r w:rsidRPr="00110A93">
              <w:rPr>
                <w:noProof/>
                <w:sz w:val="18"/>
              </w:rPr>
              <w:t>2</w:t>
            </w:r>
            <w:r w:rsidRPr="006C3201">
              <w:rPr>
                <w:noProof/>
                <w:sz w:val="18"/>
              </w:rPr>
              <w:t xml:space="preserve"> – suma cząstkowa</w:t>
            </w:r>
          </w:p>
        </w:tc>
        <w:tc>
          <w:tcPr>
            <w:tcW w:w="504" w:type="dxa"/>
            <w:tcBorders>
              <w:bottom w:val="single" w:sz="12" w:space="0" w:color="auto"/>
            </w:tcBorders>
          </w:tcPr>
          <w:p w14:paraId="0721A8C2" w14:textId="77777777" w:rsidR="00D048D1" w:rsidRPr="006C3201" w:rsidRDefault="00D048D1">
            <w:pPr>
              <w:ind w:right="-29"/>
              <w:jc w:val="center"/>
              <w:rPr>
                <w:noProof/>
                <w:sz w:val="18"/>
                <w:szCs w:val="18"/>
              </w:rPr>
            </w:pPr>
          </w:p>
        </w:tc>
        <w:tc>
          <w:tcPr>
            <w:tcW w:w="720" w:type="dxa"/>
            <w:tcBorders>
              <w:bottom w:val="single" w:sz="12" w:space="0" w:color="auto"/>
            </w:tcBorders>
          </w:tcPr>
          <w:p w14:paraId="3153C6AF" w14:textId="77777777" w:rsidR="00D048D1" w:rsidRPr="006C3201" w:rsidRDefault="00D048D1">
            <w:pPr>
              <w:ind w:right="-29"/>
              <w:jc w:val="center"/>
              <w:rPr>
                <w:noProof/>
                <w:sz w:val="18"/>
                <w:szCs w:val="18"/>
              </w:rPr>
            </w:pPr>
          </w:p>
        </w:tc>
        <w:tc>
          <w:tcPr>
            <w:tcW w:w="540" w:type="dxa"/>
            <w:tcBorders>
              <w:bottom w:val="single" w:sz="12" w:space="0" w:color="auto"/>
            </w:tcBorders>
          </w:tcPr>
          <w:p w14:paraId="75FA07DB" w14:textId="77777777" w:rsidR="00D048D1" w:rsidRPr="006C3201" w:rsidRDefault="00D048D1">
            <w:pPr>
              <w:ind w:right="-29"/>
              <w:jc w:val="center"/>
              <w:rPr>
                <w:noProof/>
                <w:sz w:val="18"/>
                <w:szCs w:val="18"/>
              </w:rPr>
            </w:pPr>
          </w:p>
        </w:tc>
        <w:tc>
          <w:tcPr>
            <w:tcW w:w="720" w:type="dxa"/>
            <w:tcBorders>
              <w:bottom w:val="single" w:sz="12" w:space="0" w:color="auto"/>
            </w:tcBorders>
          </w:tcPr>
          <w:p w14:paraId="140C4610" w14:textId="77777777" w:rsidR="00D048D1" w:rsidRPr="006C3201" w:rsidRDefault="00D048D1">
            <w:pPr>
              <w:ind w:right="-29"/>
              <w:jc w:val="center"/>
              <w:rPr>
                <w:noProof/>
                <w:sz w:val="18"/>
                <w:szCs w:val="18"/>
              </w:rPr>
            </w:pPr>
          </w:p>
        </w:tc>
        <w:tc>
          <w:tcPr>
            <w:tcW w:w="720" w:type="dxa"/>
            <w:tcBorders>
              <w:bottom w:val="single" w:sz="12" w:space="0" w:color="auto"/>
            </w:tcBorders>
          </w:tcPr>
          <w:p w14:paraId="35E87DB3" w14:textId="77777777" w:rsidR="00D048D1" w:rsidRPr="006C3201" w:rsidRDefault="00D048D1">
            <w:pPr>
              <w:ind w:right="-29"/>
              <w:jc w:val="center"/>
              <w:rPr>
                <w:noProof/>
                <w:sz w:val="18"/>
                <w:szCs w:val="18"/>
              </w:rPr>
            </w:pPr>
          </w:p>
        </w:tc>
        <w:tc>
          <w:tcPr>
            <w:tcW w:w="720" w:type="dxa"/>
            <w:tcBorders>
              <w:bottom w:val="single" w:sz="12" w:space="0" w:color="auto"/>
            </w:tcBorders>
          </w:tcPr>
          <w:p w14:paraId="332B041C" w14:textId="77777777" w:rsidR="00D048D1" w:rsidRPr="006C3201" w:rsidRDefault="00D048D1">
            <w:pPr>
              <w:ind w:right="-29"/>
              <w:jc w:val="center"/>
              <w:rPr>
                <w:noProof/>
                <w:sz w:val="18"/>
                <w:szCs w:val="18"/>
              </w:rPr>
            </w:pPr>
          </w:p>
        </w:tc>
        <w:tc>
          <w:tcPr>
            <w:tcW w:w="951" w:type="dxa"/>
            <w:gridSpan w:val="2"/>
            <w:tcBorders>
              <w:bottom w:val="single" w:sz="12" w:space="0" w:color="auto"/>
            </w:tcBorders>
          </w:tcPr>
          <w:p w14:paraId="144975F9" w14:textId="77777777" w:rsidR="00D048D1" w:rsidRPr="006C3201" w:rsidRDefault="00D048D1">
            <w:pPr>
              <w:ind w:right="-29"/>
              <w:jc w:val="center"/>
              <w:rPr>
                <w:noProof/>
                <w:sz w:val="18"/>
                <w:szCs w:val="18"/>
              </w:rPr>
            </w:pPr>
          </w:p>
        </w:tc>
        <w:tc>
          <w:tcPr>
            <w:tcW w:w="669" w:type="dxa"/>
            <w:tcBorders>
              <w:bottom w:val="single" w:sz="12" w:space="0" w:color="auto"/>
            </w:tcBorders>
          </w:tcPr>
          <w:p w14:paraId="613F9617" w14:textId="77777777" w:rsidR="00D048D1" w:rsidRPr="006C3201" w:rsidRDefault="00D048D1">
            <w:pPr>
              <w:ind w:right="-29"/>
              <w:jc w:val="center"/>
              <w:rPr>
                <w:noProof/>
                <w:sz w:val="18"/>
                <w:szCs w:val="18"/>
              </w:rPr>
            </w:pPr>
          </w:p>
        </w:tc>
        <w:tc>
          <w:tcPr>
            <w:tcW w:w="540" w:type="dxa"/>
            <w:tcBorders>
              <w:bottom w:val="single" w:sz="12" w:space="0" w:color="auto"/>
            </w:tcBorders>
          </w:tcPr>
          <w:p w14:paraId="5F6DD8E1" w14:textId="77777777" w:rsidR="00D048D1" w:rsidRPr="006C3201" w:rsidRDefault="00D048D1">
            <w:pPr>
              <w:ind w:right="-29"/>
              <w:jc w:val="center"/>
              <w:rPr>
                <w:noProof/>
                <w:sz w:val="18"/>
                <w:szCs w:val="18"/>
              </w:rPr>
            </w:pPr>
          </w:p>
        </w:tc>
        <w:tc>
          <w:tcPr>
            <w:tcW w:w="648" w:type="dxa"/>
            <w:tcBorders>
              <w:bottom w:val="single" w:sz="12" w:space="0" w:color="auto"/>
            </w:tcBorders>
          </w:tcPr>
          <w:p w14:paraId="1426187E" w14:textId="77777777" w:rsidR="00D048D1" w:rsidRPr="006C3201" w:rsidRDefault="00D048D1">
            <w:pPr>
              <w:ind w:right="-29"/>
              <w:jc w:val="center"/>
              <w:rPr>
                <w:noProof/>
                <w:sz w:val="18"/>
                <w:szCs w:val="18"/>
              </w:rPr>
            </w:pPr>
          </w:p>
        </w:tc>
        <w:tc>
          <w:tcPr>
            <w:tcW w:w="432" w:type="dxa"/>
            <w:tcBorders>
              <w:bottom w:val="single" w:sz="12" w:space="0" w:color="auto"/>
            </w:tcBorders>
          </w:tcPr>
          <w:p w14:paraId="14864AB4" w14:textId="77777777" w:rsidR="00D048D1" w:rsidRPr="006C3201" w:rsidRDefault="00D048D1">
            <w:pPr>
              <w:ind w:right="-29"/>
              <w:jc w:val="center"/>
              <w:rPr>
                <w:noProof/>
                <w:sz w:val="18"/>
                <w:szCs w:val="18"/>
              </w:rPr>
            </w:pPr>
          </w:p>
        </w:tc>
        <w:tc>
          <w:tcPr>
            <w:tcW w:w="720" w:type="dxa"/>
            <w:tcBorders>
              <w:bottom w:val="single" w:sz="12" w:space="0" w:color="auto"/>
            </w:tcBorders>
          </w:tcPr>
          <w:p w14:paraId="7EECA651" w14:textId="77777777" w:rsidR="00D048D1" w:rsidRPr="006C3201" w:rsidRDefault="00D048D1">
            <w:pPr>
              <w:ind w:right="-29"/>
              <w:jc w:val="center"/>
              <w:rPr>
                <w:noProof/>
                <w:sz w:val="18"/>
                <w:szCs w:val="18"/>
              </w:rPr>
            </w:pPr>
          </w:p>
        </w:tc>
        <w:tc>
          <w:tcPr>
            <w:tcW w:w="540" w:type="dxa"/>
            <w:tcBorders>
              <w:bottom w:val="single" w:sz="12" w:space="0" w:color="auto"/>
            </w:tcBorders>
          </w:tcPr>
          <w:p w14:paraId="57B563D7" w14:textId="77777777" w:rsidR="00D048D1" w:rsidRPr="006C3201" w:rsidRDefault="00D048D1">
            <w:pPr>
              <w:ind w:right="-29"/>
              <w:jc w:val="center"/>
              <w:rPr>
                <w:noProof/>
                <w:sz w:val="18"/>
                <w:szCs w:val="18"/>
              </w:rPr>
            </w:pPr>
          </w:p>
        </w:tc>
        <w:tc>
          <w:tcPr>
            <w:tcW w:w="720" w:type="dxa"/>
            <w:tcBorders>
              <w:bottom w:val="single" w:sz="12" w:space="0" w:color="auto"/>
            </w:tcBorders>
          </w:tcPr>
          <w:p w14:paraId="64C41707" w14:textId="77777777" w:rsidR="00D048D1" w:rsidRPr="006C3201" w:rsidRDefault="00D048D1">
            <w:pPr>
              <w:ind w:right="-29"/>
              <w:jc w:val="center"/>
              <w:rPr>
                <w:noProof/>
                <w:sz w:val="18"/>
                <w:szCs w:val="18"/>
              </w:rPr>
            </w:pPr>
          </w:p>
        </w:tc>
        <w:tc>
          <w:tcPr>
            <w:tcW w:w="720" w:type="dxa"/>
            <w:tcBorders>
              <w:bottom w:val="single" w:sz="12" w:space="0" w:color="auto"/>
            </w:tcBorders>
          </w:tcPr>
          <w:p w14:paraId="51B46546" w14:textId="77777777" w:rsidR="00D048D1" w:rsidRPr="006C3201" w:rsidRDefault="00D048D1">
            <w:pPr>
              <w:ind w:right="-29"/>
              <w:jc w:val="center"/>
              <w:rPr>
                <w:noProof/>
                <w:sz w:val="18"/>
                <w:szCs w:val="18"/>
              </w:rPr>
            </w:pPr>
          </w:p>
        </w:tc>
        <w:tc>
          <w:tcPr>
            <w:tcW w:w="900" w:type="dxa"/>
            <w:tcBorders>
              <w:bottom w:val="single" w:sz="12" w:space="0" w:color="auto"/>
            </w:tcBorders>
          </w:tcPr>
          <w:p w14:paraId="109E0054" w14:textId="77777777" w:rsidR="00D048D1" w:rsidRPr="006C3201" w:rsidRDefault="00D048D1">
            <w:pPr>
              <w:ind w:right="-29"/>
              <w:jc w:val="center"/>
              <w:rPr>
                <w:noProof/>
                <w:sz w:val="18"/>
                <w:szCs w:val="18"/>
              </w:rPr>
            </w:pPr>
          </w:p>
        </w:tc>
      </w:tr>
      <w:tr w:rsidR="00E43BAD" w:rsidRPr="006C3201" w14:paraId="564318CD" w14:textId="77777777">
        <w:trPr>
          <w:jc w:val="center"/>
        </w:trPr>
        <w:tc>
          <w:tcPr>
            <w:tcW w:w="2844" w:type="dxa"/>
            <w:gridSpan w:val="3"/>
            <w:tcBorders>
              <w:top w:val="single" w:sz="12" w:space="0" w:color="auto"/>
              <w:left w:val="single" w:sz="12" w:space="0" w:color="auto"/>
              <w:bottom w:val="single" w:sz="12" w:space="0" w:color="auto"/>
            </w:tcBorders>
            <w:vAlign w:val="center"/>
          </w:tcPr>
          <w:p w14:paraId="695723A3" w14:textId="77777777" w:rsidR="00D048D1" w:rsidRPr="006C3201" w:rsidRDefault="00D048D1">
            <w:pPr>
              <w:ind w:right="-29"/>
              <w:jc w:val="center"/>
              <w:rPr>
                <w:noProof/>
                <w:sz w:val="18"/>
                <w:szCs w:val="18"/>
              </w:rPr>
            </w:pPr>
            <w:r w:rsidRPr="006C3201">
              <w:rPr>
                <w:b/>
                <w:noProof/>
                <w:sz w:val="18"/>
              </w:rPr>
              <w:t>OGÓŁEM</w:t>
            </w:r>
          </w:p>
        </w:tc>
        <w:tc>
          <w:tcPr>
            <w:tcW w:w="504" w:type="dxa"/>
            <w:tcBorders>
              <w:top w:val="single" w:sz="12" w:space="0" w:color="auto"/>
              <w:bottom w:val="single" w:sz="12" w:space="0" w:color="auto"/>
            </w:tcBorders>
          </w:tcPr>
          <w:p w14:paraId="4EFF1774" w14:textId="77777777" w:rsidR="00D048D1" w:rsidRPr="006C3201"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14:paraId="2B33A4EB" w14:textId="77777777" w:rsidR="00D048D1" w:rsidRPr="006C3201" w:rsidRDefault="00D048D1">
            <w:pPr>
              <w:spacing w:before="180" w:after="180"/>
              <w:ind w:right="-29"/>
              <w:jc w:val="center"/>
              <w:rPr>
                <w:noProof/>
                <w:sz w:val="18"/>
                <w:szCs w:val="18"/>
              </w:rPr>
            </w:pPr>
          </w:p>
        </w:tc>
        <w:tc>
          <w:tcPr>
            <w:tcW w:w="540" w:type="dxa"/>
            <w:tcBorders>
              <w:top w:val="single" w:sz="12" w:space="0" w:color="auto"/>
              <w:bottom w:val="single" w:sz="12" w:space="0" w:color="auto"/>
            </w:tcBorders>
          </w:tcPr>
          <w:p w14:paraId="774A94CC" w14:textId="77777777" w:rsidR="00D048D1" w:rsidRPr="006C3201"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14:paraId="033B569E" w14:textId="77777777" w:rsidR="00D048D1" w:rsidRPr="006C3201"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14:paraId="16768C4B" w14:textId="77777777" w:rsidR="00D048D1" w:rsidRPr="006C3201"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14:paraId="5CF0E91F" w14:textId="77777777" w:rsidR="00D048D1" w:rsidRPr="006C3201" w:rsidRDefault="00D048D1">
            <w:pPr>
              <w:spacing w:before="180" w:after="180"/>
              <w:ind w:right="-29"/>
              <w:jc w:val="center"/>
              <w:rPr>
                <w:noProof/>
                <w:sz w:val="18"/>
                <w:szCs w:val="18"/>
              </w:rPr>
            </w:pPr>
          </w:p>
        </w:tc>
        <w:tc>
          <w:tcPr>
            <w:tcW w:w="900" w:type="dxa"/>
            <w:tcBorders>
              <w:top w:val="single" w:sz="12" w:space="0" w:color="auto"/>
              <w:bottom w:val="single" w:sz="12" w:space="0" w:color="auto"/>
            </w:tcBorders>
          </w:tcPr>
          <w:p w14:paraId="212C2CDF" w14:textId="77777777" w:rsidR="00D048D1" w:rsidRPr="006C3201" w:rsidRDefault="00D048D1">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36C21BFD" w14:textId="77777777" w:rsidR="00D048D1" w:rsidRPr="006C3201" w:rsidRDefault="00D048D1">
            <w:pPr>
              <w:spacing w:before="180" w:after="180"/>
              <w:ind w:right="-29"/>
              <w:jc w:val="center"/>
              <w:rPr>
                <w:noProof/>
                <w:sz w:val="18"/>
                <w:szCs w:val="18"/>
              </w:rPr>
            </w:pPr>
          </w:p>
        </w:tc>
        <w:tc>
          <w:tcPr>
            <w:tcW w:w="540" w:type="dxa"/>
            <w:tcBorders>
              <w:top w:val="single" w:sz="12" w:space="0" w:color="auto"/>
              <w:bottom w:val="single" w:sz="12" w:space="0" w:color="auto"/>
            </w:tcBorders>
          </w:tcPr>
          <w:p w14:paraId="4FB87C7F" w14:textId="77777777" w:rsidR="00D048D1" w:rsidRPr="006C3201" w:rsidRDefault="00D048D1">
            <w:pPr>
              <w:spacing w:before="180" w:after="180"/>
              <w:ind w:right="-29"/>
              <w:jc w:val="center"/>
              <w:rPr>
                <w:noProof/>
                <w:sz w:val="18"/>
                <w:szCs w:val="18"/>
              </w:rPr>
            </w:pPr>
          </w:p>
        </w:tc>
        <w:tc>
          <w:tcPr>
            <w:tcW w:w="648" w:type="dxa"/>
            <w:tcBorders>
              <w:top w:val="single" w:sz="12" w:space="0" w:color="auto"/>
              <w:bottom w:val="single" w:sz="12" w:space="0" w:color="auto"/>
            </w:tcBorders>
          </w:tcPr>
          <w:p w14:paraId="738CE7D4" w14:textId="77777777" w:rsidR="00D048D1" w:rsidRPr="006C3201" w:rsidRDefault="00D048D1">
            <w:pPr>
              <w:spacing w:before="180" w:after="180"/>
              <w:ind w:right="-29"/>
              <w:jc w:val="center"/>
              <w:rPr>
                <w:noProof/>
                <w:sz w:val="18"/>
                <w:szCs w:val="18"/>
              </w:rPr>
            </w:pPr>
          </w:p>
        </w:tc>
        <w:tc>
          <w:tcPr>
            <w:tcW w:w="432" w:type="dxa"/>
            <w:tcBorders>
              <w:top w:val="single" w:sz="12" w:space="0" w:color="auto"/>
              <w:bottom w:val="single" w:sz="12" w:space="0" w:color="auto"/>
            </w:tcBorders>
          </w:tcPr>
          <w:p w14:paraId="7FA6AC18" w14:textId="77777777" w:rsidR="00D048D1" w:rsidRPr="006C3201"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14:paraId="38250D21" w14:textId="77777777" w:rsidR="00D048D1" w:rsidRPr="006C3201" w:rsidRDefault="00D048D1">
            <w:pPr>
              <w:spacing w:before="180" w:after="180"/>
              <w:ind w:right="-29"/>
              <w:jc w:val="center"/>
              <w:rPr>
                <w:noProof/>
                <w:sz w:val="18"/>
                <w:szCs w:val="18"/>
              </w:rPr>
            </w:pPr>
          </w:p>
        </w:tc>
        <w:tc>
          <w:tcPr>
            <w:tcW w:w="540" w:type="dxa"/>
            <w:tcBorders>
              <w:top w:val="single" w:sz="12" w:space="0" w:color="auto"/>
              <w:bottom w:val="single" w:sz="12" w:space="0" w:color="auto"/>
            </w:tcBorders>
          </w:tcPr>
          <w:p w14:paraId="007580EF" w14:textId="77777777" w:rsidR="00D048D1" w:rsidRPr="006C3201"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14:paraId="36E0116A" w14:textId="77777777" w:rsidR="00D048D1" w:rsidRPr="006C3201" w:rsidRDefault="00D048D1">
            <w:pPr>
              <w:spacing w:before="180" w:after="180"/>
              <w:ind w:right="-29"/>
              <w:jc w:val="center"/>
              <w:rPr>
                <w:noProof/>
                <w:sz w:val="18"/>
                <w:szCs w:val="18"/>
              </w:rPr>
            </w:pPr>
          </w:p>
        </w:tc>
        <w:tc>
          <w:tcPr>
            <w:tcW w:w="720" w:type="dxa"/>
            <w:tcBorders>
              <w:top w:val="single" w:sz="12" w:space="0" w:color="auto"/>
              <w:bottom w:val="single" w:sz="12" w:space="0" w:color="auto"/>
            </w:tcBorders>
          </w:tcPr>
          <w:p w14:paraId="4D08D903" w14:textId="77777777" w:rsidR="00D048D1" w:rsidRPr="006C3201" w:rsidRDefault="00D048D1">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677A34A9" w14:textId="77777777" w:rsidR="00D048D1" w:rsidRPr="006C3201" w:rsidRDefault="00D048D1">
            <w:pPr>
              <w:spacing w:before="180" w:after="180"/>
              <w:ind w:right="-29"/>
              <w:jc w:val="center"/>
              <w:rPr>
                <w:noProof/>
                <w:sz w:val="18"/>
                <w:szCs w:val="18"/>
              </w:rPr>
            </w:pPr>
          </w:p>
        </w:tc>
      </w:tr>
    </w:tbl>
    <w:p w14:paraId="671B4F68" w14:textId="77777777" w:rsidR="00D048D1" w:rsidRPr="006C3201" w:rsidRDefault="00D048D1" w:rsidP="00D048D1">
      <w:pPr>
        <w:rPr>
          <w:noProof/>
        </w:rPr>
        <w:sectPr w:rsidR="00D048D1" w:rsidRPr="006C3201" w:rsidSect="00F93B7D">
          <w:headerReference w:type="default" r:id="rId19"/>
          <w:footerReference w:type="default" r:id="rId20"/>
          <w:pgSz w:w="16840" w:h="11907" w:orient="landscape" w:code="9"/>
          <w:pgMar w:top="1134" w:right="1418" w:bottom="567" w:left="1418" w:header="709" w:footer="709" w:gutter="0"/>
          <w:cols w:space="708"/>
          <w:docGrid w:linePitch="360"/>
        </w:sectPr>
      </w:pPr>
    </w:p>
    <w:p w14:paraId="1DC227F1" w14:textId="77777777" w:rsidR="00D048D1" w:rsidRPr="006C3201" w:rsidRDefault="00D048D1" w:rsidP="00D048D1">
      <w:pPr>
        <w:pStyle w:val="ManualHeading3"/>
        <w:rPr>
          <w:bCs/>
          <w:noProof/>
          <w:szCs w:val="24"/>
        </w:rPr>
      </w:pPr>
      <w:bookmarkStart w:id="195" w:name="_Toc514938055"/>
      <w:bookmarkStart w:id="196" w:name="_Toc520485054"/>
      <w:bookmarkStart w:id="197" w:name="_Toc160804598"/>
      <w:bookmarkStart w:id="198" w:name="_Toc167220290"/>
      <w:bookmarkStart w:id="199" w:name="_Toc177549023"/>
      <w:bookmarkStart w:id="200" w:name="_Toc214887237"/>
      <w:r w:rsidRPr="006C3201">
        <w:rPr>
          <w:noProof/>
        </w:rPr>
        <w:t>3.2.3.</w:t>
      </w:r>
      <w:r w:rsidRPr="006C3201">
        <w:rPr>
          <w:noProof/>
        </w:rPr>
        <w:tab/>
        <w:t>Podsumowanie szacunkowego wpływu na środki administracyjne</w:t>
      </w:r>
      <w:bookmarkEnd w:id="195"/>
      <w:bookmarkEnd w:id="196"/>
      <w:bookmarkEnd w:id="197"/>
      <w:bookmarkEnd w:id="198"/>
      <w:bookmarkEnd w:id="199"/>
      <w:bookmarkEnd w:id="200"/>
      <w:r w:rsidRPr="006C3201">
        <w:rPr>
          <w:noProof/>
        </w:rPr>
        <w:t xml:space="preserve"> </w:t>
      </w:r>
    </w:p>
    <w:p w14:paraId="3C831641" w14:textId="77777777" w:rsidR="00D048D1" w:rsidRPr="006C3201" w:rsidRDefault="00D048D1" w:rsidP="00D048D1">
      <w:pPr>
        <w:pStyle w:val="ListDash1"/>
        <w:rPr>
          <w:noProof/>
        </w:rPr>
      </w:pPr>
      <w:r w:rsidRPr="006C3201">
        <w:rPr>
          <w:rFonts w:ascii="Segoe UI Symbol" w:hAnsi="Segoe UI Symbol"/>
          <w:i/>
          <w:noProof/>
          <w:sz w:val="22"/>
        </w:rPr>
        <w:t>✓</w:t>
      </w:r>
      <w:r w:rsidRPr="006C3201">
        <w:rPr>
          <w:noProof/>
        </w:rPr>
        <w:tab/>
        <w:t>Wniosek/inicjatywa nie wiąże się</w:t>
      </w:r>
      <w:r w:rsidR="00110A93" w:rsidRPr="006C3201">
        <w:rPr>
          <w:noProof/>
        </w:rPr>
        <w:t xml:space="preserve"> z</w:t>
      </w:r>
      <w:r w:rsidR="00110A93">
        <w:rPr>
          <w:noProof/>
        </w:rPr>
        <w:t> </w:t>
      </w:r>
      <w:r w:rsidR="00110A93" w:rsidRPr="006C3201">
        <w:rPr>
          <w:noProof/>
        </w:rPr>
        <w:t>kon</w:t>
      </w:r>
      <w:r w:rsidRPr="006C3201">
        <w:rPr>
          <w:noProof/>
        </w:rPr>
        <w:t xml:space="preserve">iecznością wykorzystania środków administracyjnych </w:t>
      </w:r>
    </w:p>
    <w:p w14:paraId="0BF97CF4" w14:textId="77777777" w:rsidR="00D048D1" w:rsidRPr="006C3201" w:rsidRDefault="00D048D1" w:rsidP="00D048D1">
      <w:pPr>
        <w:pStyle w:val="ListDash1"/>
        <w:rPr>
          <w:noProof/>
        </w:rPr>
      </w:pPr>
      <w:r w:rsidRPr="006C3201">
        <w:rPr>
          <w:rFonts w:ascii="Wingdings" w:hAnsi="Wingdings"/>
          <w:noProof/>
        </w:rPr>
        <w:t></w:t>
      </w:r>
      <w:r w:rsidRPr="006C3201">
        <w:rPr>
          <w:noProof/>
        </w:rPr>
        <w:tab/>
        <w:t>Wniosek/inicjatywa wiąże się</w:t>
      </w:r>
      <w:r w:rsidR="00110A93" w:rsidRPr="006C3201">
        <w:rPr>
          <w:noProof/>
        </w:rPr>
        <w:t xml:space="preserve"> z</w:t>
      </w:r>
      <w:r w:rsidR="00110A93">
        <w:rPr>
          <w:noProof/>
        </w:rPr>
        <w:t> </w:t>
      </w:r>
      <w:r w:rsidR="00110A93" w:rsidRPr="006C3201">
        <w:rPr>
          <w:noProof/>
        </w:rPr>
        <w:t>kon</w:t>
      </w:r>
      <w:r w:rsidRPr="006C3201">
        <w:rPr>
          <w:noProof/>
        </w:rPr>
        <w:t>iecznością wykorzystania środków administracyjnych, jak określono poniżej</w:t>
      </w:r>
    </w:p>
    <w:p w14:paraId="7D3B5F19" w14:textId="77777777" w:rsidR="00D048D1" w:rsidRPr="006C3201" w:rsidRDefault="00D048D1" w:rsidP="00D048D1">
      <w:pPr>
        <w:pStyle w:val="ManualHeading3"/>
        <w:rPr>
          <w:noProof/>
        </w:rPr>
      </w:pPr>
      <w:bookmarkStart w:id="201" w:name="_Toc167220291"/>
      <w:bookmarkStart w:id="202" w:name="_Toc177549024"/>
      <w:bookmarkStart w:id="203" w:name="_Toc214887238"/>
      <w:r w:rsidRPr="006C3201">
        <w:rPr>
          <w:noProof/>
        </w:rPr>
        <w:t>3.2.3.1. Środki</w:t>
      </w:r>
      <w:r w:rsidR="00110A93" w:rsidRPr="006C3201">
        <w:rPr>
          <w:noProof/>
        </w:rPr>
        <w:t xml:space="preserve"> z</w:t>
      </w:r>
      <w:r w:rsidR="00110A93">
        <w:rPr>
          <w:noProof/>
        </w:rPr>
        <w:t> </w:t>
      </w:r>
      <w:r w:rsidR="00110A93" w:rsidRPr="006C3201">
        <w:rPr>
          <w:noProof/>
        </w:rPr>
        <w:t>uch</w:t>
      </w:r>
      <w:r w:rsidRPr="006C3201">
        <w:rPr>
          <w:noProof/>
        </w:rPr>
        <w:t>walonego budżetu</w:t>
      </w:r>
      <w:bookmarkEnd w:id="201"/>
      <w:bookmarkEnd w:id="202"/>
      <w:bookmarkEnd w:id="203"/>
    </w:p>
    <w:tbl>
      <w:tblPr>
        <w:tblW w:w="5000" w:type="pct"/>
        <w:tblLook w:val="04A0" w:firstRow="1" w:lastRow="0" w:firstColumn="1" w:lastColumn="0" w:noHBand="0" w:noVBand="1"/>
      </w:tblPr>
      <w:tblGrid>
        <w:gridCol w:w="3925"/>
        <w:gridCol w:w="1001"/>
        <w:gridCol w:w="1001"/>
        <w:gridCol w:w="1001"/>
        <w:gridCol w:w="1001"/>
        <w:gridCol w:w="1124"/>
      </w:tblGrid>
      <w:tr w:rsidR="00E43BAD" w:rsidRPr="006C3201" w14:paraId="062B40B6" w14:textId="77777777" w:rsidTr="0061523A">
        <w:trPr>
          <w:trHeight w:val="300"/>
        </w:trPr>
        <w:tc>
          <w:tcPr>
            <w:tcW w:w="2167" w:type="pct"/>
            <w:vMerge w:val="restart"/>
            <w:tcBorders>
              <w:top w:val="single" w:sz="8" w:space="0" w:color="auto"/>
              <w:left w:val="single" w:sz="8" w:space="0" w:color="auto"/>
              <w:bottom w:val="single" w:sz="8" w:space="0" w:color="auto"/>
              <w:right w:val="single" w:sz="8" w:space="0" w:color="auto"/>
            </w:tcBorders>
            <w:vAlign w:val="center"/>
            <w:hideMark/>
          </w:tcPr>
          <w:p w14:paraId="69BC46B4" w14:textId="77777777" w:rsidR="00D048D1" w:rsidRPr="006C3201" w:rsidRDefault="00D048D1">
            <w:pPr>
              <w:spacing w:before="0" w:after="0"/>
              <w:jc w:val="center"/>
              <w:rPr>
                <w:b/>
                <w:bCs/>
                <w:noProof/>
                <w:sz w:val="18"/>
                <w:szCs w:val="18"/>
              </w:rPr>
            </w:pPr>
            <w:r w:rsidRPr="006C3201">
              <w:rPr>
                <w:b/>
                <w:noProof/>
                <w:sz w:val="18"/>
              </w:rPr>
              <w:t>ZATWIERDZONE ŚRODKI</w:t>
            </w:r>
          </w:p>
        </w:tc>
        <w:tc>
          <w:tcPr>
            <w:tcW w:w="553" w:type="pct"/>
            <w:tcBorders>
              <w:top w:val="single" w:sz="8" w:space="0" w:color="auto"/>
              <w:left w:val="nil"/>
              <w:bottom w:val="single" w:sz="8" w:space="0" w:color="auto"/>
              <w:right w:val="single" w:sz="8" w:space="0" w:color="auto"/>
            </w:tcBorders>
            <w:vAlign w:val="center"/>
            <w:hideMark/>
          </w:tcPr>
          <w:p w14:paraId="76F154B5" w14:textId="77777777" w:rsidR="00D048D1" w:rsidRPr="006C3201" w:rsidRDefault="00D048D1">
            <w:pPr>
              <w:spacing w:before="0" w:after="0"/>
              <w:jc w:val="center"/>
              <w:rPr>
                <w:noProof/>
                <w:sz w:val="18"/>
                <w:szCs w:val="18"/>
              </w:rPr>
            </w:pPr>
            <w:r w:rsidRPr="006C3201">
              <w:rPr>
                <w:noProof/>
                <w:sz w:val="18"/>
              </w:rPr>
              <w:t>Rok</w:t>
            </w:r>
          </w:p>
        </w:tc>
        <w:tc>
          <w:tcPr>
            <w:tcW w:w="553" w:type="pct"/>
            <w:tcBorders>
              <w:top w:val="single" w:sz="8" w:space="0" w:color="auto"/>
              <w:left w:val="nil"/>
              <w:bottom w:val="single" w:sz="8" w:space="0" w:color="auto"/>
              <w:right w:val="single" w:sz="8" w:space="0" w:color="auto"/>
            </w:tcBorders>
            <w:vAlign w:val="center"/>
            <w:hideMark/>
          </w:tcPr>
          <w:p w14:paraId="234BA47C" w14:textId="77777777" w:rsidR="00D048D1" w:rsidRPr="006C3201" w:rsidRDefault="00D048D1">
            <w:pPr>
              <w:spacing w:before="0" w:after="0"/>
              <w:jc w:val="center"/>
              <w:rPr>
                <w:noProof/>
                <w:sz w:val="18"/>
                <w:szCs w:val="18"/>
              </w:rPr>
            </w:pPr>
            <w:r w:rsidRPr="006C3201">
              <w:rPr>
                <w:noProof/>
                <w:sz w:val="18"/>
              </w:rPr>
              <w:t>Rok</w:t>
            </w:r>
          </w:p>
        </w:tc>
        <w:tc>
          <w:tcPr>
            <w:tcW w:w="553" w:type="pct"/>
            <w:tcBorders>
              <w:top w:val="single" w:sz="8" w:space="0" w:color="auto"/>
              <w:left w:val="nil"/>
              <w:bottom w:val="single" w:sz="8" w:space="0" w:color="auto"/>
              <w:right w:val="single" w:sz="8" w:space="0" w:color="auto"/>
            </w:tcBorders>
            <w:vAlign w:val="center"/>
            <w:hideMark/>
          </w:tcPr>
          <w:p w14:paraId="27F1DEEC" w14:textId="77777777" w:rsidR="00D048D1" w:rsidRPr="006C3201" w:rsidRDefault="00D048D1">
            <w:pPr>
              <w:spacing w:before="0" w:after="0"/>
              <w:jc w:val="center"/>
              <w:rPr>
                <w:noProof/>
                <w:sz w:val="18"/>
                <w:szCs w:val="18"/>
              </w:rPr>
            </w:pPr>
            <w:r w:rsidRPr="006C3201">
              <w:rPr>
                <w:noProof/>
                <w:sz w:val="18"/>
              </w:rPr>
              <w:t>Rok</w:t>
            </w:r>
          </w:p>
        </w:tc>
        <w:tc>
          <w:tcPr>
            <w:tcW w:w="553" w:type="pct"/>
            <w:tcBorders>
              <w:top w:val="single" w:sz="8" w:space="0" w:color="auto"/>
              <w:left w:val="nil"/>
              <w:bottom w:val="single" w:sz="8" w:space="0" w:color="auto"/>
              <w:right w:val="single" w:sz="8" w:space="0" w:color="auto"/>
            </w:tcBorders>
            <w:vAlign w:val="center"/>
            <w:hideMark/>
          </w:tcPr>
          <w:p w14:paraId="0501CE38" w14:textId="77777777" w:rsidR="00D048D1" w:rsidRPr="006C3201" w:rsidRDefault="00D048D1">
            <w:pPr>
              <w:spacing w:before="0" w:after="0"/>
              <w:jc w:val="center"/>
              <w:rPr>
                <w:noProof/>
                <w:sz w:val="18"/>
                <w:szCs w:val="18"/>
              </w:rPr>
            </w:pPr>
            <w:r w:rsidRPr="006C3201">
              <w:rPr>
                <w:noProof/>
                <w:sz w:val="18"/>
              </w:rPr>
              <w:t>Rok</w:t>
            </w:r>
          </w:p>
        </w:tc>
        <w:tc>
          <w:tcPr>
            <w:tcW w:w="622" w:type="pct"/>
            <w:vMerge w:val="restart"/>
            <w:tcBorders>
              <w:top w:val="single" w:sz="8" w:space="0" w:color="auto"/>
              <w:left w:val="single" w:sz="8" w:space="0" w:color="auto"/>
              <w:bottom w:val="single" w:sz="8" w:space="0" w:color="auto"/>
              <w:right w:val="single" w:sz="8" w:space="0" w:color="auto"/>
            </w:tcBorders>
            <w:vAlign w:val="center"/>
            <w:hideMark/>
          </w:tcPr>
          <w:p w14:paraId="3150DC96" w14:textId="77777777" w:rsidR="00D048D1" w:rsidRPr="006C3201" w:rsidRDefault="00D048D1">
            <w:pPr>
              <w:spacing w:before="0" w:after="0"/>
              <w:jc w:val="center"/>
              <w:rPr>
                <w:b/>
                <w:bCs/>
                <w:noProof/>
                <w:sz w:val="18"/>
                <w:szCs w:val="18"/>
              </w:rPr>
            </w:pPr>
            <w:r w:rsidRPr="006C3201">
              <w:rPr>
                <w:b/>
                <w:noProof/>
                <w:sz w:val="18"/>
              </w:rPr>
              <w:t>OGÓŁEM 2021–2027</w:t>
            </w:r>
          </w:p>
        </w:tc>
      </w:tr>
      <w:tr w:rsidR="00E43BAD" w:rsidRPr="006C3201" w14:paraId="76716032" w14:textId="77777777" w:rsidTr="0061523A">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14:paraId="445E2DE7" w14:textId="77777777" w:rsidR="00D048D1" w:rsidRPr="006C3201" w:rsidRDefault="00D048D1">
            <w:pPr>
              <w:spacing w:before="0" w:after="0"/>
              <w:jc w:val="left"/>
              <w:rPr>
                <w:b/>
                <w:bCs/>
                <w:noProof/>
                <w:sz w:val="18"/>
                <w:szCs w:val="18"/>
                <w:lang w:eastAsia="en-IE"/>
              </w:rPr>
            </w:pPr>
          </w:p>
        </w:tc>
        <w:tc>
          <w:tcPr>
            <w:tcW w:w="553" w:type="pct"/>
            <w:tcBorders>
              <w:top w:val="nil"/>
              <w:left w:val="nil"/>
              <w:bottom w:val="single" w:sz="8" w:space="0" w:color="auto"/>
              <w:right w:val="single" w:sz="8" w:space="0" w:color="auto"/>
            </w:tcBorders>
            <w:vAlign w:val="center"/>
            <w:hideMark/>
          </w:tcPr>
          <w:p w14:paraId="6C13E210" w14:textId="77777777" w:rsidR="00D048D1" w:rsidRPr="006C3201" w:rsidRDefault="00D048D1">
            <w:pPr>
              <w:spacing w:before="0" w:after="0"/>
              <w:jc w:val="center"/>
              <w:rPr>
                <w:b/>
                <w:bCs/>
                <w:noProof/>
                <w:sz w:val="18"/>
                <w:szCs w:val="18"/>
              </w:rPr>
            </w:pPr>
            <w:r w:rsidRPr="006C3201">
              <w:rPr>
                <w:b/>
                <w:noProof/>
                <w:sz w:val="18"/>
              </w:rPr>
              <w:t>2024</w:t>
            </w:r>
          </w:p>
        </w:tc>
        <w:tc>
          <w:tcPr>
            <w:tcW w:w="553" w:type="pct"/>
            <w:tcBorders>
              <w:top w:val="nil"/>
              <w:left w:val="nil"/>
              <w:bottom w:val="single" w:sz="8" w:space="0" w:color="auto"/>
              <w:right w:val="single" w:sz="8" w:space="0" w:color="auto"/>
            </w:tcBorders>
            <w:vAlign w:val="center"/>
            <w:hideMark/>
          </w:tcPr>
          <w:p w14:paraId="51D47646" w14:textId="77777777" w:rsidR="00D048D1" w:rsidRPr="006C3201" w:rsidRDefault="00D048D1">
            <w:pPr>
              <w:spacing w:before="0" w:after="0"/>
              <w:jc w:val="center"/>
              <w:rPr>
                <w:b/>
                <w:bCs/>
                <w:noProof/>
                <w:sz w:val="18"/>
                <w:szCs w:val="18"/>
              </w:rPr>
            </w:pPr>
            <w:r w:rsidRPr="006C3201">
              <w:rPr>
                <w:b/>
                <w:noProof/>
                <w:sz w:val="18"/>
              </w:rPr>
              <w:t>2025</w:t>
            </w:r>
          </w:p>
        </w:tc>
        <w:tc>
          <w:tcPr>
            <w:tcW w:w="553" w:type="pct"/>
            <w:tcBorders>
              <w:top w:val="nil"/>
              <w:left w:val="nil"/>
              <w:bottom w:val="single" w:sz="8" w:space="0" w:color="auto"/>
              <w:right w:val="single" w:sz="8" w:space="0" w:color="auto"/>
            </w:tcBorders>
            <w:vAlign w:val="center"/>
            <w:hideMark/>
          </w:tcPr>
          <w:p w14:paraId="5ECA3C03" w14:textId="77777777" w:rsidR="00D048D1" w:rsidRPr="006C3201" w:rsidRDefault="00D048D1">
            <w:pPr>
              <w:spacing w:before="0" w:after="0"/>
              <w:jc w:val="center"/>
              <w:rPr>
                <w:b/>
                <w:bCs/>
                <w:noProof/>
                <w:sz w:val="18"/>
                <w:szCs w:val="18"/>
              </w:rPr>
            </w:pPr>
            <w:r w:rsidRPr="006C3201">
              <w:rPr>
                <w:b/>
                <w:noProof/>
                <w:sz w:val="18"/>
              </w:rPr>
              <w:t>2026</w:t>
            </w:r>
          </w:p>
        </w:tc>
        <w:tc>
          <w:tcPr>
            <w:tcW w:w="553" w:type="pct"/>
            <w:tcBorders>
              <w:top w:val="nil"/>
              <w:left w:val="nil"/>
              <w:bottom w:val="single" w:sz="8" w:space="0" w:color="auto"/>
              <w:right w:val="single" w:sz="8" w:space="0" w:color="auto"/>
            </w:tcBorders>
            <w:vAlign w:val="center"/>
            <w:hideMark/>
          </w:tcPr>
          <w:p w14:paraId="0F6D1E1A" w14:textId="77777777" w:rsidR="00D048D1" w:rsidRPr="006C3201" w:rsidRDefault="00D048D1">
            <w:pPr>
              <w:spacing w:before="0" w:after="0"/>
              <w:jc w:val="center"/>
              <w:rPr>
                <w:b/>
                <w:bCs/>
                <w:noProof/>
                <w:sz w:val="18"/>
                <w:szCs w:val="18"/>
              </w:rPr>
            </w:pPr>
            <w:r w:rsidRPr="006C3201">
              <w:rPr>
                <w:b/>
                <w:noProof/>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14:paraId="68288B35" w14:textId="77777777" w:rsidR="00D048D1" w:rsidRPr="006C3201" w:rsidRDefault="00D048D1">
            <w:pPr>
              <w:spacing w:before="0" w:after="0"/>
              <w:jc w:val="left"/>
              <w:rPr>
                <w:b/>
                <w:bCs/>
                <w:noProof/>
                <w:sz w:val="18"/>
                <w:szCs w:val="18"/>
                <w:lang w:eastAsia="en-IE"/>
              </w:rPr>
            </w:pPr>
          </w:p>
        </w:tc>
      </w:tr>
      <w:tr w:rsidR="00E43BAD" w:rsidRPr="006C3201" w14:paraId="4B87778A" w14:textId="77777777" w:rsidTr="0061523A">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7684463D" w14:textId="77777777" w:rsidR="00D048D1" w:rsidRPr="006C3201" w:rsidRDefault="00D048D1">
            <w:pPr>
              <w:spacing w:before="0" w:after="0"/>
              <w:jc w:val="left"/>
              <w:rPr>
                <w:b/>
                <w:bCs/>
                <w:noProof/>
                <w:sz w:val="16"/>
                <w:szCs w:val="16"/>
              </w:rPr>
            </w:pPr>
            <w:r w:rsidRPr="006C3201">
              <w:rPr>
                <w:b/>
                <w:noProof/>
                <w:sz w:val="16"/>
              </w:rPr>
              <w:t>DZIAŁ 7</w:t>
            </w:r>
          </w:p>
        </w:tc>
      </w:tr>
      <w:tr w:rsidR="00E43BAD" w:rsidRPr="006C3201" w14:paraId="78E2CFB7" w14:textId="77777777" w:rsidTr="0061523A">
        <w:trPr>
          <w:trHeight w:val="300"/>
        </w:trPr>
        <w:tc>
          <w:tcPr>
            <w:tcW w:w="2167" w:type="pct"/>
            <w:tcBorders>
              <w:top w:val="nil"/>
              <w:left w:val="single" w:sz="8" w:space="0" w:color="auto"/>
              <w:bottom w:val="single" w:sz="8" w:space="0" w:color="auto"/>
              <w:right w:val="single" w:sz="8" w:space="0" w:color="auto"/>
            </w:tcBorders>
            <w:vAlign w:val="center"/>
            <w:hideMark/>
          </w:tcPr>
          <w:p w14:paraId="2701B9D5" w14:textId="77777777" w:rsidR="00D048D1" w:rsidRPr="006C3201" w:rsidRDefault="00D048D1">
            <w:pPr>
              <w:spacing w:before="0" w:after="0"/>
              <w:jc w:val="left"/>
              <w:rPr>
                <w:noProof/>
                <w:sz w:val="16"/>
                <w:szCs w:val="16"/>
              </w:rPr>
            </w:pPr>
            <w:r w:rsidRPr="006C3201">
              <w:rPr>
                <w:noProof/>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0842EBE9" w14:textId="77777777" w:rsidR="00D048D1" w:rsidRPr="006C3201" w:rsidRDefault="00D048D1">
            <w:pPr>
              <w:spacing w:before="0" w:after="0"/>
              <w:jc w:val="right"/>
              <w:rPr>
                <w:noProof/>
                <w:sz w:val="16"/>
                <w:szCs w:val="16"/>
              </w:rPr>
            </w:pPr>
            <w:r w:rsidRPr="006C3201">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A6100B8" w14:textId="77777777" w:rsidR="00D048D1" w:rsidRPr="006C3201" w:rsidRDefault="00D048D1">
            <w:pPr>
              <w:spacing w:before="0" w:after="0"/>
              <w:jc w:val="right"/>
              <w:rPr>
                <w:noProof/>
                <w:sz w:val="16"/>
                <w:szCs w:val="16"/>
              </w:rPr>
            </w:pPr>
            <w:r w:rsidRPr="006C3201">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66559BA" w14:textId="77777777" w:rsidR="00D048D1" w:rsidRPr="006C3201" w:rsidRDefault="00D048D1">
            <w:pPr>
              <w:spacing w:before="0" w:after="0"/>
              <w:jc w:val="right"/>
              <w:rPr>
                <w:noProof/>
                <w:sz w:val="16"/>
                <w:szCs w:val="16"/>
              </w:rPr>
            </w:pPr>
            <w:r w:rsidRPr="006C3201">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93007F7" w14:textId="77777777" w:rsidR="00D048D1" w:rsidRPr="006C3201" w:rsidRDefault="00D048D1">
            <w:pPr>
              <w:spacing w:before="0" w:after="0"/>
              <w:jc w:val="right"/>
              <w:rPr>
                <w:noProof/>
                <w:sz w:val="16"/>
                <w:szCs w:val="16"/>
              </w:rPr>
            </w:pPr>
            <w:r w:rsidRPr="006C3201">
              <w:rPr>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02AE6EF1" w14:textId="77777777" w:rsidR="00D048D1" w:rsidRPr="006C3201" w:rsidRDefault="00D048D1">
            <w:pPr>
              <w:spacing w:before="0" w:after="0"/>
              <w:jc w:val="right"/>
              <w:rPr>
                <w:b/>
                <w:bCs/>
                <w:noProof/>
                <w:sz w:val="16"/>
                <w:szCs w:val="16"/>
              </w:rPr>
            </w:pPr>
            <w:r w:rsidRPr="006C3201">
              <w:rPr>
                <w:b/>
                <w:noProof/>
                <w:sz w:val="16"/>
              </w:rPr>
              <w:t>0,000</w:t>
            </w:r>
          </w:p>
        </w:tc>
      </w:tr>
      <w:tr w:rsidR="00E43BAD" w:rsidRPr="006C3201" w14:paraId="0098843F" w14:textId="77777777" w:rsidTr="0061523A">
        <w:trPr>
          <w:trHeight w:val="300"/>
        </w:trPr>
        <w:tc>
          <w:tcPr>
            <w:tcW w:w="2167" w:type="pct"/>
            <w:tcBorders>
              <w:top w:val="nil"/>
              <w:left w:val="single" w:sz="8" w:space="0" w:color="auto"/>
              <w:bottom w:val="single" w:sz="8" w:space="0" w:color="auto"/>
              <w:right w:val="single" w:sz="8" w:space="0" w:color="auto"/>
            </w:tcBorders>
            <w:vAlign w:val="center"/>
            <w:hideMark/>
          </w:tcPr>
          <w:p w14:paraId="30479A37" w14:textId="77777777" w:rsidR="00D048D1" w:rsidRPr="006C3201" w:rsidRDefault="00D048D1">
            <w:pPr>
              <w:spacing w:before="0" w:after="0"/>
              <w:jc w:val="left"/>
              <w:rPr>
                <w:noProof/>
                <w:sz w:val="16"/>
                <w:szCs w:val="16"/>
              </w:rPr>
            </w:pPr>
            <w:r w:rsidRPr="006C3201">
              <w:rPr>
                <w:noProof/>
                <w:sz w:val="16"/>
              </w:rPr>
              <w:t xml:space="preserve">Pozostałe wydatki administracyjne </w:t>
            </w:r>
          </w:p>
        </w:tc>
        <w:tc>
          <w:tcPr>
            <w:tcW w:w="553" w:type="pct"/>
            <w:tcBorders>
              <w:top w:val="nil"/>
              <w:left w:val="nil"/>
              <w:bottom w:val="single" w:sz="8" w:space="0" w:color="auto"/>
              <w:right w:val="single" w:sz="8" w:space="0" w:color="auto"/>
            </w:tcBorders>
            <w:shd w:val="clear" w:color="000000" w:fill="D9D9D9"/>
            <w:vAlign w:val="center"/>
            <w:hideMark/>
          </w:tcPr>
          <w:p w14:paraId="45F40EC4" w14:textId="77777777" w:rsidR="00D048D1" w:rsidRPr="006C3201" w:rsidRDefault="00D048D1">
            <w:pPr>
              <w:spacing w:before="0" w:after="0"/>
              <w:jc w:val="right"/>
              <w:rPr>
                <w:noProof/>
                <w:sz w:val="16"/>
                <w:szCs w:val="16"/>
              </w:rPr>
            </w:pPr>
            <w:r w:rsidRPr="006C3201">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EE7466D" w14:textId="77777777" w:rsidR="00D048D1" w:rsidRPr="006C3201" w:rsidRDefault="00D048D1">
            <w:pPr>
              <w:spacing w:before="0" w:after="0"/>
              <w:jc w:val="right"/>
              <w:rPr>
                <w:noProof/>
                <w:sz w:val="16"/>
                <w:szCs w:val="16"/>
              </w:rPr>
            </w:pPr>
            <w:r w:rsidRPr="006C3201">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985998A" w14:textId="77777777" w:rsidR="00D048D1" w:rsidRPr="006C3201" w:rsidRDefault="00D048D1">
            <w:pPr>
              <w:spacing w:before="0" w:after="0"/>
              <w:jc w:val="right"/>
              <w:rPr>
                <w:noProof/>
                <w:sz w:val="16"/>
                <w:szCs w:val="16"/>
              </w:rPr>
            </w:pPr>
            <w:r w:rsidRPr="006C3201">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5602A16" w14:textId="77777777" w:rsidR="00D048D1" w:rsidRPr="006C3201" w:rsidRDefault="00D048D1">
            <w:pPr>
              <w:spacing w:before="0" w:after="0"/>
              <w:jc w:val="right"/>
              <w:rPr>
                <w:noProof/>
                <w:sz w:val="16"/>
                <w:szCs w:val="16"/>
              </w:rPr>
            </w:pPr>
            <w:r w:rsidRPr="006C3201">
              <w:rPr>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53B577E" w14:textId="77777777" w:rsidR="00D048D1" w:rsidRPr="006C3201" w:rsidRDefault="00D048D1">
            <w:pPr>
              <w:spacing w:before="0" w:after="0"/>
              <w:jc w:val="right"/>
              <w:rPr>
                <w:b/>
                <w:bCs/>
                <w:noProof/>
                <w:sz w:val="16"/>
                <w:szCs w:val="16"/>
              </w:rPr>
            </w:pPr>
            <w:r w:rsidRPr="006C3201">
              <w:rPr>
                <w:b/>
                <w:noProof/>
                <w:sz w:val="16"/>
              </w:rPr>
              <w:t>0,000</w:t>
            </w:r>
          </w:p>
        </w:tc>
      </w:tr>
      <w:tr w:rsidR="00E43BAD" w:rsidRPr="006C3201" w14:paraId="46427C10" w14:textId="77777777">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761627F2" w14:textId="77777777" w:rsidR="00D048D1" w:rsidRPr="006C3201" w:rsidRDefault="00D048D1">
            <w:pPr>
              <w:spacing w:before="0" w:after="0"/>
              <w:jc w:val="center"/>
              <w:rPr>
                <w:b/>
                <w:bCs/>
                <w:noProof/>
                <w:sz w:val="16"/>
                <w:szCs w:val="16"/>
              </w:rPr>
            </w:pPr>
            <w:r w:rsidRPr="006C3201">
              <w:rPr>
                <w:b/>
                <w:noProof/>
                <w:sz w:val="16"/>
              </w:rPr>
              <w:t>Suma cząstkowa DZIAŁ 7</w:t>
            </w:r>
          </w:p>
        </w:tc>
        <w:tc>
          <w:tcPr>
            <w:tcW w:w="553" w:type="pct"/>
            <w:tcBorders>
              <w:top w:val="nil"/>
              <w:left w:val="nil"/>
              <w:bottom w:val="single" w:sz="8" w:space="0" w:color="auto"/>
              <w:right w:val="single" w:sz="8" w:space="0" w:color="auto"/>
            </w:tcBorders>
            <w:shd w:val="clear" w:color="000000" w:fill="D9D9D9"/>
            <w:vAlign w:val="center"/>
            <w:hideMark/>
          </w:tcPr>
          <w:p w14:paraId="4B075E8F" w14:textId="77777777" w:rsidR="00D048D1" w:rsidRPr="006C3201" w:rsidRDefault="00D048D1">
            <w:pPr>
              <w:spacing w:before="0" w:after="0"/>
              <w:jc w:val="right"/>
              <w:rPr>
                <w:b/>
                <w:bCs/>
                <w:noProof/>
                <w:sz w:val="16"/>
                <w:szCs w:val="16"/>
              </w:rPr>
            </w:pPr>
            <w:r w:rsidRPr="006C3201">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4C36BB0" w14:textId="77777777" w:rsidR="00D048D1" w:rsidRPr="006C3201" w:rsidRDefault="00D048D1">
            <w:pPr>
              <w:spacing w:before="0" w:after="0"/>
              <w:jc w:val="right"/>
              <w:rPr>
                <w:b/>
                <w:bCs/>
                <w:noProof/>
                <w:sz w:val="16"/>
                <w:szCs w:val="16"/>
              </w:rPr>
            </w:pPr>
            <w:r w:rsidRPr="006C3201">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80733AE" w14:textId="77777777" w:rsidR="00D048D1" w:rsidRPr="006C3201" w:rsidRDefault="00D048D1">
            <w:pPr>
              <w:spacing w:before="0" w:after="0"/>
              <w:jc w:val="right"/>
              <w:rPr>
                <w:b/>
                <w:bCs/>
                <w:noProof/>
                <w:sz w:val="16"/>
                <w:szCs w:val="16"/>
              </w:rPr>
            </w:pPr>
            <w:r w:rsidRPr="006C3201">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7564DB1" w14:textId="77777777" w:rsidR="00D048D1" w:rsidRPr="006C3201" w:rsidRDefault="00D048D1">
            <w:pPr>
              <w:spacing w:before="0" w:after="0"/>
              <w:jc w:val="right"/>
              <w:rPr>
                <w:b/>
                <w:bCs/>
                <w:noProof/>
                <w:sz w:val="16"/>
                <w:szCs w:val="16"/>
              </w:rPr>
            </w:pPr>
            <w:r w:rsidRPr="006C3201">
              <w:rPr>
                <w:b/>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64EF2A9B" w14:textId="77777777" w:rsidR="00D048D1" w:rsidRPr="006C3201" w:rsidRDefault="00D048D1">
            <w:pPr>
              <w:spacing w:before="0" w:after="0"/>
              <w:jc w:val="right"/>
              <w:rPr>
                <w:b/>
                <w:bCs/>
                <w:noProof/>
                <w:sz w:val="16"/>
                <w:szCs w:val="16"/>
              </w:rPr>
            </w:pPr>
            <w:r w:rsidRPr="006C3201">
              <w:rPr>
                <w:b/>
                <w:noProof/>
                <w:sz w:val="16"/>
              </w:rPr>
              <w:t>0,000</w:t>
            </w:r>
          </w:p>
        </w:tc>
      </w:tr>
      <w:tr w:rsidR="00E43BAD" w:rsidRPr="006C3201" w14:paraId="750B8B62" w14:textId="77777777" w:rsidTr="0061523A">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7F9E4009" w14:textId="77777777" w:rsidR="00D048D1" w:rsidRPr="006C3201" w:rsidRDefault="00D048D1">
            <w:pPr>
              <w:spacing w:before="0" w:after="0"/>
              <w:jc w:val="left"/>
              <w:rPr>
                <w:b/>
                <w:bCs/>
                <w:noProof/>
                <w:sz w:val="16"/>
                <w:szCs w:val="16"/>
              </w:rPr>
            </w:pPr>
            <w:r w:rsidRPr="006C3201">
              <w:rPr>
                <w:b/>
                <w:noProof/>
                <w:sz w:val="16"/>
              </w:rPr>
              <w:t>Poza DZIAŁEM 7</w:t>
            </w:r>
          </w:p>
        </w:tc>
      </w:tr>
      <w:tr w:rsidR="00E43BAD" w:rsidRPr="006C3201" w14:paraId="49B820D9" w14:textId="77777777" w:rsidTr="0061523A">
        <w:trPr>
          <w:trHeight w:val="300"/>
        </w:trPr>
        <w:tc>
          <w:tcPr>
            <w:tcW w:w="2167" w:type="pct"/>
            <w:tcBorders>
              <w:top w:val="nil"/>
              <w:left w:val="single" w:sz="8" w:space="0" w:color="auto"/>
              <w:bottom w:val="single" w:sz="8" w:space="0" w:color="auto"/>
              <w:right w:val="single" w:sz="8" w:space="0" w:color="auto"/>
            </w:tcBorders>
            <w:vAlign w:val="center"/>
            <w:hideMark/>
          </w:tcPr>
          <w:p w14:paraId="56EF2104" w14:textId="77777777" w:rsidR="00D048D1" w:rsidRPr="006C3201" w:rsidRDefault="00D048D1">
            <w:pPr>
              <w:spacing w:before="0" w:after="0"/>
              <w:jc w:val="left"/>
              <w:rPr>
                <w:noProof/>
                <w:sz w:val="16"/>
                <w:szCs w:val="16"/>
              </w:rPr>
            </w:pPr>
            <w:r w:rsidRPr="006C3201">
              <w:rPr>
                <w:noProof/>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2ED27E61" w14:textId="77777777" w:rsidR="00D048D1" w:rsidRPr="006C3201" w:rsidRDefault="00D048D1">
            <w:pPr>
              <w:spacing w:before="0" w:after="0"/>
              <w:jc w:val="right"/>
              <w:rPr>
                <w:noProof/>
                <w:sz w:val="16"/>
                <w:szCs w:val="16"/>
              </w:rPr>
            </w:pPr>
            <w:r w:rsidRPr="006C3201">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C47269A" w14:textId="77777777" w:rsidR="00D048D1" w:rsidRPr="006C3201" w:rsidRDefault="00D048D1">
            <w:pPr>
              <w:spacing w:before="0" w:after="0"/>
              <w:jc w:val="right"/>
              <w:rPr>
                <w:noProof/>
                <w:sz w:val="16"/>
                <w:szCs w:val="16"/>
              </w:rPr>
            </w:pPr>
            <w:r w:rsidRPr="006C3201">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0A0DA35" w14:textId="77777777" w:rsidR="00D048D1" w:rsidRPr="006C3201" w:rsidRDefault="00D048D1">
            <w:pPr>
              <w:spacing w:before="0" w:after="0"/>
              <w:jc w:val="right"/>
              <w:rPr>
                <w:noProof/>
                <w:sz w:val="16"/>
                <w:szCs w:val="16"/>
              </w:rPr>
            </w:pPr>
            <w:r w:rsidRPr="006C3201">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5DFEB30" w14:textId="77777777" w:rsidR="00D048D1" w:rsidRPr="006C3201" w:rsidRDefault="00D048D1">
            <w:pPr>
              <w:spacing w:before="0" w:after="0"/>
              <w:jc w:val="right"/>
              <w:rPr>
                <w:noProof/>
                <w:sz w:val="16"/>
                <w:szCs w:val="16"/>
              </w:rPr>
            </w:pPr>
            <w:r w:rsidRPr="006C3201">
              <w:rPr>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1A4E524D" w14:textId="77777777" w:rsidR="00D048D1" w:rsidRPr="006C3201" w:rsidRDefault="00D048D1">
            <w:pPr>
              <w:spacing w:before="0" w:after="0"/>
              <w:jc w:val="right"/>
              <w:rPr>
                <w:b/>
                <w:bCs/>
                <w:noProof/>
                <w:sz w:val="16"/>
                <w:szCs w:val="16"/>
              </w:rPr>
            </w:pPr>
            <w:r w:rsidRPr="006C3201">
              <w:rPr>
                <w:b/>
                <w:noProof/>
                <w:sz w:val="16"/>
              </w:rPr>
              <w:t>0,000</w:t>
            </w:r>
          </w:p>
        </w:tc>
      </w:tr>
      <w:tr w:rsidR="00E43BAD" w:rsidRPr="006C3201" w14:paraId="1724178E" w14:textId="77777777" w:rsidTr="0061523A">
        <w:trPr>
          <w:trHeight w:val="300"/>
        </w:trPr>
        <w:tc>
          <w:tcPr>
            <w:tcW w:w="2167" w:type="pct"/>
            <w:tcBorders>
              <w:top w:val="nil"/>
              <w:left w:val="single" w:sz="8" w:space="0" w:color="auto"/>
              <w:bottom w:val="single" w:sz="8" w:space="0" w:color="auto"/>
              <w:right w:val="single" w:sz="8" w:space="0" w:color="auto"/>
            </w:tcBorders>
            <w:vAlign w:val="center"/>
            <w:hideMark/>
          </w:tcPr>
          <w:p w14:paraId="37D10C9C" w14:textId="77777777" w:rsidR="00D048D1" w:rsidRPr="006C3201" w:rsidRDefault="00D048D1">
            <w:pPr>
              <w:spacing w:before="0" w:after="0"/>
              <w:jc w:val="left"/>
              <w:rPr>
                <w:noProof/>
                <w:sz w:val="16"/>
                <w:szCs w:val="16"/>
              </w:rPr>
            </w:pPr>
            <w:r w:rsidRPr="006C3201">
              <w:rPr>
                <w:noProof/>
                <w:sz w:val="16"/>
              </w:rPr>
              <w:t>Pozostałe wydatki</w:t>
            </w:r>
            <w:r w:rsidR="00110A93" w:rsidRPr="006C3201">
              <w:rPr>
                <w:noProof/>
                <w:sz w:val="16"/>
              </w:rPr>
              <w:t xml:space="preserve"> o</w:t>
            </w:r>
            <w:r w:rsidR="00110A93">
              <w:rPr>
                <w:noProof/>
                <w:sz w:val="16"/>
              </w:rPr>
              <w:t> </w:t>
            </w:r>
            <w:r w:rsidR="00110A93" w:rsidRPr="006C3201">
              <w:rPr>
                <w:noProof/>
                <w:sz w:val="16"/>
              </w:rPr>
              <w:t>cha</w:t>
            </w:r>
            <w:r w:rsidRPr="006C3201">
              <w:rPr>
                <w:noProof/>
                <w:sz w:val="16"/>
              </w:rPr>
              <w:t>rakterze administracyjnym</w:t>
            </w:r>
          </w:p>
        </w:tc>
        <w:tc>
          <w:tcPr>
            <w:tcW w:w="553" w:type="pct"/>
            <w:tcBorders>
              <w:top w:val="nil"/>
              <w:left w:val="nil"/>
              <w:bottom w:val="single" w:sz="8" w:space="0" w:color="auto"/>
              <w:right w:val="single" w:sz="8" w:space="0" w:color="auto"/>
            </w:tcBorders>
            <w:shd w:val="clear" w:color="000000" w:fill="D9D9D9"/>
            <w:vAlign w:val="center"/>
            <w:hideMark/>
          </w:tcPr>
          <w:p w14:paraId="69DD8619" w14:textId="77777777" w:rsidR="00D048D1" w:rsidRPr="006C3201" w:rsidRDefault="00D048D1">
            <w:pPr>
              <w:spacing w:before="0" w:after="0"/>
              <w:jc w:val="right"/>
              <w:rPr>
                <w:noProof/>
                <w:sz w:val="16"/>
                <w:szCs w:val="16"/>
              </w:rPr>
            </w:pPr>
            <w:r w:rsidRPr="006C3201">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26E6D95" w14:textId="77777777" w:rsidR="00D048D1" w:rsidRPr="006C3201" w:rsidRDefault="00D048D1">
            <w:pPr>
              <w:spacing w:before="0" w:after="0"/>
              <w:jc w:val="right"/>
              <w:rPr>
                <w:noProof/>
                <w:sz w:val="16"/>
                <w:szCs w:val="16"/>
              </w:rPr>
            </w:pPr>
            <w:r w:rsidRPr="006C3201">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16EDAAD" w14:textId="77777777" w:rsidR="00D048D1" w:rsidRPr="006C3201" w:rsidRDefault="00D048D1">
            <w:pPr>
              <w:spacing w:before="0" w:after="0"/>
              <w:jc w:val="right"/>
              <w:rPr>
                <w:noProof/>
                <w:sz w:val="16"/>
                <w:szCs w:val="16"/>
              </w:rPr>
            </w:pPr>
            <w:r w:rsidRPr="006C3201">
              <w:rPr>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4C7E7E7" w14:textId="77777777" w:rsidR="00D048D1" w:rsidRPr="006C3201" w:rsidRDefault="00D048D1">
            <w:pPr>
              <w:spacing w:before="0" w:after="0"/>
              <w:jc w:val="right"/>
              <w:rPr>
                <w:noProof/>
                <w:sz w:val="16"/>
                <w:szCs w:val="16"/>
              </w:rPr>
            </w:pPr>
            <w:r w:rsidRPr="006C3201">
              <w:rPr>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64186694" w14:textId="77777777" w:rsidR="00D048D1" w:rsidRPr="006C3201" w:rsidRDefault="00D048D1">
            <w:pPr>
              <w:spacing w:before="0" w:after="0"/>
              <w:jc w:val="right"/>
              <w:rPr>
                <w:b/>
                <w:bCs/>
                <w:noProof/>
                <w:sz w:val="16"/>
                <w:szCs w:val="16"/>
              </w:rPr>
            </w:pPr>
            <w:r w:rsidRPr="006C3201">
              <w:rPr>
                <w:b/>
                <w:noProof/>
                <w:sz w:val="16"/>
              </w:rPr>
              <w:t>0,000</w:t>
            </w:r>
          </w:p>
        </w:tc>
      </w:tr>
      <w:tr w:rsidR="00E43BAD" w:rsidRPr="006C3201" w14:paraId="2940F887" w14:textId="77777777">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5EA8699E" w14:textId="77777777" w:rsidR="00D048D1" w:rsidRPr="006C3201" w:rsidRDefault="00D048D1">
            <w:pPr>
              <w:spacing w:before="0" w:after="0"/>
              <w:jc w:val="center"/>
              <w:rPr>
                <w:b/>
                <w:bCs/>
                <w:noProof/>
                <w:sz w:val="16"/>
                <w:szCs w:val="16"/>
              </w:rPr>
            </w:pPr>
            <w:r w:rsidRPr="006C3201">
              <w:rPr>
                <w:b/>
                <w:noProof/>
                <w:sz w:val="16"/>
              </w:rPr>
              <w:t>Suma cząstkowa poza DZIAŁEM 7</w:t>
            </w:r>
          </w:p>
        </w:tc>
        <w:tc>
          <w:tcPr>
            <w:tcW w:w="553" w:type="pct"/>
            <w:tcBorders>
              <w:top w:val="nil"/>
              <w:left w:val="nil"/>
              <w:bottom w:val="single" w:sz="8" w:space="0" w:color="auto"/>
              <w:right w:val="single" w:sz="8" w:space="0" w:color="auto"/>
            </w:tcBorders>
            <w:shd w:val="clear" w:color="000000" w:fill="D9D9D9"/>
            <w:vAlign w:val="center"/>
            <w:hideMark/>
          </w:tcPr>
          <w:p w14:paraId="7DE8B3BA" w14:textId="77777777" w:rsidR="00D048D1" w:rsidRPr="006C3201" w:rsidRDefault="00D048D1">
            <w:pPr>
              <w:spacing w:before="0" w:after="0"/>
              <w:jc w:val="right"/>
              <w:rPr>
                <w:b/>
                <w:bCs/>
                <w:noProof/>
                <w:sz w:val="16"/>
                <w:szCs w:val="16"/>
              </w:rPr>
            </w:pPr>
            <w:r w:rsidRPr="006C3201">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343E4E6" w14:textId="77777777" w:rsidR="00D048D1" w:rsidRPr="006C3201" w:rsidRDefault="00D048D1">
            <w:pPr>
              <w:spacing w:before="0" w:after="0"/>
              <w:jc w:val="right"/>
              <w:rPr>
                <w:b/>
                <w:bCs/>
                <w:noProof/>
                <w:sz w:val="16"/>
                <w:szCs w:val="16"/>
              </w:rPr>
            </w:pPr>
            <w:r w:rsidRPr="006C3201">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EB12EFC" w14:textId="77777777" w:rsidR="00D048D1" w:rsidRPr="006C3201" w:rsidRDefault="00D048D1">
            <w:pPr>
              <w:spacing w:before="0" w:after="0"/>
              <w:jc w:val="right"/>
              <w:rPr>
                <w:b/>
                <w:bCs/>
                <w:noProof/>
                <w:sz w:val="16"/>
                <w:szCs w:val="16"/>
              </w:rPr>
            </w:pPr>
            <w:r w:rsidRPr="006C3201">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E6454D0" w14:textId="77777777" w:rsidR="00D048D1" w:rsidRPr="006C3201" w:rsidRDefault="00D048D1">
            <w:pPr>
              <w:spacing w:before="0" w:after="0"/>
              <w:jc w:val="right"/>
              <w:rPr>
                <w:b/>
                <w:bCs/>
                <w:noProof/>
                <w:sz w:val="16"/>
                <w:szCs w:val="16"/>
              </w:rPr>
            </w:pPr>
            <w:r w:rsidRPr="006C3201">
              <w:rPr>
                <w:b/>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5A166C2E" w14:textId="77777777" w:rsidR="00D048D1" w:rsidRPr="006C3201" w:rsidRDefault="00D048D1">
            <w:pPr>
              <w:spacing w:before="0" w:after="0"/>
              <w:jc w:val="right"/>
              <w:rPr>
                <w:b/>
                <w:bCs/>
                <w:noProof/>
                <w:sz w:val="16"/>
                <w:szCs w:val="16"/>
              </w:rPr>
            </w:pPr>
            <w:r w:rsidRPr="006C3201">
              <w:rPr>
                <w:b/>
                <w:noProof/>
                <w:sz w:val="16"/>
              </w:rPr>
              <w:t>0,000</w:t>
            </w:r>
          </w:p>
        </w:tc>
      </w:tr>
      <w:tr w:rsidR="00E43BAD" w:rsidRPr="006C3201" w14:paraId="41993388" w14:textId="77777777" w:rsidTr="0061523A">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3C8B2863" w14:textId="77777777" w:rsidR="00D048D1" w:rsidRPr="006C3201" w:rsidRDefault="00D048D1">
            <w:pPr>
              <w:spacing w:before="0" w:after="0"/>
              <w:jc w:val="center"/>
              <w:rPr>
                <w:noProof/>
                <w:sz w:val="16"/>
                <w:szCs w:val="16"/>
              </w:rPr>
            </w:pPr>
            <w:r w:rsidRPr="006C3201">
              <w:rPr>
                <w:noProof/>
                <w:sz w:val="16"/>
              </w:rPr>
              <w:t xml:space="preserve"> </w:t>
            </w:r>
          </w:p>
        </w:tc>
      </w:tr>
      <w:tr w:rsidR="00E43BAD" w:rsidRPr="006C3201" w14:paraId="323CD2B0" w14:textId="77777777" w:rsidTr="0061523A">
        <w:trPr>
          <w:trHeight w:val="300"/>
        </w:trPr>
        <w:tc>
          <w:tcPr>
            <w:tcW w:w="2167" w:type="pct"/>
            <w:tcBorders>
              <w:top w:val="nil"/>
              <w:left w:val="single" w:sz="8" w:space="0" w:color="auto"/>
              <w:bottom w:val="single" w:sz="8" w:space="0" w:color="auto"/>
              <w:right w:val="single" w:sz="8" w:space="0" w:color="auto"/>
            </w:tcBorders>
            <w:vAlign w:val="center"/>
            <w:hideMark/>
          </w:tcPr>
          <w:p w14:paraId="2D5AD2E1" w14:textId="77777777" w:rsidR="00D048D1" w:rsidRPr="006C3201" w:rsidRDefault="00D048D1">
            <w:pPr>
              <w:spacing w:before="0" w:after="0"/>
              <w:jc w:val="center"/>
              <w:rPr>
                <w:b/>
                <w:bCs/>
                <w:noProof/>
                <w:sz w:val="16"/>
                <w:szCs w:val="16"/>
              </w:rPr>
            </w:pPr>
            <w:r w:rsidRPr="006C3201">
              <w:rPr>
                <w:b/>
                <w:noProof/>
                <w:sz w:val="16"/>
              </w:rPr>
              <w:t>OGÓŁEM</w:t>
            </w:r>
          </w:p>
        </w:tc>
        <w:tc>
          <w:tcPr>
            <w:tcW w:w="553" w:type="pct"/>
            <w:tcBorders>
              <w:top w:val="nil"/>
              <w:left w:val="nil"/>
              <w:bottom w:val="single" w:sz="8" w:space="0" w:color="auto"/>
              <w:right w:val="single" w:sz="8" w:space="0" w:color="auto"/>
            </w:tcBorders>
            <w:shd w:val="clear" w:color="000000" w:fill="D9D9D9"/>
            <w:vAlign w:val="center"/>
            <w:hideMark/>
          </w:tcPr>
          <w:p w14:paraId="1058DFDA" w14:textId="77777777" w:rsidR="00D048D1" w:rsidRPr="006C3201" w:rsidRDefault="00D048D1">
            <w:pPr>
              <w:spacing w:before="0" w:after="0"/>
              <w:jc w:val="right"/>
              <w:rPr>
                <w:b/>
                <w:bCs/>
                <w:noProof/>
                <w:sz w:val="16"/>
                <w:szCs w:val="16"/>
              </w:rPr>
            </w:pPr>
            <w:r w:rsidRPr="006C3201">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C906711" w14:textId="77777777" w:rsidR="00D048D1" w:rsidRPr="006C3201" w:rsidRDefault="00D048D1">
            <w:pPr>
              <w:spacing w:before="0" w:after="0"/>
              <w:jc w:val="right"/>
              <w:rPr>
                <w:b/>
                <w:bCs/>
                <w:noProof/>
                <w:sz w:val="16"/>
                <w:szCs w:val="16"/>
              </w:rPr>
            </w:pPr>
            <w:r w:rsidRPr="006C3201">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ACECBD9" w14:textId="77777777" w:rsidR="00D048D1" w:rsidRPr="006C3201" w:rsidRDefault="00D048D1">
            <w:pPr>
              <w:spacing w:before="0" w:after="0"/>
              <w:jc w:val="right"/>
              <w:rPr>
                <w:b/>
                <w:bCs/>
                <w:noProof/>
                <w:sz w:val="16"/>
                <w:szCs w:val="16"/>
              </w:rPr>
            </w:pPr>
            <w:r w:rsidRPr="006C3201">
              <w:rPr>
                <w:b/>
                <w:noProof/>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A6F010D" w14:textId="77777777" w:rsidR="00D048D1" w:rsidRPr="006C3201" w:rsidRDefault="00D048D1">
            <w:pPr>
              <w:spacing w:before="0" w:after="0"/>
              <w:jc w:val="right"/>
              <w:rPr>
                <w:b/>
                <w:bCs/>
                <w:noProof/>
                <w:sz w:val="16"/>
                <w:szCs w:val="16"/>
              </w:rPr>
            </w:pPr>
            <w:r w:rsidRPr="006C3201">
              <w:rPr>
                <w:b/>
                <w:noProof/>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4F88128F" w14:textId="77777777" w:rsidR="00D048D1" w:rsidRPr="006C3201" w:rsidRDefault="00D048D1">
            <w:pPr>
              <w:spacing w:before="0" w:after="0"/>
              <w:jc w:val="right"/>
              <w:rPr>
                <w:b/>
                <w:bCs/>
                <w:noProof/>
                <w:sz w:val="16"/>
                <w:szCs w:val="16"/>
              </w:rPr>
            </w:pPr>
            <w:r w:rsidRPr="006C3201">
              <w:rPr>
                <w:b/>
                <w:noProof/>
                <w:sz w:val="16"/>
              </w:rPr>
              <w:t>0,000</w:t>
            </w:r>
          </w:p>
        </w:tc>
      </w:tr>
    </w:tbl>
    <w:p w14:paraId="626B8280" w14:textId="77777777" w:rsidR="00D048D1" w:rsidRPr="006C3201" w:rsidRDefault="00D048D1" w:rsidP="00D048D1">
      <w:pPr>
        <w:rPr>
          <w:noProof/>
          <w:sz w:val="22"/>
          <w:szCs w:val="28"/>
        </w:rPr>
      </w:pPr>
    </w:p>
    <w:p w14:paraId="517A5D2A" w14:textId="77777777" w:rsidR="00D048D1" w:rsidRPr="006C3201" w:rsidRDefault="00D048D1" w:rsidP="00D048D1">
      <w:pPr>
        <w:pStyle w:val="ManualHeading3"/>
        <w:rPr>
          <w:bCs/>
          <w:noProof/>
          <w:szCs w:val="24"/>
        </w:rPr>
      </w:pPr>
      <w:bookmarkStart w:id="204" w:name="_Toc167220294"/>
      <w:bookmarkStart w:id="205" w:name="_Toc177549027"/>
      <w:bookmarkStart w:id="206" w:name="_Toc214887239"/>
      <w:r w:rsidRPr="006C3201">
        <w:rPr>
          <w:noProof/>
        </w:rPr>
        <w:t>3.2.4.</w:t>
      </w:r>
      <w:r w:rsidRPr="006C3201">
        <w:rPr>
          <w:noProof/>
        </w:rPr>
        <w:tab/>
        <w:t>Szacowane zapotrzebowanie na zasoby ludzkie</w:t>
      </w:r>
      <w:bookmarkEnd w:id="204"/>
      <w:bookmarkEnd w:id="205"/>
      <w:bookmarkEnd w:id="206"/>
      <w:r w:rsidRPr="006C3201">
        <w:rPr>
          <w:noProof/>
        </w:rPr>
        <w:t xml:space="preserve"> </w:t>
      </w:r>
    </w:p>
    <w:p w14:paraId="5E54E6FA" w14:textId="77777777" w:rsidR="00D048D1" w:rsidRPr="006C3201" w:rsidRDefault="00D048D1" w:rsidP="00D048D1">
      <w:pPr>
        <w:pStyle w:val="ListDash1"/>
        <w:rPr>
          <w:noProof/>
        </w:rPr>
      </w:pPr>
      <w:r w:rsidRPr="006C3201">
        <w:rPr>
          <w:rFonts w:ascii="Segoe UI Symbol" w:hAnsi="Segoe UI Symbol"/>
          <w:i/>
          <w:noProof/>
          <w:sz w:val="22"/>
        </w:rPr>
        <w:t>✓</w:t>
      </w:r>
      <w:r w:rsidRPr="006C3201">
        <w:rPr>
          <w:noProof/>
        </w:rPr>
        <w:tab/>
        <w:t>Wniosek/inicjatywa nie wiąże się</w:t>
      </w:r>
      <w:r w:rsidR="00110A93" w:rsidRPr="006C3201">
        <w:rPr>
          <w:noProof/>
        </w:rPr>
        <w:t xml:space="preserve"> z</w:t>
      </w:r>
      <w:r w:rsidR="00110A93">
        <w:rPr>
          <w:noProof/>
        </w:rPr>
        <w:t> </w:t>
      </w:r>
      <w:r w:rsidR="00110A93" w:rsidRPr="006C3201">
        <w:rPr>
          <w:noProof/>
        </w:rPr>
        <w:t>kon</w:t>
      </w:r>
      <w:r w:rsidRPr="006C3201">
        <w:rPr>
          <w:noProof/>
        </w:rPr>
        <w:t xml:space="preserve">iecznością wykorzystania zasobów ludzkich </w:t>
      </w:r>
    </w:p>
    <w:p w14:paraId="7A2DF309" w14:textId="77777777" w:rsidR="00D048D1" w:rsidRPr="006C3201" w:rsidRDefault="00D048D1" w:rsidP="00D048D1">
      <w:pPr>
        <w:pStyle w:val="ListDash1"/>
        <w:rPr>
          <w:noProof/>
        </w:rPr>
      </w:pPr>
      <w:r w:rsidRPr="006C3201">
        <w:rPr>
          <w:rFonts w:ascii="Wingdings" w:hAnsi="Wingdings"/>
          <w:noProof/>
        </w:rPr>
        <w:t></w:t>
      </w:r>
      <w:r w:rsidRPr="006C3201">
        <w:rPr>
          <w:noProof/>
        </w:rPr>
        <w:tab/>
        <w:t>Wniosek/inicjatywa wiąże się</w:t>
      </w:r>
      <w:r w:rsidR="00110A93" w:rsidRPr="006C3201">
        <w:rPr>
          <w:noProof/>
        </w:rPr>
        <w:t xml:space="preserve"> z</w:t>
      </w:r>
      <w:r w:rsidR="00110A93">
        <w:rPr>
          <w:noProof/>
        </w:rPr>
        <w:t> </w:t>
      </w:r>
      <w:r w:rsidR="00110A93" w:rsidRPr="006C3201">
        <w:rPr>
          <w:noProof/>
        </w:rPr>
        <w:t>kon</w:t>
      </w:r>
      <w:r w:rsidRPr="006C3201">
        <w:rPr>
          <w:noProof/>
        </w:rPr>
        <w:t>iecznością wykorzystania zasobów ludzkich, jak określono poniżej</w:t>
      </w:r>
    </w:p>
    <w:p w14:paraId="4FD1A7E4" w14:textId="77777777" w:rsidR="00D048D1" w:rsidRPr="006C3201" w:rsidRDefault="00D048D1" w:rsidP="00D048D1">
      <w:pPr>
        <w:pStyle w:val="ManualHeading3"/>
        <w:rPr>
          <w:noProof/>
        </w:rPr>
      </w:pPr>
      <w:bookmarkStart w:id="207" w:name="_Toc167220295"/>
      <w:bookmarkStart w:id="208" w:name="_Toc177549028"/>
      <w:bookmarkStart w:id="209" w:name="_Toc214887240"/>
      <w:r w:rsidRPr="006C3201">
        <w:rPr>
          <w:noProof/>
        </w:rPr>
        <w:t>3.2.4.1.</w:t>
      </w:r>
      <w:r w:rsidRPr="006C3201">
        <w:rPr>
          <w:noProof/>
        </w:rPr>
        <w:tab/>
        <w:t>Finansowane</w:t>
      </w:r>
      <w:r w:rsidR="00110A93" w:rsidRPr="006C3201">
        <w:rPr>
          <w:noProof/>
        </w:rPr>
        <w:t xml:space="preserve"> z</w:t>
      </w:r>
      <w:r w:rsidR="00110A93">
        <w:rPr>
          <w:noProof/>
        </w:rPr>
        <w:t> </w:t>
      </w:r>
      <w:r w:rsidR="00110A93" w:rsidRPr="006C3201">
        <w:rPr>
          <w:noProof/>
        </w:rPr>
        <w:t>uch</w:t>
      </w:r>
      <w:r w:rsidRPr="006C3201">
        <w:rPr>
          <w:noProof/>
        </w:rPr>
        <w:t>walonego budżetu</w:t>
      </w:r>
      <w:bookmarkEnd w:id="207"/>
      <w:bookmarkEnd w:id="208"/>
      <w:bookmarkEnd w:id="209"/>
    </w:p>
    <w:p w14:paraId="3922A6FA" w14:textId="77777777" w:rsidR="00D048D1" w:rsidRPr="006C3201" w:rsidRDefault="00D048D1" w:rsidP="00D048D1">
      <w:pPr>
        <w:spacing w:after="60"/>
        <w:jc w:val="right"/>
        <w:rPr>
          <w:i/>
          <w:noProof/>
          <w:sz w:val="20"/>
        </w:rPr>
      </w:pPr>
      <w:r w:rsidRPr="006C3201">
        <w:rPr>
          <w:i/>
          <w:noProof/>
          <w:sz w:val="20"/>
        </w:rPr>
        <w:t>Wartości szacunkowe należy wyrazić</w:t>
      </w:r>
      <w:r w:rsidR="00110A93" w:rsidRPr="006C3201">
        <w:rPr>
          <w:i/>
          <w:noProof/>
          <w:sz w:val="20"/>
        </w:rPr>
        <w:t xml:space="preserve"> w</w:t>
      </w:r>
      <w:r w:rsidR="00110A93">
        <w:rPr>
          <w:i/>
          <w:noProof/>
          <w:sz w:val="20"/>
        </w:rPr>
        <w:t> </w:t>
      </w:r>
      <w:r w:rsidR="00110A93" w:rsidRPr="006C3201">
        <w:rPr>
          <w:i/>
          <w:noProof/>
          <w:sz w:val="20"/>
        </w:rPr>
        <w:t>ekw</w:t>
      </w:r>
      <w:r w:rsidRPr="006C3201">
        <w:rPr>
          <w:i/>
          <w:noProof/>
          <w:sz w:val="20"/>
        </w:rPr>
        <w:t>iwalentach pełnego czasu pracy (EPC)</w:t>
      </w:r>
    </w:p>
    <w:p w14:paraId="016C93CD" w14:textId="77777777" w:rsidR="00D048D1" w:rsidRPr="006C3201" w:rsidRDefault="00D048D1" w:rsidP="00D048D1">
      <w:pPr>
        <w:pStyle w:val="Text1"/>
        <w:spacing w:before="60" w:after="60"/>
        <w:ind w:left="-426" w:right="-427"/>
        <w:rPr>
          <w:b/>
          <w:noProof/>
          <w:sz w:val="18"/>
          <w:szCs w:val="18"/>
        </w:rPr>
      </w:pPr>
      <w:bookmarkStart w:id="210" w:name="_Hlk156979231"/>
    </w:p>
    <w:tbl>
      <w:tblPr>
        <w:tblW w:w="5000" w:type="pct"/>
        <w:tblLook w:val="04A0" w:firstRow="1" w:lastRow="0" w:firstColumn="1" w:lastColumn="0" w:noHBand="0" w:noVBand="1"/>
      </w:tblPr>
      <w:tblGrid>
        <w:gridCol w:w="1476"/>
        <w:gridCol w:w="3799"/>
        <w:gridCol w:w="945"/>
        <w:gridCol w:w="945"/>
        <w:gridCol w:w="945"/>
        <w:gridCol w:w="943"/>
      </w:tblGrid>
      <w:tr w:rsidR="00E43BAD" w:rsidRPr="006C3201" w14:paraId="6BFFEF60" w14:textId="77777777" w:rsidTr="0061523A">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3D6EBDD2" w14:textId="77777777" w:rsidR="00D048D1" w:rsidRPr="006C3201" w:rsidRDefault="00D048D1">
            <w:pPr>
              <w:spacing w:before="0" w:after="0"/>
              <w:jc w:val="center"/>
              <w:rPr>
                <w:b/>
                <w:bCs/>
                <w:noProof/>
                <w:sz w:val="18"/>
                <w:szCs w:val="18"/>
              </w:rPr>
            </w:pPr>
            <w:r w:rsidRPr="006C3201">
              <w:rPr>
                <w:b/>
                <w:noProof/>
                <w:sz w:val="18"/>
              </w:rPr>
              <w:t>ZATWIERDZONE ŚRODKI</w:t>
            </w:r>
          </w:p>
        </w:tc>
        <w:tc>
          <w:tcPr>
            <w:tcW w:w="522" w:type="pct"/>
            <w:tcBorders>
              <w:top w:val="single" w:sz="8" w:space="0" w:color="auto"/>
              <w:left w:val="nil"/>
              <w:bottom w:val="nil"/>
              <w:right w:val="single" w:sz="8" w:space="0" w:color="auto"/>
            </w:tcBorders>
            <w:vAlign w:val="center"/>
            <w:hideMark/>
          </w:tcPr>
          <w:p w14:paraId="5C74EA6B" w14:textId="77777777" w:rsidR="00D048D1" w:rsidRPr="006C3201" w:rsidRDefault="00D048D1">
            <w:pPr>
              <w:spacing w:before="0" w:after="0"/>
              <w:jc w:val="center"/>
              <w:rPr>
                <w:noProof/>
                <w:sz w:val="20"/>
                <w:szCs w:val="20"/>
              </w:rPr>
            </w:pPr>
            <w:r w:rsidRPr="006C3201">
              <w:rPr>
                <w:noProof/>
                <w:sz w:val="20"/>
              </w:rPr>
              <w:t>Rok</w:t>
            </w:r>
          </w:p>
        </w:tc>
        <w:tc>
          <w:tcPr>
            <w:tcW w:w="522" w:type="pct"/>
            <w:tcBorders>
              <w:top w:val="single" w:sz="8" w:space="0" w:color="auto"/>
              <w:left w:val="nil"/>
              <w:bottom w:val="nil"/>
              <w:right w:val="single" w:sz="8" w:space="0" w:color="auto"/>
            </w:tcBorders>
            <w:vAlign w:val="center"/>
            <w:hideMark/>
          </w:tcPr>
          <w:p w14:paraId="0C51FAF8" w14:textId="77777777" w:rsidR="00D048D1" w:rsidRPr="006C3201" w:rsidRDefault="00D048D1">
            <w:pPr>
              <w:spacing w:before="0" w:after="0"/>
              <w:jc w:val="center"/>
              <w:rPr>
                <w:noProof/>
                <w:sz w:val="20"/>
                <w:szCs w:val="20"/>
              </w:rPr>
            </w:pPr>
            <w:r w:rsidRPr="006C3201">
              <w:rPr>
                <w:noProof/>
                <w:sz w:val="20"/>
              </w:rPr>
              <w:t>Rok</w:t>
            </w:r>
          </w:p>
        </w:tc>
        <w:tc>
          <w:tcPr>
            <w:tcW w:w="522" w:type="pct"/>
            <w:tcBorders>
              <w:top w:val="single" w:sz="8" w:space="0" w:color="auto"/>
              <w:left w:val="nil"/>
              <w:bottom w:val="nil"/>
              <w:right w:val="single" w:sz="8" w:space="0" w:color="auto"/>
            </w:tcBorders>
            <w:vAlign w:val="center"/>
            <w:hideMark/>
          </w:tcPr>
          <w:p w14:paraId="4015A561" w14:textId="77777777" w:rsidR="00D048D1" w:rsidRPr="006C3201" w:rsidRDefault="00D048D1">
            <w:pPr>
              <w:spacing w:before="0" w:after="0"/>
              <w:jc w:val="center"/>
              <w:rPr>
                <w:noProof/>
                <w:sz w:val="20"/>
                <w:szCs w:val="20"/>
              </w:rPr>
            </w:pPr>
            <w:r w:rsidRPr="006C3201">
              <w:rPr>
                <w:noProof/>
                <w:sz w:val="20"/>
              </w:rPr>
              <w:t>Rok</w:t>
            </w:r>
          </w:p>
        </w:tc>
        <w:tc>
          <w:tcPr>
            <w:tcW w:w="522" w:type="pct"/>
            <w:tcBorders>
              <w:top w:val="single" w:sz="8" w:space="0" w:color="auto"/>
              <w:left w:val="nil"/>
              <w:bottom w:val="nil"/>
              <w:right w:val="single" w:sz="8" w:space="0" w:color="auto"/>
            </w:tcBorders>
            <w:vAlign w:val="center"/>
            <w:hideMark/>
          </w:tcPr>
          <w:p w14:paraId="1976574D" w14:textId="77777777" w:rsidR="00D048D1" w:rsidRPr="006C3201" w:rsidRDefault="00D048D1">
            <w:pPr>
              <w:spacing w:before="0" w:after="0"/>
              <w:jc w:val="center"/>
              <w:rPr>
                <w:noProof/>
                <w:sz w:val="20"/>
                <w:szCs w:val="20"/>
              </w:rPr>
            </w:pPr>
            <w:r w:rsidRPr="006C3201">
              <w:rPr>
                <w:noProof/>
                <w:sz w:val="20"/>
              </w:rPr>
              <w:t>Rok</w:t>
            </w:r>
          </w:p>
        </w:tc>
      </w:tr>
      <w:tr w:rsidR="00E43BAD" w:rsidRPr="006C3201" w14:paraId="4E394ABD" w14:textId="77777777" w:rsidTr="0061523A">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548F1DE0" w14:textId="77777777" w:rsidR="00D048D1" w:rsidRPr="006C3201" w:rsidRDefault="00D048D1">
            <w:pPr>
              <w:spacing w:before="0" w:after="0"/>
              <w:jc w:val="left"/>
              <w:rPr>
                <w:b/>
                <w:bCs/>
                <w:noProof/>
                <w:sz w:val="18"/>
                <w:szCs w:val="18"/>
                <w:lang w:eastAsia="en-IE"/>
              </w:rPr>
            </w:pPr>
          </w:p>
        </w:tc>
        <w:tc>
          <w:tcPr>
            <w:tcW w:w="522" w:type="pct"/>
            <w:tcBorders>
              <w:top w:val="nil"/>
              <w:left w:val="nil"/>
              <w:bottom w:val="single" w:sz="8" w:space="0" w:color="auto"/>
              <w:right w:val="single" w:sz="8" w:space="0" w:color="auto"/>
            </w:tcBorders>
            <w:vAlign w:val="center"/>
            <w:hideMark/>
          </w:tcPr>
          <w:p w14:paraId="1179F8B6" w14:textId="77777777" w:rsidR="00D048D1" w:rsidRPr="006C3201" w:rsidRDefault="00D048D1">
            <w:pPr>
              <w:spacing w:before="0" w:after="0"/>
              <w:jc w:val="center"/>
              <w:rPr>
                <w:b/>
                <w:bCs/>
                <w:noProof/>
                <w:sz w:val="20"/>
                <w:szCs w:val="20"/>
              </w:rPr>
            </w:pPr>
            <w:r w:rsidRPr="006C3201">
              <w:rPr>
                <w:b/>
                <w:noProof/>
                <w:sz w:val="20"/>
              </w:rPr>
              <w:t>2024</w:t>
            </w:r>
          </w:p>
        </w:tc>
        <w:tc>
          <w:tcPr>
            <w:tcW w:w="522" w:type="pct"/>
            <w:tcBorders>
              <w:top w:val="nil"/>
              <w:left w:val="nil"/>
              <w:bottom w:val="single" w:sz="8" w:space="0" w:color="auto"/>
              <w:right w:val="single" w:sz="8" w:space="0" w:color="auto"/>
            </w:tcBorders>
            <w:vAlign w:val="center"/>
            <w:hideMark/>
          </w:tcPr>
          <w:p w14:paraId="0F472BE5" w14:textId="77777777" w:rsidR="00D048D1" w:rsidRPr="006C3201" w:rsidRDefault="00D048D1">
            <w:pPr>
              <w:spacing w:before="0" w:after="0"/>
              <w:jc w:val="center"/>
              <w:rPr>
                <w:b/>
                <w:bCs/>
                <w:noProof/>
                <w:sz w:val="20"/>
                <w:szCs w:val="20"/>
              </w:rPr>
            </w:pPr>
            <w:r w:rsidRPr="006C3201">
              <w:rPr>
                <w:b/>
                <w:noProof/>
                <w:sz w:val="20"/>
              </w:rPr>
              <w:t>2025</w:t>
            </w:r>
          </w:p>
        </w:tc>
        <w:tc>
          <w:tcPr>
            <w:tcW w:w="522" w:type="pct"/>
            <w:tcBorders>
              <w:top w:val="nil"/>
              <w:left w:val="nil"/>
              <w:bottom w:val="single" w:sz="8" w:space="0" w:color="auto"/>
              <w:right w:val="single" w:sz="8" w:space="0" w:color="auto"/>
            </w:tcBorders>
            <w:vAlign w:val="center"/>
            <w:hideMark/>
          </w:tcPr>
          <w:p w14:paraId="386BB87F" w14:textId="77777777" w:rsidR="00D048D1" w:rsidRPr="006C3201" w:rsidRDefault="00D048D1">
            <w:pPr>
              <w:spacing w:before="0" w:after="0"/>
              <w:jc w:val="center"/>
              <w:rPr>
                <w:b/>
                <w:bCs/>
                <w:noProof/>
                <w:sz w:val="20"/>
                <w:szCs w:val="20"/>
              </w:rPr>
            </w:pPr>
            <w:r w:rsidRPr="006C3201">
              <w:rPr>
                <w:b/>
                <w:noProof/>
                <w:sz w:val="20"/>
              </w:rPr>
              <w:t>2026</w:t>
            </w:r>
          </w:p>
        </w:tc>
        <w:tc>
          <w:tcPr>
            <w:tcW w:w="522" w:type="pct"/>
            <w:tcBorders>
              <w:top w:val="nil"/>
              <w:left w:val="nil"/>
              <w:bottom w:val="single" w:sz="8" w:space="0" w:color="auto"/>
              <w:right w:val="single" w:sz="8" w:space="0" w:color="auto"/>
            </w:tcBorders>
            <w:vAlign w:val="center"/>
            <w:hideMark/>
          </w:tcPr>
          <w:p w14:paraId="1791C4D8" w14:textId="77777777" w:rsidR="00D048D1" w:rsidRPr="006C3201" w:rsidRDefault="00D048D1">
            <w:pPr>
              <w:spacing w:before="0" w:after="0"/>
              <w:jc w:val="center"/>
              <w:rPr>
                <w:b/>
                <w:bCs/>
                <w:noProof/>
                <w:sz w:val="20"/>
                <w:szCs w:val="20"/>
              </w:rPr>
            </w:pPr>
            <w:r w:rsidRPr="006C3201">
              <w:rPr>
                <w:b/>
                <w:noProof/>
                <w:sz w:val="20"/>
              </w:rPr>
              <w:t>2027</w:t>
            </w:r>
          </w:p>
        </w:tc>
      </w:tr>
      <w:tr w:rsidR="00E43BAD" w:rsidRPr="006C3201" w14:paraId="04989AE3" w14:textId="77777777" w:rsidTr="0061523A">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06F51E50" w14:textId="77777777" w:rsidR="00D048D1" w:rsidRPr="006C3201" w:rsidRDefault="00D048D1">
            <w:pPr>
              <w:spacing w:before="0" w:after="0"/>
              <w:jc w:val="left"/>
              <w:rPr>
                <w:rFonts w:ascii="Wingdings" w:hAnsi="Wingdings" w:cs="Calibri"/>
                <w:b/>
                <w:bCs/>
                <w:noProof/>
                <w:sz w:val="16"/>
                <w:szCs w:val="16"/>
              </w:rPr>
            </w:pPr>
            <w:r w:rsidRPr="006C3201">
              <w:rPr>
                <w:rFonts w:ascii="Wingdings" w:hAnsi="Wingdings"/>
                <w:b/>
                <w:noProof/>
                <w:sz w:val="16"/>
              </w:rPr>
              <w:t></w:t>
            </w:r>
            <w:r w:rsidRPr="006C3201">
              <w:rPr>
                <w:b/>
                <w:noProof/>
                <w:sz w:val="16"/>
              </w:rPr>
              <w:t xml:space="preserve"> Stanowiska przewidziane</w:t>
            </w:r>
            <w:r w:rsidR="00110A93" w:rsidRPr="006C3201">
              <w:rPr>
                <w:b/>
                <w:noProof/>
                <w:sz w:val="16"/>
              </w:rPr>
              <w:t xml:space="preserve"> w</w:t>
            </w:r>
            <w:r w:rsidR="00110A93">
              <w:rPr>
                <w:b/>
                <w:noProof/>
                <w:sz w:val="16"/>
              </w:rPr>
              <w:t> </w:t>
            </w:r>
            <w:r w:rsidR="00110A93" w:rsidRPr="006C3201">
              <w:rPr>
                <w:b/>
                <w:noProof/>
                <w:sz w:val="16"/>
              </w:rPr>
              <w:t>pla</w:t>
            </w:r>
            <w:r w:rsidRPr="006C3201">
              <w:rPr>
                <w:b/>
                <w:noProof/>
                <w:sz w:val="16"/>
              </w:rPr>
              <w:t>nie zatrudnienia (stanowiska urzędników</w:t>
            </w:r>
            <w:r w:rsidR="00110A93" w:rsidRPr="006C3201">
              <w:rPr>
                <w:b/>
                <w:noProof/>
                <w:sz w:val="16"/>
              </w:rPr>
              <w:t xml:space="preserve"> i</w:t>
            </w:r>
            <w:r w:rsidR="00110A93">
              <w:rPr>
                <w:b/>
                <w:noProof/>
                <w:sz w:val="16"/>
              </w:rPr>
              <w:t> </w:t>
            </w:r>
            <w:r w:rsidR="00110A93" w:rsidRPr="006C3201">
              <w:rPr>
                <w:b/>
                <w:noProof/>
                <w:sz w:val="16"/>
              </w:rPr>
              <w:t>pra</w:t>
            </w:r>
            <w:r w:rsidRPr="006C3201">
              <w:rPr>
                <w:b/>
                <w:noProof/>
                <w:sz w:val="16"/>
              </w:rPr>
              <w:t>cowników zatrudnionych na czas określony)</w:t>
            </w:r>
          </w:p>
        </w:tc>
      </w:tr>
      <w:tr w:rsidR="00E43BAD" w:rsidRPr="006C3201" w14:paraId="2CC174A0" w14:textId="77777777"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D7AB64D" w14:textId="77777777" w:rsidR="00D048D1" w:rsidRPr="006C3201" w:rsidRDefault="00D048D1">
            <w:pPr>
              <w:spacing w:before="0" w:after="0"/>
              <w:ind w:firstLineChars="100" w:firstLine="240"/>
              <w:jc w:val="left"/>
              <w:rPr>
                <w:noProof/>
                <w:sz w:val="16"/>
                <w:szCs w:val="16"/>
              </w:rPr>
            </w:pPr>
            <w:r w:rsidRPr="006C3201">
              <w:rPr>
                <w:noProof/>
              </w:rPr>
              <w:t>20 01 02 01 (w centrali</w:t>
            </w:r>
            <w:r w:rsidR="00110A93" w:rsidRPr="006C3201">
              <w:rPr>
                <w:noProof/>
              </w:rPr>
              <w:t xml:space="preserve"> i</w:t>
            </w:r>
            <w:r w:rsidR="00110A93">
              <w:rPr>
                <w:noProof/>
              </w:rPr>
              <w:t> </w:t>
            </w:r>
            <w:r w:rsidR="00110A93" w:rsidRPr="006C3201">
              <w:rPr>
                <w:noProof/>
              </w:rPr>
              <w:t>w</w:t>
            </w:r>
            <w:r w:rsidR="00110A93">
              <w:rPr>
                <w:noProof/>
              </w:rPr>
              <w:t> </w:t>
            </w:r>
            <w:r w:rsidR="00110A93" w:rsidRPr="006C3201">
              <w:rPr>
                <w:noProof/>
              </w:rPr>
              <w:t>biu</w:t>
            </w:r>
            <w:r w:rsidRPr="006C3201">
              <w:rPr>
                <w:noProof/>
              </w:rPr>
              <w:t>rach przedstawicielstw Komisji)</w:t>
            </w:r>
          </w:p>
        </w:tc>
        <w:tc>
          <w:tcPr>
            <w:tcW w:w="522" w:type="pct"/>
            <w:tcBorders>
              <w:top w:val="nil"/>
              <w:left w:val="nil"/>
              <w:bottom w:val="single" w:sz="8" w:space="0" w:color="auto"/>
              <w:right w:val="single" w:sz="8" w:space="0" w:color="auto"/>
            </w:tcBorders>
            <w:shd w:val="clear" w:color="000000" w:fill="D9D9D9"/>
            <w:vAlign w:val="center"/>
            <w:hideMark/>
          </w:tcPr>
          <w:p w14:paraId="17B09EE3"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DCC2821"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C2C66A2"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E6A3D60" w14:textId="77777777" w:rsidR="00D048D1" w:rsidRPr="006C3201" w:rsidRDefault="00D048D1">
            <w:pPr>
              <w:spacing w:before="0" w:after="0"/>
              <w:jc w:val="center"/>
              <w:rPr>
                <w:noProof/>
                <w:sz w:val="16"/>
                <w:szCs w:val="16"/>
              </w:rPr>
            </w:pPr>
            <w:r w:rsidRPr="006C3201">
              <w:rPr>
                <w:noProof/>
                <w:sz w:val="16"/>
              </w:rPr>
              <w:t>0</w:t>
            </w:r>
          </w:p>
        </w:tc>
      </w:tr>
      <w:tr w:rsidR="00E43BAD" w:rsidRPr="006C3201" w14:paraId="74D56FBE" w14:textId="77777777"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4A3F56B" w14:textId="77777777" w:rsidR="00D048D1" w:rsidRPr="006C3201" w:rsidRDefault="00D048D1">
            <w:pPr>
              <w:spacing w:before="0" w:after="0"/>
              <w:ind w:firstLineChars="100" w:firstLine="160"/>
              <w:jc w:val="left"/>
              <w:rPr>
                <w:noProof/>
                <w:sz w:val="16"/>
                <w:szCs w:val="16"/>
              </w:rPr>
            </w:pPr>
            <w:r w:rsidRPr="006C3201">
              <w:rPr>
                <w:noProof/>
                <w:sz w:val="16"/>
              </w:rPr>
              <w:t>20 01 02 03 (w delegaturach UE)</w:t>
            </w:r>
          </w:p>
        </w:tc>
        <w:tc>
          <w:tcPr>
            <w:tcW w:w="522" w:type="pct"/>
            <w:tcBorders>
              <w:top w:val="nil"/>
              <w:left w:val="nil"/>
              <w:bottom w:val="single" w:sz="8" w:space="0" w:color="auto"/>
              <w:right w:val="single" w:sz="8" w:space="0" w:color="auto"/>
            </w:tcBorders>
            <w:shd w:val="clear" w:color="000000" w:fill="D9D9D9"/>
            <w:vAlign w:val="center"/>
            <w:hideMark/>
          </w:tcPr>
          <w:p w14:paraId="710AD4CC"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7928886"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B8C649B"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3FC65AD" w14:textId="77777777" w:rsidR="00D048D1" w:rsidRPr="006C3201" w:rsidRDefault="00D048D1">
            <w:pPr>
              <w:spacing w:before="0" w:after="0"/>
              <w:jc w:val="center"/>
              <w:rPr>
                <w:noProof/>
                <w:sz w:val="16"/>
                <w:szCs w:val="16"/>
              </w:rPr>
            </w:pPr>
            <w:r w:rsidRPr="006C3201">
              <w:rPr>
                <w:noProof/>
                <w:sz w:val="16"/>
              </w:rPr>
              <w:t>0</w:t>
            </w:r>
          </w:p>
        </w:tc>
      </w:tr>
      <w:tr w:rsidR="00E43BAD" w:rsidRPr="006C3201" w14:paraId="7DC60801" w14:textId="77777777"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B2CBA52" w14:textId="77777777" w:rsidR="00D048D1" w:rsidRPr="006C3201" w:rsidRDefault="00D048D1">
            <w:pPr>
              <w:spacing w:before="0" w:after="0"/>
              <w:ind w:firstLineChars="100" w:firstLine="160"/>
              <w:jc w:val="left"/>
              <w:rPr>
                <w:noProof/>
                <w:sz w:val="16"/>
                <w:szCs w:val="16"/>
              </w:rPr>
            </w:pPr>
            <w:r w:rsidRPr="006C3201">
              <w:rPr>
                <w:noProof/>
                <w:sz w:val="16"/>
              </w:rPr>
              <w:t>01 01 01 01</w:t>
            </w:r>
            <w:r w:rsidRPr="006C3201">
              <w:rPr>
                <w:noProof/>
              </w:rPr>
              <w:t xml:space="preserve"> </w:t>
            </w:r>
            <w:r w:rsidRPr="006C3201">
              <w:rPr>
                <w:noProof/>
                <w:sz w:val="16"/>
              </w:rPr>
              <w:t>(pośrednie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3DF49DA7"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C50DC8B"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529A845"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A294EEF" w14:textId="77777777" w:rsidR="00D048D1" w:rsidRPr="006C3201" w:rsidRDefault="00D048D1">
            <w:pPr>
              <w:spacing w:before="0" w:after="0"/>
              <w:jc w:val="center"/>
              <w:rPr>
                <w:noProof/>
                <w:sz w:val="16"/>
                <w:szCs w:val="16"/>
              </w:rPr>
            </w:pPr>
            <w:r w:rsidRPr="006C3201">
              <w:rPr>
                <w:noProof/>
                <w:sz w:val="16"/>
              </w:rPr>
              <w:t>0</w:t>
            </w:r>
          </w:p>
        </w:tc>
      </w:tr>
      <w:tr w:rsidR="00E43BAD" w:rsidRPr="006C3201" w14:paraId="42F6C7FC" w14:textId="77777777"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12DFEC2" w14:textId="77777777" w:rsidR="00D048D1" w:rsidRPr="006C3201" w:rsidRDefault="00D048D1">
            <w:pPr>
              <w:spacing w:before="0" w:after="0"/>
              <w:ind w:firstLineChars="100" w:firstLine="160"/>
              <w:jc w:val="left"/>
              <w:rPr>
                <w:noProof/>
                <w:sz w:val="16"/>
                <w:szCs w:val="16"/>
              </w:rPr>
            </w:pPr>
            <w:r w:rsidRPr="006C3201">
              <w:rPr>
                <w:noProof/>
                <w:sz w:val="16"/>
              </w:rPr>
              <w:t>01 01 01 11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4C931DA3"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2E4C2CB"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D11B1A6"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AD90739" w14:textId="77777777" w:rsidR="00D048D1" w:rsidRPr="006C3201" w:rsidRDefault="00D048D1">
            <w:pPr>
              <w:spacing w:before="0" w:after="0"/>
              <w:jc w:val="center"/>
              <w:rPr>
                <w:noProof/>
                <w:sz w:val="16"/>
                <w:szCs w:val="16"/>
              </w:rPr>
            </w:pPr>
            <w:r w:rsidRPr="006C3201">
              <w:rPr>
                <w:noProof/>
                <w:sz w:val="16"/>
              </w:rPr>
              <w:t>0</w:t>
            </w:r>
          </w:p>
        </w:tc>
      </w:tr>
      <w:tr w:rsidR="00E43BAD" w:rsidRPr="006C3201" w14:paraId="0181DB5E" w14:textId="77777777"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062E3D2" w14:textId="77777777" w:rsidR="00D048D1" w:rsidRPr="006C3201" w:rsidRDefault="00D048D1">
            <w:pPr>
              <w:spacing w:before="0" w:after="0"/>
              <w:ind w:firstLineChars="100" w:firstLine="160"/>
              <w:jc w:val="left"/>
              <w:rPr>
                <w:noProof/>
                <w:sz w:val="16"/>
                <w:szCs w:val="16"/>
              </w:rPr>
            </w:pPr>
            <w:r w:rsidRPr="006C3201">
              <w:rPr>
                <w:noProof/>
                <w:sz w:val="16"/>
              </w:rPr>
              <w:t>Inna linia budżetowa (określić)</w:t>
            </w:r>
          </w:p>
        </w:tc>
        <w:tc>
          <w:tcPr>
            <w:tcW w:w="522" w:type="pct"/>
            <w:tcBorders>
              <w:top w:val="nil"/>
              <w:left w:val="nil"/>
              <w:bottom w:val="single" w:sz="8" w:space="0" w:color="auto"/>
              <w:right w:val="single" w:sz="8" w:space="0" w:color="auto"/>
            </w:tcBorders>
            <w:shd w:val="clear" w:color="000000" w:fill="D9D9D9"/>
            <w:vAlign w:val="center"/>
            <w:hideMark/>
          </w:tcPr>
          <w:p w14:paraId="3CCA9787"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323DE46"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213012A"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E208B04" w14:textId="77777777" w:rsidR="00D048D1" w:rsidRPr="006C3201" w:rsidRDefault="00D048D1">
            <w:pPr>
              <w:spacing w:before="0" w:after="0"/>
              <w:jc w:val="center"/>
              <w:rPr>
                <w:noProof/>
                <w:sz w:val="16"/>
                <w:szCs w:val="16"/>
              </w:rPr>
            </w:pPr>
            <w:r w:rsidRPr="006C3201">
              <w:rPr>
                <w:noProof/>
                <w:sz w:val="16"/>
              </w:rPr>
              <w:t>0</w:t>
            </w:r>
          </w:p>
        </w:tc>
      </w:tr>
      <w:tr w:rsidR="00E43BAD" w:rsidRPr="006C3201" w14:paraId="61879638" w14:textId="77777777" w:rsidTr="0061523A">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6DC9607D" w14:textId="77777777" w:rsidR="00D048D1" w:rsidRPr="006C3201" w:rsidRDefault="00D048D1">
            <w:pPr>
              <w:spacing w:before="0" w:after="0"/>
              <w:jc w:val="left"/>
              <w:rPr>
                <w:rFonts w:ascii="Wingdings" w:hAnsi="Wingdings" w:cs="Calibri"/>
                <w:b/>
                <w:bCs/>
                <w:noProof/>
                <w:sz w:val="16"/>
                <w:szCs w:val="16"/>
              </w:rPr>
            </w:pPr>
            <w:r w:rsidRPr="006C3201">
              <w:rPr>
                <w:rFonts w:ascii="Calibri" w:hAnsi="Calibri"/>
                <w:b/>
                <w:noProof/>
                <w:sz w:val="16"/>
              </w:rPr>
              <w:t>•</w:t>
            </w:r>
            <w:r w:rsidRPr="006C3201">
              <w:rPr>
                <w:b/>
                <w:noProof/>
                <w:sz w:val="16"/>
              </w:rPr>
              <w:t xml:space="preserve"> Personel zewnętrzny (w EPC)</w:t>
            </w:r>
          </w:p>
        </w:tc>
      </w:tr>
      <w:tr w:rsidR="00E43BAD" w:rsidRPr="006C3201" w14:paraId="0D264209" w14:textId="77777777"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99ABCA2" w14:textId="77777777" w:rsidR="00D048D1" w:rsidRPr="006C3201" w:rsidRDefault="00D048D1">
            <w:pPr>
              <w:spacing w:before="0" w:after="0"/>
              <w:ind w:firstLineChars="100" w:firstLine="160"/>
              <w:jc w:val="left"/>
              <w:rPr>
                <w:noProof/>
                <w:sz w:val="16"/>
                <w:szCs w:val="16"/>
              </w:rPr>
            </w:pPr>
            <w:r w:rsidRPr="006C3201">
              <w:rPr>
                <w:noProof/>
                <w:sz w:val="16"/>
              </w:rPr>
              <w:t>20 02 01</w:t>
            </w:r>
            <w:r w:rsidRPr="006C3201">
              <w:rPr>
                <w:rFonts w:ascii="Arial Narrow" w:hAnsi="Arial Narrow"/>
                <w:noProof/>
                <w:sz w:val="20"/>
              </w:rPr>
              <w:t xml:space="preserve"> </w:t>
            </w:r>
            <w:r w:rsidRPr="006C3201">
              <w:rPr>
                <w:noProof/>
                <w:sz w:val="16"/>
              </w:rPr>
              <w:t>(CA, SNE</w:t>
            </w:r>
            <w:r w:rsidR="00110A93" w:rsidRPr="006C3201">
              <w:rPr>
                <w:noProof/>
                <w:sz w:val="16"/>
              </w:rPr>
              <w:t xml:space="preserve"> z</w:t>
            </w:r>
            <w:r w:rsidR="00110A93">
              <w:rPr>
                <w:noProof/>
                <w:sz w:val="16"/>
              </w:rPr>
              <w:t> </w:t>
            </w:r>
            <w:r w:rsidR="00110A93" w:rsidRPr="006C3201">
              <w:rPr>
                <w:noProof/>
                <w:sz w:val="16"/>
              </w:rPr>
              <w:t>glo</w:t>
            </w:r>
            <w:r w:rsidRPr="006C3201">
              <w:rPr>
                <w:noProof/>
                <w:sz w:val="16"/>
              </w:rPr>
              <w:t>balnej koperty finansowej)</w:t>
            </w:r>
          </w:p>
        </w:tc>
        <w:tc>
          <w:tcPr>
            <w:tcW w:w="522" w:type="pct"/>
            <w:tcBorders>
              <w:top w:val="nil"/>
              <w:left w:val="nil"/>
              <w:bottom w:val="single" w:sz="8" w:space="0" w:color="auto"/>
              <w:right w:val="single" w:sz="8" w:space="0" w:color="auto"/>
            </w:tcBorders>
            <w:shd w:val="clear" w:color="000000" w:fill="D9D9D9"/>
            <w:vAlign w:val="center"/>
            <w:hideMark/>
          </w:tcPr>
          <w:p w14:paraId="304367F9"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4F87C1F"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BBE81BB"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683E649" w14:textId="77777777" w:rsidR="00D048D1" w:rsidRPr="006C3201" w:rsidRDefault="00D048D1">
            <w:pPr>
              <w:spacing w:before="0" w:after="0"/>
              <w:jc w:val="center"/>
              <w:rPr>
                <w:noProof/>
                <w:sz w:val="16"/>
                <w:szCs w:val="16"/>
              </w:rPr>
            </w:pPr>
            <w:r w:rsidRPr="006C3201">
              <w:rPr>
                <w:noProof/>
                <w:sz w:val="16"/>
              </w:rPr>
              <w:t>0</w:t>
            </w:r>
          </w:p>
        </w:tc>
      </w:tr>
      <w:tr w:rsidR="00E43BAD" w:rsidRPr="006C3201" w14:paraId="0E00BB35" w14:textId="77777777"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FBFF9A3" w14:textId="77777777" w:rsidR="00D048D1" w:rsidRPr="006C3201" w:rsidRDefault="00D048D1">
            <w:pPr>
              <w:spacing w:before="0" w:after="0"/>
              <w:ind w:firstLineChars="100" w:firstLine="160"/>
              <w:jc w:val="left"/>
              <w:rPr>
                <w:noProof/>
                <w:sz w:val="16"/>
                <w:szCs w:val="16"/>
              </w:rPr>
            </w:pPr>
            <w:r w:rsidRPr="006C3201">
              <w:rPr>
                <w:noProof/>
                <w:sz w:val="16"/>
              </w:rPr>
              <w:t>20 02 03 (CA, LA, SNE i JPD</w:t>
            </w:r>
            <w:r w:rsidR="00110A93" w:rsidRPr="006C3201">
              <w:rPr>
                <w:noProof/>
                <w:sz w:val="16"/>
              </w:rPr>
              <w:t xml:space="preserve"> w</w:t>
            </w:r>
            <w:r w:rsidR="00110A93">
              <w:rPr>
                <w:noProof/>
                <w:sz w:val="16"/>
              </w:rPr>
              <w:t> </w:t>
            </w:r>
            <w:r w:rsidR="00110A93" w:rsidRPr="006C3201">
              <w:rPr>
                <w:noProof/>
                <w:sz w:val="16"/>
              </w:rPr>
              <w:t>del</w:t>
            </w:r>
            <w:r w:rsidRPr="006C3201">
              <w:rPr>
                <w:noProof/>
                <w:sz w:val="16"/>
              </w:rPr>
              <w:t>egaturach UE)</w:t>
            </w:r>
          </w:p>
        </w:tc>
        <w:tc>
          <w:tcPr>
            <w:tcW w:w="522" w:type="pct"/>
            <w:tcBorders>
              <w:top w:val="nil"/>
              <w:left w:val="nil"/>
              <w:bottom w:val="single" w:sz="8" w:space="0" w:color="auto"/>
              <w:right w:val="single" w:sz="8" w:space="0" w:color="auto"/>
            </w:tcBorders>
            <w:shd w:val="clear" w:color="000000" w:fill="D9D9D9"/>
            <w:vAlign w:val="center"/>
            <w:hideMark/>
          </w:tcPr>
          <w:p w14:paraId="52D895B1"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9F378F9"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C74C1D8"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63D700E" w14:textId="77777777" w:rsidR="00D048D1" w:rsidRPr="006C3201" w:rsidRDefault="00D048D1">
            <w:pPr>
              <w:spacing w:before="0" w:after="0"/>
              <w:jc w:val="center"/>
              <w:rPr>
                <w:noProof/>
                <w:sz w:val="16"/>
                <w:szCs w:val="16"/>
              </w:rPr>
            </w:pPr>
            <w:r w:rsidRPr="006C3201">
              <w:rPr>
                <w:noProof/>
                <w:sz w:val="16"/>
              </w:rPr>
              <w:t>0</w:t>
            </w:r>
          </w:p>
        </w:tc>
      </w:tr>
      <w:tr w:rsidR="00E43BAD" w:rsidRPr="006C3201" w14:paraId="1D9B88EF" w14:textId="77777777" w:rsidTr="0061523A">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14:paraId="4D1A85DE" w14:textId="77777777" w:rsidR="00D048D1" w:rsidRPr="006C3201" w:rsidRDefault="00D048D1">
            <w:pPr>
              <w:spacing w:before="0" w:after="0"/>
              <w:jc w:val="center"/>
              <w:rPr>
                <w:noProof/>
                <w:sz w:val="16"/>
                <w:szCs w:val="16"/>
              </w:rPr>
            </w:pPr>
            <w:r w:rsidRPr="006C3201">
              <w:rPr>
                <w:noProof/>
                <w:sz w:val="16"/>
              </w:rPr>
              <w:t>Linia budżetowa na wsparcie adm.</w:t>
            </w:r>
            <w:r w:rsidRPr="006C3201">
              <w:rPr>
                <w:noProof/>
              </w:rPr>
              <w:t xml:space="preserve"> </w:t>
            </w:r>
            <w:r w:rsidRPr="006C3201">
              <w:rPr>
                <w:noProof/>
              </w:rPr>
              <w:br/>
            </w:r>
            <w:r w:rsidRPr="006C3201">
              <w:rPr>
                <w:noProof/>
                <w:sz w:val="16"/>
              </w:rPr>
              <w:t>[XX.01.YY.YY]</w:t>
            </w:r>
          </w:p>
        </w:tc>
        <w:tc>
          <w:tcPr>
            <w:tcW w:w="2098" w:type="pct"/>
            <w:tcBorders>
              <w:top w:val="nil"/>
              <w:left w:val="nil"/>
              <w:bottom w:val="single" w:sz="8" w:space="0" w:color="auto"/>
              <w:right w:val="single" w:sz="8" w:space="0" w:color="auto"/>
            </w:tcBorders>
            <w:vAlign w:val="center"/>
            <w:hideMark/>
          </w:tcPr>
          <w:p w14:paraId="0D8E7689" w14:textId="77777777" w:rsidR="00D048D1" w:rsidRPr="006C3201" w:rsidRDefault="00D048D1">
            <w:pPr>
              <w:spacing w:before="0" w:after="0"/>
              <w:ind w:firstLineChars="100" w:firstLine="160"/>
              <w:jc w:val="left"/>
              <w:rPr>
                <w:noProof/>
                <w:sz w:val="16"/>
                <w:szCs w:val="16"/>
              </w:rPr>
            </w:pPr>
            <w:r w:rsidRPr="006C3201">
              <w:rPr>
                <w:noProof/>
                <w:sz w:val="16"/>
              </w:rPr>
              <w:t>-</w:t>
            </w:r>
            <w:r w:rsidR="00110A93" w:rsidRPr="006C3201">
              <w:rPr>
                <w:noProof/>
                <w:sz w:val="16"/>
              </w:rPr>
              <w:t xml:space="preserve"> w</w:t>
            </w:r>
            <w:r w:rsidR="00110A93">
              <w:rPr>
                <w:noProof/>
                <w:sz w:val="16"/>
              </w:rPr>
              <w:t> </w:t>
            </w:r>
            <w:r w:rsidR="00110A93" w:rsidRPr="006C3201">
              <w:rPr>
                <w:noProof/>
                <w:sz w:val="16"/>
              </w:rPr>
              <w:t>cen</w:t>
            </w:r>
            <w:r w:rsidRPr="006C3201">
              <w:rPr>
                <w:noProof/>
                <w:sz w:val="16"/>
              </w:rPr>
              <w:t>trali</w:t>
            </w:r>
          </w:p>
        </w:tc>
        <w:tc>
          <w:tcPr>
            <w:tcW w:w="522" w:type="pct"/>
            <w:tcBorders>
              <w:top w:val="nil"/>
              <w:left w:val="nil"/>
              <w:bottom w:val="single" w:sz="8" w:space="0" w:color="auto"/>
              <w:right w:val="single" w:sz="8" w:space="0" w:color="auto"/>
            </w:tcBorders>
            <w:shd w:val="clear" w:color="000000" w:fill="D9D9D9"/>
            <w:vAlign w:val="center"/>
            <w:hideMark/>
          </w:tcPr>
          <w:p w14:paraId="2D6613ED"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01740BE"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71B841A"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5A7B36F" w14:textId="77777777" w:rsidR="00D048D1" w:rsidRPr="006C3201" w:rsidRDefault="00D048D1">
            <w:pPr>
              <w:spacing w:before="0" w:after="0"/>
              <w:jc w:val="center"/>
              <w:rPr>
                <w:noProof/>
                <w:sz w:val="16"/>
                <w:szCs w:val="16"/>
              </w:rPr>
            </w:pPr>
            <w:r w:rsidRPr="006C3201">
              <w:rPr>
                <w:noProof/>
                <w:sz w:val="16"/>
              </w:rPr>
              <w:t>0</w:t>
            </w:r>
          </w:p>
        </w:tc>
      </w:tr>
      <w:tr w:rsidR="00E43BAD" w:rsidRPr="006C3201" w14:paraId="11B16B9A" w14:textId="77777777" w:rsidTr="0061523A">
        <w:trPr>
          <w:trHeight w:val="300"/>
        </w:trPr>
        <w:tc>
          <w:tcPr>
            <w:tcW w:w="815" w:type="pct"/>
            <w:vMerge/>
            <w:tcBorders>
              <w:top w:val="nil"/>
              <w:left w:val="single" w:sz="8" w:space="0" w:color="auto"/>
              <w:bottom w:val="single" w:sz="8" w:space="0" w:color="auto"/>
              <w:right w:val="single" w:sz="8" w:space="0" w:color="auto"/>
            </w:tcBorders>
            <w:vAlign w:val="center"/>
            <w:hideMark/>
          </w:tcPr>
          <w:p w14:paraId="72E109F8" w14:textId="77777777" w:rsidR="00D048D1" w:rsidRPr="006C3201" w:rsidRDefault="00D048D1">
            <w:pPr>
              <w:spacing w:before="0" w:after="0"/>
              <w:jc w:val="left"/>
              <w:rPr>
                <w:noProof/>
                <w:sz w:val="16"/>
                <w:szCs w:val="16"/>
                <w:lang w:eastAsia="en-IE"/>
              </w:rPr>
            </w:pPr>
          </w:p>
        </w:tc>
        <w:tc>
          <w:tcPr>
            <w:tcW w:w="2098" w:type="pct"/>
            <w:tcBorders>
              <w:top w:val="nil"/>
              <w:left w:val="nil"/>
              <w:bottom w:val="single" w:sz="8" w:space="0" w:color="auto"/>
              <w:right w:val="single" w:sz="8" w:space="0" w:color="auto"/>
            </w:tcBorders>
            <w:vAlign w:val="center"/>
            <w:hideMark/>
          </w:tcPr>
          <w:p w14:paraId="3E48646F" w14:textId="77777777" w:rsidR="00D048D1" w:rsidRPr="006C3201" w:rsidRDefault="00D048D1">
            <w:pPr>
              <w:spacing w:before="0" w:after="0"/>
              <w:ind w:firstLineChars="100" w:firstLine="160"/>
              <w:jc w:val="left"/>
              <w:rPr>
                <w:noProof/>
                <w:sz w:val="16"/>
                <w:szCs w:val="16"/>
              </w:rPr>
            </w:pPr>
            <w:r w:rsidRPr="006C3201">
              <w:rPr>
                <w:noProof/>
                <w:sz w:val="16"/>
              </w:rPr>
              <w:t>-</w:t>
            </w:r>
            <w:r w:rsidR="00110A93" w:rsidRPr="006C3201">
              <w:rPr>
                <w:noProof/>
                <w:sz w:val="16"/>
              </w:rPr>
              <w:t xml:space="preserve"> w</w:t>
            </w:r>
            <w:r w:rsidR="00110A93">
              <w:rPr>
                <w:noProof/>
                <w:sz w:val="16"/>
              </w:rPr>
              <w:t> </w:t>
            </w:r>
            <w:r w:rsidR="00110A93" w:rsidRPr="006C3201">
              <w:rPr>
                <w:noProof/>
                <w:sz w:val="16"/>
              </w:rPr>
              <w:t>del</w:t>
            </w:r>
            <w:r w:rsidRPr="006C3201">
              <w:rPr>
                <w:noProof/>
                <w:sz w:val="16"/>
              </w:rPr>
              <w:t xml:space="preserve">egaturach UE </w:t>
            </w:r>
          </w:p>
        </w:tc>
        <w:tc>
          <w:tcPr>
            <w:tcW w:w="522" w:type="pct"/>
            <w:tcBorders>
              <w:top w:val="nil"/>
              <w:left w:val="nil"/>
              <w:bottom w:val="single" w:sz="8" w:space="0" w:color="auto"/>
              <w:right w:val="single" w:sz="8" w:space="0" w:color="auto"/>
            </w:tcBorders>
            <w:shd w:val="clear" w:color="000000" w:fill="D9D9D9"/>
            <w:vAlign w:val="center"/>
            <w:hideMark/>
          </w:tcPr>
          <w:p w14:paraId="7A41BB2E"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6B6D124"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E822E9D"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3432364" w14:textId="77777777" w:rsidR="00D048D1" w:rsidRPr="006C3201" w:rsidRDefault="00D048D1">
            <w:pPr>
              <w:spacing w:before="0" w:after="0"/>
              <w:jc w:val="center"/>
              <w:rPr>
                <w:noProof/>
                <w:sz w:val="16"/>
                <w:szCs w:val="16"/>
              </w:rPr>
            </w:pPr>
            <w:r w:rsidRPr="006C3201">
              <w:rPr>
                <w:noProof/>
                <w:sz w:val="16"/>
              </w:rPr>
              <w:t>0</w:t>
            </w:r>
          </w:p>
        </w:tc>
      </w:tr>
      <w:tr w:rsidR="00E43BAD" w:rsidRPr="006C3201" w14:paraId="5FE65C1E" w14:textId="77777777"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E79B63B" w14:textId="77777777" w:rsidR="00D048D1" w:rsidRPr="006C3201" w:rsidRDefault="00D048D1">
            <w:pPr>
              <w:spacing w:before="0" w:after="0"/>
              <w:ind w:firstLineChars="100" w:firstLine="160"/>
              <w:jc w:val="left"/>
              <w:rPr>
                <w:noProof/>
                <w:sz w:val="16"/>
                <w:szCs w:val="16"/>
              </w:rPr>
            </w:pPr>
            <w:r w:rsidRPr="006C3201">
              <w:rPr>
                <w:noProof/>
                <w:sz w:val="16"/>
              </w:rPr>
              <w:t>01 01 01 02</w:t>
            </w:r>
            <w:r w:rsidRPr="006C3201">
              <w:rPr>
                <w:rFonts w:ascii="Arial Narrow" w:hAnsi="Arial Narrow"/>
                <w:noProof/>
                <w:sz w:val="20"/>
              </w:rPr>
              <w:t xml:space="preserve"> </w:t>
            </w:r>
            <w:r w:rsidRPr="006C3201">
              <w:rPr>
                <w:noProof/>
                <w:sz w:val="16"/>
              </w:rPr>
              <w:t>(CA, SNE – 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7E50D39D"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DD33A99"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B7BF67F"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DAC23CD" w14:textId="77777777" w:rsidR="00D048D1" w:rsidRPr="006C3201" w:rsidRDefault="00D048D1">
            <w:pPr>
              <w:spacing w:before="0" w:after="0"/>
              <w:jc w:val="center"/>
              <w:rPr>
                <w:noProof/>
                <w:sz w:val="16"/>
                <w:szCs w:val="16"/>
              </w:rPr>
            </w:pPr>
            <w:r w:rsidRPr="006C3201">
              <w:rPr>
                <w:noProof/>
                <w:sz w:val="16"/>
              </w:rPr>
              <w:t>0</w:t>
            </w:r>
          </w:p>
        </w:tc>
      </w:tr>
      <w:tr w:rsidR="00E43BAD" w:rsidRPr="006C3201" w14:paraId="28C997D4" w14:textId="77777777"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368D347" w14:textId="77777777" w:rsidR="00D048D1" w:rsidRPr="006C3201" w:rsidRDefault="00D048D1">
            <w:pPr>
              <w:spacing w:before="0" w:after="0"/>
              <w:ind w:firstLineChars="100" w:firstLine="160"/>
              <w:jc w:val="left"/>
              <w:rPr>
                <w:noProof/>
                <w:sz w:val="16"/>
                <w:szCs w:val="16"/>
              </w:rPr>
            </w:pPr>
            <w:r w:rsidRPr="006C3201">
              <w:rPr>
                <w:noProof/>
                <w:sz w:val="16"/>
              </w:rPr>
              <w:t xml:space="preserve"> 01 01 01 12 (CA, SNE –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077DFF3F"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7B5CD10"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48882A0"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4082D95" w14:textId="77777777" w:rsidR="00D048D1" w:rsidRPr="006C3201" w:rsidRDefault="00D048D1">
            <w:pPr>
              <w:spacing w:before="0" w:after="0"/>
              <w:jc w:val="center"/>
              <w:rPr>
                <w:noProof/>
                <w:sz w:val="16"/>
                <w:szCs w:val="16"/>
              </w:rPr>
            </w:pPr>
            <w:r w:rsidRPr="006C3201">
              <w:rPr>
                <w:noProof/>
                <w:sz w:val="16"/>
              </w:rPr>
              <w:t>0</w:t>
            </w:r>
          </w:p>
        </w:tc>
      </w:tr>
      <w:tr w:rsidR="00E43BAD" w:rsidRPr="006C3201" w14:paraId="513F994B" w14:textId="77777777"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8D26CAB" w14:textId="77777777" w:rsidR="00D048D1" w:rsidRPr="006C3201" w:rsidRDefault="00D048D1">
            <w:pPr>
              <w:spacing w:before="0" w:after="0"/>
              <w:ind w:firstLineChars="100" w:firstLine="160"/>
              <w:jc w:val="left"/>
              <w:rPr>
                <w:noProof/>
                <w:sz w:val="16"/>
                <w:szCs w:val="16"/>
              </w:rPr>
            </w:pPr>
            <w:r w:rsidRPr="006C3201">
              <w:rPr>
                <w:noProof/>
                <w:sz w:val="16"/>
              </w:rPr>
              <w:t>Inna linia budżetowa (określić) – dział 7</w:t>
            </w:r>
          </w:p>
        </w:tc>
        <w:tc>
          <w:tcPr>
            <w:tcW w:w="522" w:type="pct"/>
            <w:tcBorders>
              <w:top w:val="nil"/>
              <w:left w:val="nil"/>
              <w:bottom w:val="single" w:sz="8" w:space="0" w:color="auto"/>
              <w:right w:val="single" w:sz="8" w:space="0" w:color="auto"/>
            </w:tcBorders>
            <w:shd w:val="clear" w:color="000000" w:fill="D9D9D9"/>
            <w:vAlign w:val="center"/>
            <w:hideMark/>
          </w:tcPr>
          <w:p w14:paraId="1B9FAEFF"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8091C11"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0869130"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57CD68B" w14:textId="77777777" w:rsidR="00D048D1" w:rsidRPr="006C3201" w:rsidRDefault="00D048D1">
            <w:pPr>
              <w:spacing w:before="0" w:after="0"/>
              <w:jc w:val="center"/>
              <w:rPr>
                <w:noProof/>
                <w:sz w:val="16"/>
                <w:szCs w:val="16"/>
              </w:rPr>
            </w:pPr>
            <w:r w:rsidRPr="006C3201">
              <w:rPr>
                <w:noProof/>
                <w:sz w:val="16"/>
              </w:rPr>
              <w:t>0</w:t>
            </w:r>
          </w:p>
        </w:tc>
      </w:tr>
      <w:tr w:rsidR="00E43BAD" w:rsidRPr="006C3201" w14:paraId="230A65FD" w14:textId="77777777"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FE8A366" w14:textId="77777777" w:rsidR="00D048D1" w:rsidRPr="006C3201" w:rsidRDefault="00D048D1">
            <w:pPr>
              <w:spacing w:before="0" w:after="0"/>
              <w:ind w:firstLineChars="100" w:firstLine="160"/>
              <w:jc w:val="left"/>
              <w:rPr>
                <w:noProof/>
                <w:sz w:val="16"/>
                <w:szCs w:val="16"/>
              </w:rPr>
            </w:pPr>
            <w:r w:rsidRPr="006C3201">
              <w:rPr>
                <w:noProof/>
                <w:sz w:val="16"/>
              </w:rPr>
              <w:t>Inna linia budżetowa (określić) – poza działem 7</w:t>
            </w:r>
          </w:p>
        </w:tc>
        <w:tc>
          <w:tcPr>
            <w:tcW w:w="522" w:type="pct"/>
            <w:tcBorders>
              <w:top w:val="nil"/>
              <w:left w:val="nil"/>
              <w:bottom w:val="single" w:sz="8" w:space="0" w:color="auto"/>
              <w:right w:val="single" w:sz="8" w:space="0" w:color="auto"/>
            </w:tcBorders>
            <w:shd w:val="clear" w:color="000000" w:fill="D9D9D9"/>
            <w:vAlign w:val="center"/>
            <w:hideMark/>
          </w:tcPr>
          <w:p w14:paraId="6AD128AA"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511ECD4"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BB77095" w14:textId="77777777" w:rsidR="00D048D1" w:rsidRPr="006C3201" w:rsidRDefault="00D048D1">
            <w:pPr>
              <w:spacing w:before="0" w:after="0"/>
              <w:jc w:val="center"/>
              <w:rPr>
                <w:noProof/>
                <w:sz w:val="16"/>
                <w:szCs w:val="16"/>
              </w:rPr>
            </w:pPr>
            <w:r w:rsidRPr="006C3201">
              <w:rPr>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766EFCD" w14:textId="77777777" w:rsidR="00D048D1" w:rsidRPr="006C3201" w:rsidRDefault="00D048D1">
            <w:pPr>
              <w:spacing w:before="0" w:after="0"/>
              <w:jc w:val="center"/>
              <w:rPr>
                <w:noProof/>
                <w:sz w:val="16"/>
                <w:szCs w:val="16"/>
              </w:rPr>
            </w:pPr>
            <w:r w:rsidRPr="006C3201">
              <w:rPr>
                <w:noProof/>
                <w:sz w:val="16"/>
              </w:rPr>
              <w:t>0</w:t>
            </w:r>
          </w:p>
        </w:tc>
      </w:tr>
      <w:tr w:rsidR="00E43BAD" w:rsidRPr="006C3201" w14:paraId="4072C574" w14:textId="77777777" w:rsidTr="0061523A">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0F75E92" w14:textId="77777777" w:rsidR="00D048D1" w:rsidRPr="006C3201" w:rsidRDefault="00D048D1">
            <w:pPr>
              <w:spacing w:before="0" w:after="0"/>
              <w:ind w:firstLineChars="100" w:firstLine="161"/>
              <w:jc w:val="left"/>
              <w:rPr>
                <w:b/>
                <w:bCs/>
                <w:noProof/>
                <w:sz w:val="16"/>
                <w:szCs w:val="16"/>
              </w:rPr>
            </w:pPr>
            <w:r w:rsidRPr="006C3201">
              <w:rPr>
                <w:b/>
                <w:noProof/>
                <w:sz w:val="16"/>
              </w:rPr>
              <w:t>OGÓŁEM</w:t>
            </w:r>
          </w:p>
        </w:tc>
        <w:tc>
          <w:tcPr>
            <w:tcW w:w="522" w:type="pct"/>
            <w:tcBorders>
              <w:top w:val="nil"/>
              <w:left w:val="nil"/>
              <w:bottom w:val="single" w:sz="8" w:space="0" w:color="auto"/>
              <w:right w:val="single" w:sz="8" w:space="0" w:color="auto"/>
            </w:tcBorders>
            <w:shd w:val="clear" w:color="000000" w:fill="D9D9D9"/>
            <w:vAlign w:val="center"/>
            <w:hideMark/>
          </w:tcPr>
          <w:p w14:paraId="0CF3E1B5" w14:textId="77777777" w:rsidR="00D048D1" w:rsidRPr="006C3201" w:rsidRDefault="00D048D1">
            <w:pPr>
              <w:spacing w:before="0" w:after="0"/>
              <w:jc w:val="center"/>
              <w:rPr>
                <w:b/>
                <w:bCs/>
                <w:noProof/>
                <w:sz w:val="16"/>
                <w:szCs w:val="16"/>
              </w:rPr>
            </w:pPr>
            <w:r w:rsidRPr="006C3201">
              <w:rPr>
                <w:b/>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32687FE" w14:textId="77777777" w:rsidR="00D048D1" w:rsidRPr="006C3201" w:rsidRDefault="00D048D1">
            <w:pPr>
              <w:spacing w:before="0" w:after="0"/>
              <w:jc w:val="center"/>
              <w:rPr>
                <w:b/>
                <w:bCs/>
                <w:noProof/>
                <w:sz w:val="16"/>
                <w:szCs w:val="16"/>
              </w:rPr>
            </w:pPr>
            <w:r w:rsidRPr="006C3201">
              <w:rPr>
                <w:b/>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83BC754" w14:textId="77777777" w:rsidR="00D048D1" w:rsidRPr="006C3201" w:rsidRDefault="00D048D1">
            <w:pPr>
              <w:spacing w:before="0" w:after="0"/>
              <w:jc w:val="center"/>
              <w:rPr>
                <w:b/>
                <w:bCs/>
                <w:noProof/>
                <w:sz w:val="16"/>
                <w:szCs w:val="16"/>
              </w:rPr>
            </w:pPr>
            <w:r w:rsidRPr="006C3201">
              <w:rPr>
                <w:b/>
                <w:noProof/>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85ADA3B" w14:textId="77777777" w:rsidR="00D048D1" w:rsidRPr="006C3201" w:rsidRDefault="00D048D1">
            <w:pPr>
              <w:spacing w:before="0" w:after="0"/>
              <w:jc w:val="center"/>
              <w:rPr>
                <w:b/>
                <w:bCs/>
                <w:noProof/>
                <w:sz w:val="16"/>
                <w:szCs w:val="16"/>
              </w:rPr>
            </w:pPr>
            <w:r w:rsidRPr="006C3201">
              <w:rPr>
                <w:b/>
                <w:noProof/>
                <w:sz w:val="16"/>
              </w:rPr>
              <w:t>0</w:t>
            </w:r>
          </w:p>
        </w:tc>
      </w:tr>
    </w:tbl>
    <w:p w14:paraId="0E0DB994" w14:textId="77777777" w:rsidR="00D048D1" w:rsidRPr="006C3201" w:rsidRDefault="00D048D1" w:rsidP="00D048D1">
      <w:pPr>
        <w:pStyle w:val="ManualHeading3"/>
        <w:rPr>
          <w:noProof/>
        </w:rPr>
      </w:pPr>
      <w:bookmarkStart w:id="211" w:name="_Toc177549031"/>
      <w:bookmarkStart w:id="212" w:name="_Toc214887241"/>
      <w:bookmarkStart w:id="213" w:name="_Hlk167692843"/>
      <w:bookmarkEnd w:id="210"/>
      <w:r w:rsidRPr="006C3201">
        <w:rPr>
          <w:noProof/>
        </w:rPr>
        <w:t>3.2.5.</w:t>
      </w:r>
      <w:r w:rsidRPr="006C3201">
        <w:rPr>
          <w:noProof/>
        </w:rPr>
        <w:tab/>
        <w:t>Przegląd szacowanego wpływu na inwestycje związane</w:t>
      </w:r>
      <w:r w:rsidR="00110A93" w:rsidRPr="006C3201">
        <w:rPr>
          <w:noProof/>
        </w:rPr>
        <w:t xml:space="preserve"> z</w:t>
      </w:r>
      <w:r w:rsidR="00110A93">
        <w:rPr>
          <w:noProof/>
        </w:rPr>
        <w:t> </w:t>
      </w:r>
      <w:r w:rsidR="00110A93" w:rsidRPr="006C3201">
        <w:rPr>
          <w:noProof/>
        </w:rPr>
        <w:t>tec</w:t>
      </w:r>
      <w:r w:rsidRPr="006C3201">
        <w:rPr>
          <w:noProof/>
        </w:rPr>
        <w:t>hnologiami cyfrowymi</w:t>
      </w:r>
      <w:bookmarkEnd w:id="211"/>
      <w:bookmarkEnd w:id="212"/>
    </w:p>
    <w:p w14:paraId="3F950C5A" w14:textId="77777777" w:rsidR="00D048D1" w:rsidRPr="006C3201" w:rsidRDefault="00D048D1" w:rsidP="00D048D1">
      <w:pPr>
        <w:pStyle w:val="Text1"/>
        <w:spacing w:line="259" w:lineRule="auto"/>
        <w:rPr>
          <w:noProof/>
        </w:rPr>
      </w:pPr>
      <w:r w:rsidRPr="006C3201">
        <w:rPr>
          <w:noProof/>
        </w:rPr>
        <w:t>Obowiązkowo</w:t>
      </w:r>
      <w:r w:rsidR="00110A93" w:rsidRPr="006C3201">
        <w:rPr>
          <w:noProof/>
        </w:rPr>
        <w:t xml:space="preserve"> w</w:t>
      </w:r>
      <w:r w:rsidR="00110A93">
        <w:rPr>
          <w:noProof/>
        </w:rPr>
        <w:t> </w:t>
      </w:r>
      <w:r w:rsidR="00110A93" w:rsidRPr="006C3201">
        <w:rPr>
          <w:noProof/>
        </w:rPr>
        <w:t>tab</w:t>
      </w:r>
      <w:r w:rsidRPr="006C3201">
        <w:rPr>
          <w:noProof/>
        </w:rPr>
        <w:t>eli poniżej: szacowany wpływ wniosku/inicjatywy na inwestycje związane</w:t>
      </w:r>
      <w:r w:rsidR="00110A93" w:rsidRPr="006C3201">
        <w:rPr>
          <w:noProof/>
        </w:rPr>
        <w:t xml:space="preserve"> z</w:t>
      </w:r>
      <w:r w:rsidR="00110A93">
        <w:rPr>
          <w:noProof/>
        </w:rPr>
        <w:t> </w:t>
      </w:r>
      <w:r w:rsidR="00110A93" w:rsidRPr="006C3201">
        <w:rPr>
          <w:noProof/>
        </w:rPr>
        <w:t>tec</w:t>
      </w:r>
      <w:r w:rsidRPr="006C3201">
        <w:rPr>
          <w:noProof/>
        </w:rPr>
        <w:t xml:space="preserve">hnologiami cyfrowymi. </w:t>
      </w:r>
    </w:p>
    <w:p w14:paraId="5407AB44" w14:textId="77777777" w:rsidR="00D048D1" w:rsidRPr="006C3201" w:rsidRDefault="00D048D1" w:rsidP="00D048D1">
      <w:pPr>
        <w:pStyle w:val="Text1"/>
        <w:spacing w:line="259" w:lineRule="auto"/>
        <w:rPr>
          <w:noProof/>
        </w:rPr>
      </w:pPr>
      <w:r w:rsidRPr="006C3201">
        <w:rPr>
          <w:noProof/>
        </w:rPr>
        <w:t>W wyjątkowych przypadkach, jeżeli wymaga tego realizacja wniosku/inicjatywy, we wskazanym wierszu należy podać środki</w:t>
      </w:r>
      <w:r w:rsidR="00110A93" w:rsidRPr="006C3201">
        <w:rPr>
          <w:noProof/>
        </w:rPr>
        <w:t xml:space="preserve"> z</w:t>
      </w:r>
      <w:r w:rsidR="00110A93">
        <w:rPr>
          <w:noProof/>
        </w:rPr>
        <w:t> </w:t>
      </w:r>
      <w:r w:rsidR="00110A93" w:rsidRPr="006C3201">
        <w:rPr>
          <w:noProof/>
        </w:rPr>
        <w:t>dzi</w:t>
      </w:r>
      <w:r w:rsidRPr="006C3201">
        <w:rPr>
          <w:noProof/>
        </w:rPr>
        <w:t xml:space="preserve">ału 7. </w:t>
      </w:r>
    </w:p>
    <w:p w14:paraId="45422FFC" w14:textId="77777777" w:rsidR="00D048D1" w:rsidRPr="006C3201" w:rsidRDefault="00D048D1" w:rsidP="00D048D1">
      <w:pPr>
        <w:pStyle w:val="Text1"/>
        <w:spacing w:line="259" w:lineRule="auto"/>
        <w:rPr>
          <w:noProof/>
        </w:rPr>
      </w:pPr>
      <w:r w:rsidRPr="006C3201">
        <w:rPr>
          <w:noProof/>
        </w:rPr>
        <w:t>Środki</w:t>
      </w:r>
      <w:r w:rsidR="00110A93" w:rsidRPr="006C3201">
        <w:rPr>
          <w:noProof/>
        </w:rPr>
        <w:t xml:space="preserve"> z</w:t>
      </w:r>
      <w:r w:rsidR="00110A93">
        <w:rPr>
          <w:noProof/>
        </w:rPr>
        <w:t> </w:t>
      </w:r>
      <w:r w:rsidR="00110A93" w:rsidRPr="006C3201">
        <w:rPr>
          <w:noProof/>
        </w:rPr>
        <w:t>dzi</w:t>
      </w:r>
      <w:r w:rsidRPr="006C3201">
        <w:rPr>
          <w:noProof/>
        </w:rPr>
        <w:t>ałów 1–6 należy podać</w:t>
      </w:r>
      <w:r w:rsidR="00110A93" w:rsidRPr="006C3201">
        <w:rPr>
          <w:noProof/>
        </w:rPr>
        <w:t xml:space="preserve"> w</w:t>
      </w:r>
      <w:r w:rsidR="00110A93">
        <w:rPr>
          <w:noProof/>
        </w:rPr>
        <w:t> </w:t>
      </w:r>
      <w:r w:rsidR="00110A93" w:rsidRPr="006C3201">
        <w:rPr>
          <w:noProof/>
        </w:rPr>
        <w:t>wie</w:t>
      </w:r>
      <w:r w:rsidRPr="006C3201">
        <w:rPr>
          <w:noProof/>
        </w:rPr>
        <w:t>rszu „Wydatki na IT wynikające</w:t>
      </w:r>
      <w:r w:rsidR="00110A93" w:rsidRPr="006C3201">
        <w:rPr>
          <w:noProof/>
        </w:rPr>
        <w:t xml:space="preserve"> z</w:t>
      </w:r>
      <w:r w:rsidR="00110A93">
        <w:rPr>
          <w:noProof/>
        </w:rPr>
        <w:t> </w:t>
      </w:r>
      <w:r w:rsidR="00110A93" w:rsidRPr="006C3201">
        <w:rPr>
          <w:noProof/>
        </w:rPr>
        <w:t>rea</w:t>
      </w:r>
      <w:r w:rsidRPr="006C3201">
        <w:rPr>
          <w:noProof/>
        </w:rPr>
        <w:t>lizacji polityki tytułem programów operacyjnych”. Wydatki te odnoszą się do budżetu operacyjnego na ponowne wykorzystanie / zakup / rozwój platform / narzędzi informatycznych bezpośrednio związanych</w:t>
      </w:r>
      <w:r w:rsidR="00110A93" w:rsidRPr="006C3201">
        <w:rPr>
          <w:noProof/>
        </w:rPr>
        <w:t xml:space="preserve"> z</w:t>
      </w:r>
      <w:r w:rsidR="00110A93">
        <w:rPr>
          <w:noProof/>
        </w:rPr>
        <w:t> </w:t>
      </w:r>
      <w:r w:rsidR="00110A93" w:rsidRPr="006C3201">
        <w:rPr>
          <w:noProof/>
        </w:rPr>
        <w:t>rea</w:t>
      </w:r>
      <w:r w:rsidRPr="006C3201">
        <w:rPr>
          <w:noProof/>
        </w:rPr>
        <w:t>lizacją inicjatywy oraz powiązanych</w:t>
      </w:r>
      <w:r w:rsidR="00110A93" w:rsidRPr="006C3201">
        <w:rPr>
          <w:noProof/>
        </w:rPr>
        <w:t xml:space="preserve"> z</w:t>
      </w:r>
      <w:r w:rsidR="00110A93">
        <w:rPr>
          <w:noProof/>
        </w:rPr>
        <w:t> </w:t>
      </w:r>
      <w:r w:rsidR="00110A93" w:rsidRPr="006C3201">
        <w:rPr>
          <w:noProof/>
        </w:rPr>
        <w:t>nim</w:t>
      </w:r>
      <w:r w:rsidRPr="006C3201">
        <w:rPr>
          <w:noProof/>
        </w:rPr>
        <w:t>i inwestycji (np. licencje, badania, przechowywanie danych)</w:t>
      </w:r>
      <w:r w:rsidRPr="00110A93">
        <w:rPr>
          <w:noProof/>
        </w:rPr>
        <w:t>.</w:t>
      </w:r>
      <w:r w:rsidR="00110A93" w:rsidRPr="00110A93">
        <w:rPr>
          <w:noProof/>
        </w:rPr>
        <w:t xml:space="preserve"> </w:t>
      </w:r>
      <w:r w:rsidRPr="00110A93">
        <w:rPr>
          <w:noProof/>
        </w:rPr>
        <w:t>I</w:t>
      </w:r>
      <w:r w:rsidRPr="006C3201">
        <w:rPr>
          <w:noProof/>
        </w:rPr>
        <w:t>nformacje podane</w:t>
      </w:r>
      <w:r w:rsidR="00110A93" w:rsidRPr="006C3201">
        <w:rPr>
          <w:noProof/>
        </w:rPr>
        <w:t xml:space="preserve"> w</w:t>
      </w:r>
      <w:r w:rsidR="00110A93">
        <w:rPr>
          <w:noProof/>
        </w:rPr>
        <w:t> </w:t>
      </w:r>
      <w:r w:rsidR="00110A93" w:rsidRPr="006C3201">
        <w:rPr>
          <w:noProof/>
        </w:rPr>
        <w:t>tej</w:t>
      </w:r>
      <w:r w:rsidRPr="006C3201">
        <w:rPr>
          <w:noProof/>
        </w:rPr>
        <w:t xml:space="preserve"> tabeli powinny zgadzać się</w:t>
      </w:r>
      <w:r w:rsidR="00110A93" w:rsidRPr="006C3201">
        <w:rPr>
          <w:noProof/>
        </w:rPr>
        <w:t xml:space="preserve"> z</w:t>
      </w:r>
      <w:r w:rsidR="00110A93">
        <w:rPr>
          <w:noProof/>
        </w:rPr>
        <w:t> </w:t>
      </w:r>
      <w:r w:rsidR="00110A93" w:rsidRPr="006C3201">
        <w:rPr>
          <w:noProof/>
        </w:rPr>
        <w:t>inf</w:t>
      </w:r>
      <w:r w:rsidRPr="006C3201">
        <w:rPr>
          <w:noProof/>
        </w:rPr>
        <w:t>ormacjami przedstawionymi</w:t>
      </w:r>
      <w:r w:rsidR="00110A93" w:rsidRPr="006C3201">
        <w:rPr>
          <w:noProof/>
        </w:rPr>
        <w:t xml:space="preserve"> w</w:t>
      </w:r>
      <w:r w:rsidR="00110A93">
        <w:rPr>
          <w:noProof/>
        </w:rPr>
        <w:t> </w:t>
      </w:r>
      <w:r w:rsidR="00110A93" w:rsidRPr="006C3201">
        <w:rPr>
          <w:noProof/>
        </w:rPr>
        <w:t>sek</w:t>
      </w:r>
      <w:r w:rsidRPr="006C3201">
        <w:rPr>
          <w:noProof/>
        </w:rPr>
        <w:t>cji 4 „Wymiar cyfrowy”.</w:t>
      </w:r>
    </w:p>
    <w:tbl>
      <w:tblPr>
        <w:tblW w:w="0" w:type="auto"/>
        <w:tblLayout w:type="fixed"/>
        <w:tblLook w:val="04A0" w:firstRow="1" w:lastRow="0" w:firstColumn="1" w:lastColumn="0" w:noHBand="0" w:noVBand="1"/>
      </w:tblPr>
      <w:tblGrid>
        <w:gridCol w:w="3214"/>
        <w:gridCol w:w="835"/>
        <w:gridCol w:w="835"/>
        <w:gridCol w:w="835"/>
        <w:gridCol w:w="835"/>
        <w:gridCol w:w="981"/>
      </w:tblGrid>
      <w:tr w:rsidR="00E43BAD" w:rsidRPr="006C3201" w14:paraId="32F3A933" w14:textId="77777777">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1737C00C" w14:textId="77777777" w:rsidR="00D048D1" w:rsidRPr="006C3201" w:rsidRDefault="00D048D1">
            <w:pPr>
              <w:spacing w:before="0" w:after="0"/>
              <w:jc w:val="center"/>
              <w:rPr>
                <w:b/>
                <w:bCs/>
                <w:noProof/>
                <w:sz w:val="18"/>
                <w:szCs w:val="18"/>
              </w:rPr>
            </w:pPr>
            <w:r w:rsidRPr="006C3201">
              <w:rPr>
                <w:b/>
                <w:noProof/>
                <w:sz w:val="18"/>
              </w:rPr>
              <w:t>OGÓŁEM środki na IT</w:t>
            </w:r>
            <w:r w:rsidR="00110A93" w:rsidRPr="006C3201">
              <w:rPr>
                <w:b/>
                <w:noProof/>
                <w:sz w:val="18"/>
              </w:rPr>
              <w:t xml:space="preserve"> i</w:t>
            </w:r>
            <w:r w:rsidR="00110A93">
              <w:rPr>
                <w:b/>
                <w:noProof/>
                <w:sz w:val="18"/>
              </w:rPr>
              <w:t> </w:t>
            </w:r>
            <w:r w:rsidR="00110A93" w:rsidRPr="006C3201">
              <w:rPr>
                <w:b/>
                <w:noProof/>
                <w:sz w:val="18"/>
              </w:rPr>
              <w:t>tec</w:t>
            </w:r>
            <w:r w:rsidRPr="006C3201">
              <w:rPr>
                <w:b/>
                <w:noProof/>
                <w:sz w:val="18"/>
              </w:rPr>
              <w:t>hnologie cyfrowe</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50CF5C9B" w14:textId="77777777" w:rsidR="00D048D1" w:rsidRPr="006C3201" w:rsidRDefault="00D048D1">
            <w:pPr>
              <w:spacing w:before="0" w:after="0"/>
              <w:jc w:val="center"/>
              <w:rPr>
                <w:noProof/>
                <w:sz w:val="18"/>
                <w:szCs w:val="18"/>
              </w:rPr>
            </w:pPr>
            <w:r w:rsidRPr="006C3201">
              <w:rPr>
                <w:noProof/>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3E2094C1" w14:textId="77777777" w:rsidR="00D048D1" w:rsidRPr="006C3201" w:rsidRDefault="00D048D1">
            <w:pPr>
              <w:spacing w:before="0" w:after="0"/>
              <w:jc w:val="center"/>
              <w:rPr>
                <w:noProof/>
                <w:sz w:val="18"/>
                <w:szCs w:val="18"/>
              </w:rPr>
            </w:pPr>
            <w:r w:rsidRPr="006C3201">
              <w:rPr>
                <w:noProof/>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02F77FEA" w14:textId="77777777" w:rsidR="00D048D1" w:rsidRPr="006C3201" w:rsidRDefault="00D048D1">
            <w:pPr>
              <w:spacing w:before="0" w:after="0"/>
              <w:jc w:val="center"/>
              <w:rPr>
                <w:noProof/>
                <w:sz w:val="18"/>
                <w:szCs w:val="18"/>
              </w:rPr>
            </w:pPr>
            <w:r w:rsidRPr="006C3201">
              <w:rPr>
                <w:noProof/>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6BF2F8A4" w14:textId="77777777" w:rsidR="00D048D1" w:rsidRPr="006C3201" w:rsidRDefault="00D048D1">
            <w:pPr>
              <w:spacing w:before="0" w:after="0"/>
              <w:jc w:val="center"/>
              <w:rPr>
                <w:noProof/>
                <w:sz w:val="18"/>
                <w:szCs w:val="18"/>
              </w:rPr>
            </w:pPr>
            <w:r w:rsidRPr="006C3201">
              <w:rPr>
                <w:noProof/>
                <w:sz w:val="18"/>
              </w:rPr>
              <w:t>Rok</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6339941B" w14:textId="77777777" w:rsidR="00D048D1" w:rsidRPr="006C3201" w:rsidRDefault="00D048D1">
            <w:pPr>
              <w:spacing w:before="0" w:after="0"/>
              <w:jc w:val="center"/>
              <w:rPr>
                <w:b/>
                <w:bCs/>
                <w:noProof/>
                <w:sz w:val="18"/>
                <w:szCs w:val="18"/>
              </w:rPr>
            </w:pPr>
            <w:r w:rsidRPr="006C3201">
              <w:rPr>
                <w:b/>
                <w:noProof/>
                <w:sz w:val="18"/>
              </w:rPr>
              <w:t>OGÓŁEM WRF 2021–2027</w:t>
            </w:r>
          </w:p>
        </w:tc>
      </w:tr>
      <w:tr w:rsidR="00E43BAD" w:rsidRPr="006C3201" w14:paraId="6681E4E3" w14:textId="77777777">
        <w:trPr>
          <w:trHeight w:val="525"/>
        </w:trPr>
        <w:tc>
          <w:tcPr>
            <w:tcW w:w="3214" w:type="dxa"/>
            <w:vMerge/>
            <w:tcBorders>
              <w:top w:val="single" w:sz="8" w:space="0" w:color="auto"/>
              <w:left w:val="single" w:sz="4" w:space="0" w:color="auto"/>
              <w:right w:val="single" w:sz="4" w:space="0" w:color="auto"/>
            </w:tcBorders>
            <w:vAlign w:val="center"/>
          </w:tcPr>
          <w:p w14:paraId="48AED7C1" w14:textId="77777777" w:rsidR="00D048D1" w:rsidRPr="006C3201" w:rsidRDefault="00D048D1">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7697D2DD" w14:textId="77777777" w:rsidR="00D048D1" w:rsidRPr="006C3201" w:rsidRDefault="00D048D1">
            <w:pPr>
              <w:spacing w:before="0" w:after="0"/>
              <w:jc w:val="center"/>
              <w:rPr>
                <w:b/>
                <w:bCs/>
                <w:noProof/>
                <w:sz w:val="18"/>
                <w:szCs w:val="18"/>
              </w:rPr>
            </w:pPr>
            <w:r w:rsidRPr="006C3201">
              <w:rPr>
                <w:b/>
                <w:noProof/>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39815AA0" w14:textId="77777777" w:rsidR="00D048D1" w:rsidRPr="006C3201" w:rsidRDefault="00D048D1">
            <w:pPr>
              <w:spacing w:before="0" w:after="0"/>
              <w:jc w:val="center"/>
              <w:rPr>
                <w:b/>
                <w:bCs/>
                <w:noProof/>
                <w:sz w:val="18"/>
                <w:szCs w:val="18"/>
              </w:rPr>
            </w:pPr>
            <w:r w:rsidRPr="006C3201">
              <w:rPr>
                <w:b/>
                <w:noProof/>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327E8D29" w14:textId="77777777" w:rsidR="00D048D1" w:rsidRPr="006C3201" w:rsidRDefault="00D048D1">
            <w:pPr>
              <w:spacing w:before="0" w:after="0"/>
              <w:jc w:val="center"/>
              <w:rPr>
                <w:b/>
                <w:bCs/>
                <w:noProof/>
                <w:sz w:val="18"/>
                <w:szCs w:val="18"/>
              </w:rPr>
            </w:pPr>
            <w:r w:rsidRPr="006C3201">
              <w:rPr>
                <w:b/>
                <w:noProof/>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3BFA19FD" w14:textId="77777777" w:rsidR="00D048D1" w:rsidRPr="006C3201" w:rsidRDefault="00D048D1">
            <w:pPr>
              <w:spacing w:before="0" w:after="0"/>
              <w:jc w:val="center"/>
              <w:rPr>
                <w:b/>
                <w:bCs/>
                <w:noProof/>
                <w:sz w:val="18"/>
                <w:szCs w:val="18"/>
              </w:rPr>
            </w:pPr>
            <w:r w:rsidRPr="006C3201">
              <w:rPr>
                <w:b/>
                <w:noProof/>
                <w:sz w:val="18"/>
              </w:rPr>
              <w:t>2027</w:t>
            </w:r>
          </w:p>
        </w:tc>
        <w:tc>
          <w:tcPr>
            <w:tcW w:w="981" w:type="dxa"/>
            <w:vMerge/>
            <w:tcBorders>
              <w:bottom w:val="single" w:sz="4" w:space="0" w:color="auto"/>
              <w:right w:val="single" w:sz="4" w:space="0" w:color="auto"/>
            </w:tcBorders>
            <w:vAlign w:val="center"/>
          </w:tcPr>
          <w:p w14:paraId="04C3CC51" w14:textId="77777777" w:rsidR="00D048D1" w:rsidRPr="006C3201" w:rsidRDefault="00D048D1">
            <w:pPr>
              <w:rPr>
                <w:noProof/>
              </w:rPr>
            </w:pPr>
          </w:p>
        </w:tc>
      </w:tr>
      <w:tr w:rsidR="00E43BAD" w:rsidRPr="006C3201" w14:paraId="721A75B0" w14:textId="77777777">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2036D1C7" w14:textId="77777777" w:rsidR="00D048D1" w:rsidRPr="006C3201" w:rsidRDefault="00D048D1">
            <w:pPr>
              <w:spacing w:before="0" w:after="0"/>
              <w:jc w:val="left"/>
              <w:rPr>
                <w:b/>
                <w:bCs/>
                <w:noProof/>
                <w:sz w:val="16"/>
                <w:szCs w:val="16"/>
              </w:rPr>
            </w:pPr>
            <w:r w:rsidRPr="006C3201">
              <w:rPr>
                <w:b/>
                <w:noProof/>
                <w:sz w:val="16"/>
              </w:rPr>
              <w:t>DZIAŁ 7</w:t>
            </w:r>
          </w:p>
        </w:tc>
      </w:tr>
      <w:tr w:rsidR="00E43BAD" w:rsidRPr="006C3201" w14:paraId="0D70D4FF"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21DC31" w14:textId="77777777" w:rsidR="00D048D1" w:rsidRPr="006C3201" w:rsidRDefault="00D048D1">
            <w:pPr>
              <w:spacing w:before="0" w:after="0"/>
              <w:jc w:val="left"/>
              <w:rPr>
                <w:noProof/>
                <w:sz w:val="16"/>
                <w:szCs w:val="16"/>
              </w:rPr>
            </w:pPr>
            <w:r w:rsidRPr="006C3201">
              <w:rPr>
                <w:rFonts w:ascii="Arial Narrow" w:hAnsi="Arial Narrow"/>
                <w:noProof/>
                <w:sz w:val="20"/>
              </w:rPr>
              <w:t>Wydatki na IT (ponoszone przez organizację)</w:t>
            </w:r>
            <w:r w:rsidRPr="006C3201">
              <w:rPr>
                <w:noProof/>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A093C5C" w14:textId="77777777" w:rsidR="00D048D1" w:rsidRPr="006C3201" w:rsidRDefault="00D048D1">
            <w:pPr>
              <w:spacing w:before="0" w:after="0"/>
              <w:jc w:val="right"/>
              <w:rPr>
                <w:noProof/>
                <w:sz w:val="16"/>
                <w:szCs w:val="16"/>
              </w:rPr>
            </w:pPr>
            <w:r w:rsidRPr="006C3201">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5D794E" w14:textId="77777777" w:rsidR="00D048D1" w:rsidRPr="006C3201" w:rsidRDefault="00D048D1">
            <w:pPr>
              <w:spacing w:before="0" w:after="0"/>
              <w:jc w:val="right"/>
              <w:rPr>
                <w:noProof/>
                <w:sz w:val="16"/>
                <w:szCs w:val="16"/>
              </w:rPr>
            </w:pPr>
            <w:r w:rsidRPr="006C3201">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0035DAF" w14:textId="77777777" w:rsidR="00D048D1" w:rsidRPr="006C3201" w:rsidRDefault="00D048D1">
            <w:pPr>
              <w:spacing w:before="0" w:after="0"/>
              <w:jc w:val="right"/>
              <w:rPr>
                <w:noProof/>
                <w:sz w:val="16"/>
                <w:szCs w:val="16"/>
              </w:rPr>
            </w:pPr>
            <w:r w:rsidRPr="006C3201">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C2DCCD3" w14:textId="77777777" w:rsidR="00D048D1" w:rsidRPr="006C3201" w:rsidRDefault="00D048D1">
            <w:pPr>
              <w:spacing w:before="0" w:after="0"/>
              <w:jc w:val="right"/>
              <w:rPr>
                <w:noProof/>
                <w:sz w:val="16"/>
                <w:szCs w:val="16"/>
              </w:rPr>
            </w:pPr>
            <w:r w:rsidRPr="006C3201">
              <w:rPr>
                <w:noProof/>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17BB15" w14:textId="77777777" w:rsidR="00D048D1" w:rsidRPr="006C3201" w:rsidRDefault="00D048D1">
            <w:pPr>
              <w:spacing w:before="0" w:after="0"/>
              <w:jc w:val="right"/>
              <w:rPr>
                <w:b/>
                <w:bCs/>
                <w:noProof/>
                <w:sz w:val="16"/>
                <w:szCs w:val="16"/>
              </w:rPr>
            </w:pPr>
            <w:r w:rsidRPr="006C3201">
              <w:rPr>
                <w:b/>
                <w:noProof/>
                <w:sz w:val="16"/>
              </w:rPr>
              <w:t>0,000</w:t>
            </w:r>
          </w:p>
        </w:tc>
      </w:tr>
      <w:tr w:rsidR="00E43BAD" w:rsidRPr="006C3201" w14:paraId="10F91B66"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3CA7EF3D" w14:textId="77777777" w:rsidR="00D048D1" w:rsidRPr="006C3201" w:rsidRDefault="00D048D1">
            <w:pPr>
              <w:spacing w:before="0" w:after="0"/>
              <w:jc w:val="center"/>
              <w:rPr>
                <w:b/>
                <w:bCs/>
                <w:noProof/>
                <w:sz w:val="16"/>
                <w:szCs w:val="16"/>
              </w:rPr>
            </w:pPr>
            <w:r w:rsidRPr="006C3201">
              <w:rPr>
                <w:b/>
                <w:noProof/>
                <w:sz w:val="16"/>
              </w:rPr>
              <w:t>Suma cząstkowa DZIAŁ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91BE45" w14:textId="77777777" w:rsidR="00D048D1" w:rsidRPr="006C3201" w:rsidRDefault="00D048D1">
            <w:pPr>
              <w:spacing w:before="0" w:after="0"/>
              <w:jc w:val="right"/>
              <w:rPr>
                <w:b/>
                <w:bCs/>
                <w:noProof/>
                <w:sz w:val="16"/>
                <w:szCs w:val="16"/>
              </w:rPr>
            </w:pPr>
            <w:r w:rsidRPr="006C3201">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F3D1F01" w14:textId="77777777" w:rsidR="00D048D1" w:rsidRPr="006C3201" w:rsidRDefault="00D048D1">
            <w:pPr>
              <w:spacing w:before="0" w:after="0"/>
              <w:jc w:val="right"/>
              <w:rPr>
                <w:b/>
                <w:bCs/>
                <w:noProof/>
                <w:sz w:val="16"/>
                <w:szCs w:val="16"/>
              </w:rPr>
            </w:pPr>
            <w:r w:rsidRPr="006C3201">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6DB3D36" w14:textId="77777777" w:rsidR="00D048D1" w:rsidRPr="006C3201" w:rsidRDefault="00D048D1">
            <w:pPr>
              <w:spacing w:before="0" w:after="0"/>
              <w:jc w:val="right"/>
              <w:rPr>
                <w:b/>
                <w:bCs/>
                <w:noProof/>
                <w:sz w:val="16"/>
                <w:szCs w:val="16"/>
              </w:rPr>
            </w:pPr>
            <w:r w:rsidRPr="006C3201">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3C7FDE9" w14:textId="77777777" w:rsidR="00D048D1" w:rsidRPr="006C3201" w:rsidRDefault="00D048D1">
            <w:pPr>
              <w:spacing w:before="0" w:after="0"/>
              <w:jc w:val="right"/>
              <w:rPr>
                <w:b/>
                <w:bCs/>
                <w:noProof/>
                <w:sz w:val="16"/>
                <w:szCs w:val="16"/>
              </w:rPr>
            </w:pPr>
            <w:r w:rsidRPr="006C3201">
              <w:rPr>
                <w:b/>
                <w:noProof/>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649D73" w14:textId="77777777" w:rsidR="00D048D1" w:rsidRPr="006C3201" w:rsidRDefault="00D048D1">
            <w:pPr>
              <w:spacing w:before="0" w:after="0"/>
              <w:jc w:val="right"/>
              <w:rPr>
                <w:b/>
                <w:bCs/>
                <w:noProof/>
                <w:sz w:val="16"/>
                <w:szCs w:val="16"/>
              </w:rPr>
            </w:pPr>
            <w:r w:rsidRPr="006C3201">
              <w:rPr>
                <w:b/>
                <w:noProof/>
                <w:sz w:val="16"/>
              </w:rPr>
              <w:t>0,000</w:t>
            </w:r>
          </w:p>
        </w:tc>
      </w:tr>
      <w:tr w:rsidR="00E43BAD" w:rsidRPr="006C3201" w14:paraId="7D1673A0"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9CCAA2" w14:textId="77777777" w:rsidR="00D048D1" w:rsidRPr="006C3201" w:rsidRDefault="00D048D1">
            <w:pPr>
              <w:spacing w:before="0" w:after="0"/>
              <w:jc w:val="left"/>
              <w:rPr>
                <w:b/>
                <w:bCs/>
                <w:noProof/>
                <w:sz w:val="16"/>
                <w:szCs w:val="16"/>
              </w:rPr>
            </w:pPr>
            <w:r w:rsidRPr="006C3201">
              <w:rPr>
                <w:b/>
                <w:noProof/>
                <w:sz w:val="16"/>
              </w:rPr>
              <w:t>Poza DZIAŁEM 7</w:t>
            </w:r>
          </w:p>
        </w:tc>
      </w:tr>
      <w:tr w:rsidR="00E43BAD" w:rsidRPr="006C3201" w14:paraId="19B5024A"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5ECBF7" w14:textId="77777777" w:rsidR="00D048D1" w:rsidRPr="006C3201" w:rsidRDefault="00D048D1">
            <w:pPr>
              <w:spacing w:before="0" w:after="0"/>
              <w:jc w:val="left"/>
              <w:rPr>
                <w:rFonts w:ascii="Arial Narrow" w:eastAsia="Arial Narrow" w:hAnsi="Arial Narrow" w:cs="Arial Narrow"/>
                <w:noProof/>
                <w:sz w:val="20"/>
                <w:szCs w:val="20"/>
              </w:rPr>
            </w:pPr>
            <w:r w:rsidRPr="006C3201">
              <w:rPr>
                <w:rFonts w:ascii="Arial Narrow" w:hAnsi="Arial Narrow"/>
                <w:noProof/>
                <w:sz w:val="20"/>
              </w:rPr>
              <w:t>Wydatki na IT wynikające</w:t>
            </w:r>
            <w:r w:rsidR="00110A93" w:rsidRPr="006C3201">
              <w:rPr>
                <w:rFonts w:ascii="Arial Narrow" w:hAnsi="Arial Narrow"/>
                <w:noProof/>
                <w:sz w:val="20"/>
              </w:rPr>
              <w:t xml:space="preserve"> z</w:t>
            </w:r>
            <w:r w:rsidR="00110A93">
              <w:rPr>
                <w:rFonts w:ascii="Arial Narrow" w:hAnsi="Arial Narrow"/>
                <w:noProof/>
                <w:sz w:val="20"/>
              </w:rPr>
              <w:t> </w:t>
            </w:r>
            <w:r w:rsidR="00110A93" w:rsidRPr="006C3201">
              <w:rPr>
                <w:rFonts w:ascii="Arial Narrow" w:hAnsi="Arial Narrow"/>
                <w:noProof/>
                <w:sz w:val="20"/>
              </w:rPr>
              <w:t>rea</w:t>
            </w:r>
            <w:r w:rsidRPr="006C3201">
              <w:rPr>
                <w:rFonts w:ascii="Arial Narrow" w:hAnsi="Arial Narrow"/>
                <w:noProof/>
                <w:sz w:val="20"/>
              </w:rPr>
              <w:t>lizacji polityki tytułem programów operacyjnych</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CC3B2E7" w14:textId="77777777" w:rsidR="00D048D1" w:rsidRPr="006C3201" w:rsidRDefault="00D048D1">
            <w:pPr>
              <w:spacing w:before="0" w:after="0"/>
              <w:jc w:val="right"/>
              <w:rPr>
                <w:noProof/>
                <w:sz w:val="16"/>
                <w:szCs w:val="16"/>
              </w:rPr>
            </w:pPr>
            <w:r w:rsidRPr="006C3201">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B2F82C" w14:textId="77777777" w:rsidR="00D048D1" w:rsidRPr="006C3201" w:rsidRDefault="00D048D1">
            <w:pPr>
              <w:spacing w:before="0" w:after="0"/>
              <w:jc w:val="right"/>
              <w:rPr>
                <w:noProof/>
                <w:sz w:val="16"/>
                <w:szCs w:val="16"/>
              </w:rPr>
            </w:pPr>
            <w:r w:rsidRPr="006C3201">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E788EC" w14:textId="77777777" w:rsidR="00D048D1" w:rsidRPr="006C3201" w:rsidRDefault="00D048D1">
            <w:pPr>
              <w:spacing w:before="0" w:after="0"/>
              <w:jc w:val="right"/>
              <w:rPr>
                <w:noProof/>
                <w:sz w:val="16"/>
                <w:szCs w:val="16"/>
              </w:rPr>
            </w:pPr>
            <w:r w:rsidRPr="006C3201">
              <w:rPr>
                <w:noProof/>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37CB6E1" w14:textId="77777777" w:rsidR="00D048D1" w:rsidRPr="006C3201" w:rsidRDefault="00D048D1">
            <w:pPr>
              <w:spacing w:before="0" w:after="0"/>
              <w:jc w:val="right"/>
              <w:rPr>
                <w:noProof/>
                <w:sz w:val="16"/>
                <w:szCs w:val="16"/>
              </w:rPr>
            </w:pPr>
            <w:r w:rsidRPr="006C3201">
              <w:rPr>
                <w:noProof/>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8093DC" w14:textId="77777777" w:rsidR="00D048D1" w:rsidRPr="006C3201" w:rsidRDefault="00D048D1">
            <w:pPr>
              <w:spacing w:before="0" w:after="0"/>
              <w:jc w:val="right"/>
              <w:rPr>
                <w:b/>
                <w:bCs/>
                <w:noProof/>
                <w:sz w:val="16"/>
                <w:szCs w:val="16"/>
              </w:rPr>
            </w:pPr>
            <w:r w:rsidRPr="006C3201">
              <w:rPr>
                <w:b/>
                <w:noProof/>
                <w:sz w:val="16"/>
              </w:rPr>
              <w:t>0,000</w:t>
            </w:r>
          </w:p>
        </w:tc>
      </w:tr>
      <w:tr w:rsidR="00E43BAD" w:rsidRPr="006C3201" w14:paraId="1636957A"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5025A089" w14:textId="77777777" w:rsidR="00D048D1" w:rsidRPr="006C3201" w:rsidRDefault="00D048D1">
            <w:pPr>
              <w:spacing w:before="0" w:after="0"/>
              <w:jc w:val="center"/>
              <w:rPr>
                <w:b/>
                <w:bCs/>
                <w:noProof/>
                <w:sz w:val="16"/>
                <w:szCs w:val="16"/>
              </w:rPr>
            </w:pPr>
            <w:r w:rsidRPr="006C3201">
              <w:rPr>
                <w:b/>
                <w:noProof/>
                <w:sz w:val="16"/>
              </w:rPr>
              <w:t>Suma cząstkowa poza DZIAŁEM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8C7578" w14:textId="77777777" w:rsidR="00D048D1" w:rsidRPr="006C3201" w:rsidRDefault="00D048D1">
            <w:pPr>
              <w:spacing w:before="0" w:after="0"/>
              <w:jc w:val="right"/>
              <w:rPr>
                <w:b/>
                <w:bCs/>
                <w:noProof/>
                <w:sz w:val="16"/>
                <w:szCs w:val="16"/>
              </w:rPr>
            </w:pPr>
            <w:r w:rsidRPr="006C3201">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83644B" w14:textId="77777777" w:rsidR="00D048D1" w:rsidRPr="006C3201" w:rsidRDefault="00D048D1">
            <w:pPr>
              <w:spacing w:before="0" w:after="0"/>
              <w:jc w:val="right"/>
              <w:rPr>
                <w:b/>
                <w:bCs/>
                <w:noProof/>
                <w:sz w:val="16"/>
                <w:szCs w:val="16"/>
              </w:rPr>
            </w:pPr>
            <w:r w:rsidRPr="006C3201">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AB7A12" w14:textId="77777777" w:rsidR="00D048D1" w:rsidRPr="006C3201" w:rsidRDefault="00D048D1">
            <w:pPr>
              <w:spacing w:before="0" w:after="0"/>
              <w:jc w:val="right"/>
              <w:rPr>
                <w:b/>
                <w:bCs/>
                <w:noProof/>
                <w:sz w:val="16"/>
                <w:szCs w:val="16"/>
              </w:rPr>
            </w:pPr>
            <w:r w:rsidRPr="006C3201">
              <w:rPr>
                <w:b/>
                <w:noProof/>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176E2E0" w14:textId="77777777" w:rsidR="00D048D1" w:rsidRPr="006C3201" w:rsidRDefault="00D048D1">
            <w:pPr>
              <w:spacing w:before="0" w:after="0"/>
              <w:jc w:val="right"/>
              <w:rPr>
                <w:b/>
                <w:bCs/>
                <w:noProof/>
                <w:sz w:val="16"/>
                <w:szCs w:val="16"/>
              </w:rPr>
            </w:pPr>
            <w:r w:rsidRPr="006C3201">
              <w:rPr>
                <w:b/>
                <w:noProof/>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8EA7927" w14:textId="77777777" w:rsidR="00D048D1" w:rsidRPr="006C3201" w:rsidRDefault="00D048D1">
            <w:pPr>
              <w:spacing w:before="0" w:after="0"/>
              <w:jc w:val="right"/>
              <w:rPr>
                <w:b/>
                <w:bCs/>
                <w:noProof/>
                <w:sz w:val="16"/>
                <w:szCs w:val="16"/>
              </w:rPr>
            </w:pPr>
            <w:r w:rsidRPr="006C3201">
              <w:rPr>
                <w:b/>
                <w:noProof/>
                <w:sz w:val="16"/>
              </w:rPr>
              <w:t>0,000</w:t>
            </w:r>
          </w:p>
        </w:tc>
      </w:tr>
      <w:tr w:rsidR="00E43BAD" w:rsidRPr="006C3201" w14:paraId="782B5D07"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127A9" w14:textId="77777777" w:rsidR="00D048D1" w:rsidRPr="006C3201" w:rsidRDefault="00D048D1">
            <w:pPr>
              <w:spacing w:before="0" w:after="0"/>
              <w:jc w:val="center"/>
              <w:rPr>
                <w:noProof/>
                <w:sz w:val="16"/>
                <w:szCs w:val="16"/>
              </w:rPr>
            </w:pPr>
            <w:r w:rsidRPr="006C3201">
              <w:rPr>
                <w:noProof/>
                <w:sz w:val="16"/>
              </w:rPr>
              <w:t xml:space="preserve"> </w:t>
            </w:r>
          </w:p>
        </w:tc>
      </w:tr>
      <w:tr w:rsidR="00E43BAD" w:rsidRPr="006C3201" w14:paraId="2470AF39" w14:textId="77777777">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329CBF31" w14:textId="77777777" w:rsidR="00D048D1" w:rsidRPr="006C3201" w:rsidRDefault="00D048D1">
            <w:pPr>
              <w:spacing w:before="0" w:after="0"/>
              <w:jc w:val="center"/>
              <w:rPr>
                <w:b/>
                <w:bCs/>
                <w:noProof/>
                <w:sz w:val="16"/>
                <w:szCs w:val="16"/>
              </w:rPr>
            </w:pPr>
            <w:r w:rsidRPr="006C3201">
              <w:rPr>
                <w:b/>
                <w:noProof/>
                <w:sz w:val="16"/>
              </w:rPr>
              <w:t>OGÓŁEM</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425F9923" w14:textId="77777777" w:rsidR="00D048D1" w:rsidRPr="006C3201" w:rsidRDefault="00D048D1">
            <w:pPr>
              <w:spacing w:before="0" w:after="0"/>
              <w:jc w:val="right"/>
              <w:rPr>
                <w:b/>
                <w:bCs/>
                <w:noProof/>
                <w:sz w:val="16"/>
                <w:szCs w:val="16"/>
              </w:rPr>
            </w:pPr>
            <w:r w:rsidRPr="006C3201">
              <w:rPr>
                <w:b/>
                <w:noProof/>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882A17D" w14:textId="77777777" w:rsidR="00D048D1" w:rsidRPr="006C3201" w:rsidRDefault="00D048D1">
            <w:pPr>
              <w:spacing w:before="0" w:after="0"/>
              <w:jc w:val="right"/>
              <w:rPr>
                <w:b/>
                <w:bCs/>
                <w:noProof/>
                <w:sz w:val="16"/>
                <w:szCs w:val="16"/>
              </w:rPr>
            </w:pPr>
            <w:r w:rsidRPr="006C3201">
              <w:rPr>
                <w:b/>
                <w:noProof/>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767A2714" w14:textId="77777777" w:rsidR="00D048D1" w:rsidRPr="006C3201" w:rsidRDefault="00D048D1">
            <w:pPr>
              <w:spacing w:before="0" w:after="0"/>
              <w:jc w:val="right"/>
              <w:rPr>
                <w:b/>
                <w:bCs/>
                <w:noProof/>
                <w:sz w:val="16"/>
                <w:szCs w:val="16"/>
              </w:rPr>
            </w:pPr>
            <w:r w:rsidRPr="006C3201">
              <w:rPr>
                <w:b/>
                <w:noProof/>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473A0EF8" w14:textId="77777777" w:rsidR="00D048D1" w:rsidRPr="006C3201" w:rsidRDefault="00D048D1">
            <w:pPr>
              <w:spacing w:before="0" w:after="0"/>
              <w:jc w:val="right"/>
              <w:rPr>
                <w:b/>
                <w:bCs/>
                <w:noProof/>
                <w:sz w:val="16"/>
                <w:szCs w:val="16"/>
              </w:rPr>
            </w:pPr>
            <w:r w:rsidRPr="006C3201">
              <w:rPr>
                <w:b/>
                <w:noProof/>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195D1EBB" w14:textId="77777777" w:rsidR="00D048D1" w:rsidRPr="006C3201" w:rsidRDefault="00D048D1">
            <w:pPr>
              <w:spacing w:before="0" w:after="0"/>
              <w:jc w:val="right"/>
              <w:rPr>
                <w:b/>
                <w:bCs/>
                <w:noProof/>
                <w:sz w:val="16"/>
                <w:szCs w:val="16"/>
              </w:rPr>
            </w:pPr>
            <w:r w:rsidRPr="006C3201">
              <w:rPr>
                <w:b/>
                <w:noProof/>
                <w:sz w:val="16"/>
              </w:rPr>
              <w:t>0,000</w:t>
            </w:r>
          </w:p>
        </w:tc>
      </w:tr>
    </w:tbl>
    <w:p w14:paraId="11FED588" w14:textId="77777777" w:rsidR="00D048D1" w:rsidRPr="006C3201" w:rsidRDefault="00D048D1" w:rsidP="00D048D1">
      <w:pPr>
        <w:pStyle w:val="ManualHeading3"/>
        <w:rPr>
          <w:noProof/>
        </w:rPr>
      </w:pPr>
      <w:bookmarkStart w:id="214" w:name="_Toc514938056"/>
      <w:bookmarkStart w:id="215" w:name="_Toc520485055"/>
      <w:bookmarkStart w:id="216" w:name="_Toc160804599"/>
      <w:bookmarkStart w:id="217" w:name="_Toc167220298"/>
      <w:bookmarkStart w:id="218" w:name="_Toc177549032"/>
      <w:bookmarkStart w:id="219" w:name="_Toc214887242"/>
      <w:bookmarkEnd w:id="213"/>
      <w:r w:rsidRPr="006C3201">
        <w:rPr>
          <w:noProof/>
        </w:rPr>
        <w:t>3.2.6.</w:t>
      </w:r>
      <w:r w:rsidRPr="006C3201">
        <w:rPr>
          <w:noProof/>
        </w:rPr>
        <w:tab/>
        <w:t>Zgodność</w:t>
      </w:r>
      <w:r w:rsidR="00110A93" w:rsidRPr="006C3201">
        <w:rPr>
          <w:noProof/>
        </w:rPr>
        <w:t xml:space="preserve"> z</w:t>
      </w:r>
      <w:r w:rsidR="00110A93">
        <w:rPr>
          <w:noProof/>
        </w:rPr>
        <w:t> </w:t>
      </w:r>
      <w:r w:rsidR="00110A93" w:rsidRPr="006C3201">
        <w:rPr>
          <w:noProof/>
        </w:rPr>
        <w:t>obo</w:t>
      </w:r>
      <w:r w:rsidRPr="006C3201">
        <w:rPr>
          <w:noProof/>
        </w:rPr>
        <w:t>wiązującymi wieloletnimi ramami finansowymi</w:t>
      </w:r>
      <w:bookmarkEnd w:id="214"/>
      <w:bookmarkEnd w:id="215"/>
      <w:bookmarkEnd w:id="216"/>
      <w:bookmarkEnd w:id="217"/>
      <w:bookmarkEnd w:id="218"/>
      <w:bookmarkEnd w:id="219"/>
      <w:r w:rsidRPr="006C3201">
        <w:rPr>
          <w:noProof/>
        </w:rPr>
        <w:t xml:space="preserve"> </w:t>
      </w:r>
    </w:p>
    <w:p w14:paraId="7852823E" w14:textId="77777777" w:rsidR="00D048D1" w:rsidRPr="006C3201" w:rsidRDefault="00D048D1" w:rsidP="00D048D1">
      <w:pPr>
        <w:pStyle w:val="Text1"/>
        <w:rPr>
          <w:noProof/>
        </w:rPr>
      </w:pPr>
      <w:r w:rsidRPr="006C3201">
        <w:rPr>
          <w:noProof/>
        </w:rPr>
        <w:t>Wniosek/inicjatywa:</w:t>
      </w:r>
    </w:p>
    <w:p w14:paraId="105B7B70" w14:textId="77777777" w:rsidR="00D048D1" w:rsidRPr="006C3201" w:rsidRDefault="00D048D1" w:rsidP="00D048D1">
      <w:pPr>
        <w:pStyle w:val="ListDash1"/>
        <w:rPr>
          <w:noProof/>
        </w:rPr>
      </w:pPr>
      <w:r w:rsidRPr="006C3201">
        <w:rPr>
          <w:rFonts w:ascii="Segoe UI Symbol" w:hAnsi="Segoe UI Symbol"/>
          <w:i/>
          <w:noProof/>
          <w:sz w:val="22"/>
        </w:rPr>
        <w:t>✓</w:t>
      </w:r>
      <w:r w:rsidRPr="006C3201">
        <w:rPr>
          <w:noProof/>
        </w:rPr>
        <w:tab/>
        <w:t>może zostać</w:t>
      </w:r>
      <w:r w:rsidR="00110A93" w:rsidRPr="006C3201">
        <w:rPr>
          <w:noProof/>
        </w:rPr>
        <w:t xml:space="preserve"> w</w:t>
      </w:r>
      <w:r w:rsidR="00110A93">
        <w:rPr>
          <w:noProof/>
        </w:rPr>
        <w:t> </w:t>
      </w:r>
      <w:r w:rsidR="00110A93" w:rsidRPr="006C3201">
        <w:rPr>
          <w:noProof/>
        </w:rPr>
        <w:t>peł</w:t>
      </w:r>
      <w:r w:rsidRPr="006C3201">
        <w:rPr>
          <w:noProof/>
        </w:rPr>
        <w:t>ni sfinansowany(-a) przez przegrupowanie środków</w:t>
      </w:r>
      <w:r w:rsidR="00110A93" w:rsidRPr="006C3201">
        <w:rPr>
          <w:noProof/>
        </w:rPr>
        <w:t xml:space="preserve"> w</w:t>
      </w:r>
      <w:r w:rsidR="00110A93">
        <w:rPr>
          <w:noProof/>
        </w:rPr>
        <w:t> </w:t>
      </w:r>
      <w:r w:rsidR="00110A93" w:rsidRPr="006C3201">
        <w:rPr>
          <w:noProof/>
        </w:rPr>
        <w:t>ram</w:t>
      </w:r>
      <w:r w:rsidRPr="006C3201">
        <w:rPr>
          <w:noProof/>
        </w:rPr>
        <w:t>ach odpowiedniego działu wieloletnich ram finansowych (WRF).</w:t>
      </w:r>
    </w:p>
    <w:p w14:paraId="209B355B" w14:textId="77777777" w:rsidR="00D048D1" w:rsidRPr="006C3201" w:rsidRDefault="00D048D1" w:rsidP="00D048D1">
      <w:pPr>
        <w:pStyle w:val="Text1"/>
        <w:pBdr>
          <w:top w:val="single" w:sz="4" w:space="1" w:color="auto"/>
          <w:left w:val="single" w:sz="4" w:space="4" w:color="auto"/>
          <w:bottom w:val="single" w:sz="4" w:space="1" w:color="auto"/>
          <w:right w:val="single" w:sz="4" w:space="4" w:color="auto"/>
        </w:pBdr>
        <w:rPr>
          <w:noProof/>
        </w:rPr>
      </w:pPr>
      <w:r w:rsidRPr="006C3201">
        <w:rPr>
          <w:noProof/>
        </w:rPr>
        <w:t>Dodatkowe zasoby nie są wymagane. Obecny zespół będzie kontynuował zarządzanie inicjatywą.</w:t>
      </w:r>
    </w:p>
    <w:p w14:paraId="7D5AAA57" w14:textId="77777777" w:rsidR="00D048D1" w:rsidRPr="006C3201" w:rsidRDefault="00D048D1" w:rsidP="00D048D1">
      <w:pPr>
        <w:pStyle w:val="ListDash1"/>
        <w:rPr>
          <w:noProof/>
        </w:rPr>
      </w:pPr>
      <w:r w:rsidRPr="006C3201">
        <w:rPr>
          <w:rFonts w:ascii="Wingdings" w:hAnsi="Wingdings"/>
          <w:noProof/>
        </w:rPr>
        <w:t></w:t>
      </w:r>
      <w:r w:rsidRPr="006C3201">
        <w:rPr>
          <w:noProof/>
        </w:rPr>
        <w:tab/>
        <w:t>wymaga zastosowania nieprzydzielonego marginesu środków</w:t>
      </w:r>
      <w:r w:rsidR="00110A93" w:rsidRPr="006C3201">
        <w:rPr>
          <w:noProof/>
        </w:rPr>
        <w:t xml:space="preserve"> w</w:t>
      </w:r>
      <w:r w:rsidR="00110A93">
        <w:rPr>
          <w:noProof/>
        </w:rPr>
        <w:t> </w:t>
      </w:r>
      <w:r w:rsidR="00110A93" w:rsidRPr="006C3201">
        <w:rPr>
          <w:noProof/>
        </w:rPr>
        <w:t>ram</w:t>
      </w:r>
      <w:r w:rsidRPr="006C3201">
        <w:rPr>
          <w:noProof/>
        </w:rPr>
        <w:t>ach odpowiedniego działu WRF lub zastosowania specjalnych instrumentów zdefiniowanych</w:t>
      </w:r>
      <w:r w:rsidR="00110A93" w:rsidRPr="006C3201">
        <w:rPr>
          <w:noProof/>
        </w:rPr>
        <w:t xml:space="preserve"> w</w:t>
      </w:r>
      <w:r w:rsidR="00110A93">
        <w:rPr>
          <w:noProof/>
        </w:rPr>
        <w:t> </w:t>
      </w:r>
      <w:r w:rsidR="00110A93" w:rsidRPr="006C3201">
        <w:rPr>
          <w:noProof/>
        </w:rPr>
        <w:t>roz</w:t>
      </w:r>
      <w:r w:rsidRPr="006C3201">
        <w:rPr>
          <w:noProof/>
        </w:rPr>
        <w:t>porządzeniu</w:t>
      </w:r>
      <w:r w:rsidR="00110A93" w:rsidRPr="006C3201">
        <w:rPr>
          <w:noProof/>
        </w:rPr>
        <w:t xml:space="preserve"> w</w:t>
      </w:r>
      <w:r w:rsidR="00110A93">
        <w:rPr>
          <w:noProof/>
        </w:rPr>
        <w:t> </w:t>
      </w:r>
      <w:r w:rsidR="00110A93" w:rsidRPr="006C3201">
        <w:rPr>
          <w:noProof/>
        </w:rPr>
        <w:t>spr</w:t>
      </w:r>
      <w:r w:rsidRPr="006C3201">
        <w:rPr>
          <w:noProof/>
        </w:rPr>
        <w:t>awie WRF</w:t>
      </w:r>
    </w:p>
    <w:p w14:paraId="1A45B3FC" w14:textId="77777777" w:rsidR="00D048D1" w:rsidRPr="006C3201" w:rsidRDefault="00D048D1" w:rsidP="00D048D1">
      <w:pPr>
        <w:pStyle w:val="ListDash1"/>
        <w:rPr>
          <w:noProof/>
        </w:rPr>
      </w:pPr>
      <w:r w:rsidRPr="006C3201">
        <w:rPr>
          <w:rFonts w:ascii="Wingdings" w:hAnsi="Wingdings"/>
          <w:noProof/>
        </w:rPr>
        <w:t></w:t>
      </w:r>
      <w:r w:rsidRPr="006C3201">
        <w:rPr>
          <w:noProof/>
        </w:rPr>
        <w:tab/>
        <w:t>wymaga rewizji WRF</w:t>
      </w:r>
    </w:p>
    <w:p w14:paraId="7F167F11" w14:textId="77777777" w:rsidR="00D048D1" w:rsidRPr="006C3201" w:rsidRDefault="00D048D1" w:rsidP="00D048D1">
      <w:pPr>
        <w:pStyle w:val="ManualHeading3"/>
        <w:rPr>
          <w:noProof/>
        </w:rPr>
      </w:pPr>
      <w:bookmarkStart w:id="220" w:name="_Toc514938058"/>
      <w:bookmarkStart w:id="221" w:name="_Toc520485056"/>
      <w:bookmarkStart w:id="222" w:name="_Toc160804600"/>
      <w:bookmarkStart w:id="223" w:name="_Toc167220299"/>
      <w:bookmarkStart w:id="224" w:name="_Toc177549033"/>
      <w:bookmarkStart w:id="225" w:name="_Toc214887243"/>
      <w:r w:rsidRPr="006C3201">
        <w:rPr>
          <w:noProof/>
        </w:rPr>
        <w:t>3.2.7.</w:t>
      </w:r>
      <w:r w:rsidRPr="006C3201">
        <w:rPr>
          <w:noProof/>
        </w:rPr>
        <w:tab/>
        <w:t>Udział osób trzecich</w:t>
      </w:r>
      <w:r w:rsidR="00110A93" w:rsidRPr="006C3201">
        <w:rPr>
          <w:noProof/>
        </w:rPr>
        <w:t xml:space="preserve"> w</w:t>
      </w:r>
      <w:r w:rsidR="00110A93">
        <w:rPr>
          <w:noProof/>
        </w:rPr>
        <w:t> </w:t>
      </w:r>
      <w:r w:rsidR="00110A93" w:rsidRPr="006C3201">
        <w:rPr>
          <w:noProof/>
        </w:rPr>
        <w:t>fin</w:t>
      </w:r>
      <w:r w:rsidRPr="006C3201">
        <w:rPr>
          <w:noProof/>
        </w:rPr>
        <w:t>ansowaniu</w:t>
      </w:r>
      <w:bookmarkEnd w:id="220"/>
      <w:bookmarkEnd w:id="221"/>
      <w:bookmarkEnd w:id="222"/>
      <w:bookmarkEnd w:id="223"/>
      <w:bookmarkEnd w:id="224"/>
      <w:bookmarkEnd w:id="225"/>
      <w:r w:rsidRPr="006C3201">
        <w:rPr>
          <w:noProof/>
        </w:rPr>
        <w:t xml:space="preserve"> </w:t>
      </w:r>
    </w:p>
    <w:p w14:paraId="1D15BC0B" w14:textId="77777777" w:rsidR="00D048D1" w:rsidRPr="006C3201" w:rsidRDefault="00D048D1" w:rsidP="00D048D1">
      <w:pPr>
        <w:pStyle w:val="Text1"/>
        <w:rPr>
          <w:noProof/>
        </w:rPr>
      </w:pPr>
      <w:r w:rsidRPr="006C3201">
        <w:rPr>
          <w:noProof/>
        </w:rPr>
        <w:t>Wniosek/inicjatywa:</w:t>
      </w:r>
    </w:p>
    <w:p w14:paraId="65DBB80D" w14:textId="77777777" w:rsidR="00D048D1" w:rsidRPr="006C3201" w:rsidRDefault="00D048D1" w:rsidP="00D048D1">
      <w:pPr>
        <w:pStyle w:val="ListDash1"/>
        <w:rPr>
          <w:noProof/>
        </w:rPr>
      </w:pPr>
      <w:r w:rsidRPr="006C3201">
        <w:rPr>
          <w:rFonts w:ascii="Segoe UI Symbol" w:hAnsi="Segoe UI Symbol"/>
          <w:i/>
          <w:noProof/>
          <w:sz w:val="22"/>
        </w:rPr>
        <w:t>✓</w:t>
      </w:r>
      <w:r w:rsidRPr="006C3201">
        <w:rPr>
          <w:noProof/>
        </w:rPr>
        <w:tab/>
        <w:t>nie przewiduje współfinansowania ze strony osób trzecich</w:t>
      </w:r>
    </w:p>
    <w:p w14:paraId="3930C48F" w14:textId="77777777" w:rsidR="00D048D1" w:rsidRPr="006C3201" w:rsidRDefault="00D048D1" w:rsidP="00D048D1">
      <w:pPr>
        <w:pStyle w:val="ListDash1"/>
        <w:rPr>
          <w:noProof/>
        </w:rPr>
      </w:pPr>
      <w:r w:rsidRPr="006C3201">
        <w:rPr>
          <w:rFonts w:ascii="Wingdings" w:hAnsi="Wingdings"/>
          <w:noProof/>
        </w:rPr>
        <w:t></w:t>
      </w:r>
      <w:r w:rsidRPr="006C3201">
        <w:rPr>
          <w:noProof/>
        </w:rPr>
        <w:tab/>
        <w:t>przewiduje współfinansowanie ze strony osób trzecich zgodnie</w:t>
      </w:r>
      <w:r w:rsidR="00110A93" w:rsidRPr="006C3201">
        <w:rPr>
          <w:noProof/>
        </w:rPr>
        <w:t xml:space="preserve"> z</w:t>
      </w:r>
      <w:r w:rsidR="00110A93">
        <w:rPr>
          <w:noProof/>
        </w:rPr>
        <w:t> </w:t>
      </w:r>
      <w:r w:rsidR="00110A93" w:rsidRPr="006C3201">
        <w:rPr>
          <w:noProof/>
        </w:rPr>
        <w:t>pon</w:t>
      </w:r>
      <w:r w:rsidRPr="006C3201">
        <w:rPr>
          <w:noProof/>
        </w:rPr>
        <w:t>iższymi szacunkami:</w:t>
      </w:r>
    </w:p>
    <w:p w14:paraId="1EF162C4" w14:textId="77777777" w:rsidR="00D048D1" w:rsidRPr="006C3201" w:rsidRDefault="00D048D1" w:rsidP="00D048D1">
      <w:pPr>
        <w:jc w:val="right"/>
        <w:rPr>
          <w:noProof/>
          <w:sz w:val="20"/>
        </w:rPr>
      </w:pPr>
      <w:r w:rsidRPr="006C3201">
        <w:rPr>
          <w:noProof/>
          <w:sz w:val="20"/>
        </w:rPr>
        <w:t>środki</w:t>
      </w:r>
      <w:r w:rsidR="00110A93" w:rsidRPr="006C3201">
        <w:rPr>
          <w:noProof/>
          <w:sz w:val="20"/>
        </w:rPr>
        <w:t xml:space="preserve"> w</w:t>
      </w:r>
      <w:r w:rsidR="00110A93">
        <w:rPr>
          <w:noProof/>
          <w:sz w:val="20"/>
        </w:rPr>
        <w:t> </w:t>
      </w:r>
      <w:r w:rsidR="00110A93" w:rsidRPr="006C3201">
        <w:rPr>
          <w:noProof/>
          <w:sz w:val="20"/>
        </w:rPr>
        <w:t>mln</w:t>
      </w:r>
      <w:r w:rsidRPr="006C3201">
        <w:rPr>
          <w:noProof/>
          <w:sz w:val="20"/>
        </w:rPr>
        <w:t xml:space="preserve"> EUR (do trzech miejsc po przecinku)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85"/>
        <w:gridCol w:w="1187"/>
        <w:gridCol w:w="1187"/>
        <w:gridCol w:w="1186"/>
        <w:gridCol w:w="1186"/>
        <w:gridCol w:w="1426"/>
      </w:tblGrid>
      <w:tr w:rsidR="00E43BAD" w:rsidRPr="006C3201" w14:paraId="397F0EA9" w14:textId="77777777">
        <w:trPr>
          <w:cantSplit/>
        </w:trPr>
        <w:tc>
          <w:tcPr>
            <w:tcW w:w="1591" w:type="pct"/>
          </w:tcPr>
          <w:p w14:paraId="2D66B140" w14:textId="77777777" w:rsidR="00D048D1" w:rsidRPr="006C3201" w:rsidRDefault="00D048D1">
            <w:pPr>
              <w:spacing w:before="60" w:after="60"/>
              <w:rPr>
                <w:noProof/>
                <w:sz w:val="20"/>
              </w:rPr>
            </w:pPr>
          </w:p>
        </w:tc>
        <w:tc>
          <w:tcPr>
            <w:tcW w:w="655" w:type="pct"/>
            <w:vAlign w:val="center"/>
          </w:tcPr>
          <w:p w14:paraId="57AAB8FE" w14:textId="77777777" w:rsidR="00D048D1" w:rsidRPr="006C3201" w:rsidRDefault="00D048D1">
            <w:pPr>
              <w:jc w:val="center"/>
              <w:rPr>
                <w:noProof/>
                <w:sz w:val="20"/>
              </w:rPr>
            </w:pPr>
            <w:r w:rsidRPr="006C3201">
              <w:rPr>
                <w:noProof/>
                <w:sz w:val="20"/>
              </w:rPr>
              <w:t>Ro</w:t>
            </w:r>
            <w:r w:rsidRPr="00110A93">
              <w:rPr>
                <w:noProof/>
                <w:sz w:val="20"/>
              </w:rPr>
              <w:t>k</w:t>
            </w:r>
            <w:r w:rsidR="00110A93" w:rsidRPr="00110A93">
              <w:rPr>
                <w:noProof/>
                <w:sz w:val="20"/>
              </w:rPr>
              <w:t xml:space="preserve"> </w:t>
            </w:r>
            <w:r w:rsidRPr="00110A93">
              <w:rPr>
                <w:noProof/>
              </w:rPr>
              <w:br/>
            </w:r>
            <w:r w:rsidRPr="006C3201">
              <w:rPr>
                <w:b/>
                <w:noProof/>
                <w:sz w:val="20"/>
              </w:rPr>
              <w:t>2024</w:t>
            </w:r>
          </w:p>
        </w:tc>
        <w:tc>
          <w:tcPr>
            <w:tcW w:w="655" w:type="pct"/>
            <w:vAlign w:val="center"/>
          </w:tcPr>
          <w:p w14:paraId="4B87D2D2" w14:textId="77777777" w:rsidR="00D048D1" w:rsidRPr="006C3201" w:rsidRDefault="00D048D1">
            <w:pPr>
              <w:jc w:val="center"/>
              <w:rPr>
                <w:noProof/>
                <w:sz w:val="20"/>
              </w:rPr>
            </w:pPr>
            <w:r w:rsidRPr="006C3201">
              <w:rPr>
                <w:noProof/>
                <w:sz w:val="20"/>
              </w:rPr>
              <w:t>Ro</w:t>
            </w:r>
            <w:r w:rsidRPr="00110A93">
              <w:rPr>
                <w:noProof/>
                <w:sz w:val="20"/>
              </w:rPr>
              <w:t>k</w:t>
            </w:r>
            <w:r w:rsidR="00110A93" w:rsidRPr="00110A93">
              <w:rPr>
                <w:noProof/>
                <w:sz w:val="20"/>
              </w:rPr>
              <w:t xml:space="preserve"> </w:t>
            </w:r>
            <w:r w:rsidRPr="00110A93">
              <w:rPr>
                <w:noProof/>
              </w:rPr>
              <w:br/>
            </w:r>
            <w:r w:rsidRPr="006C3201">
              <w:rPr>
                <w:b/>
                <w:noProof/>
                <w:sz w:val="20"/>
              </w:rPr>
              <w:t>2025</w:t>
            </w:r>
          </w:p>
        </w:tc>
        <w:tc>
          <w:tcPr>
            <w:tcW w:w="655" w:type="pct"/>
            <w:vAlign w:val="center"/>
          </w:tcPr>
          <w:p w14:paraId="34AFA75E" w14:textId="77777777" w:rsidR="00D048D1" w:rsidRPr="006C3201" w:rsidRDefault="00D048D1">
            <w:pPr>
              <w:jc w:val="center"/>
              <w:rPr>
                <w:noProof/>
                <w:sz w:val="20"/>
              </w:rPr>
            </w:pPr>
            <w:r w:rsidRPr="006C3201">
              <w:rPr>
                <w:noProof/>
                <w:sz w:val="20"/>
              </w:rPr>
              <w:t>Ro</w:t>
            </w:r>
            <w:r w:rsidRPr="00110A93">
              <w:rPr>
                <w:noProof/>
                <w:sz w:val="20"/>
              </w:rPr>
              <w:t>k</w:t>
            </w:r>
            <w:r w:rsidR="00110A93" w:rsidRPr="00110A93">
              <w:rPr>
                <w:noProof/>
                <w:sz w:val="20"/>
              </w:rPr>
              <w:t xml:space="preserve"> </w:t>
            </w:r>
            <w:r w:rsidRPr="00110A93">
              <w:rPr>
                <w:noProof/>
              </w:rPr>
              <w:br/>
            </w:r>
            <w:r w:rsidRPr="006C3201">
              <w:rPr>
                <w:b/>
                <w:noProof/>
                <w:sz w:val="20"/>
              </w:rPr>
              <w:t>2026</w:t>
            </w:r>
          </w:p>
        </w:tc>
        <w:tc>
          <w:tcPr>
            <w:tcW w:w="655" w:type="pct"/>
            <w:vAlign w:val="center"/>
          </w:tcPr>
          <w:p w14:paraId="51B49C43" w14:textId="77777777" w:rsidR="00D048D1" w:rsidRPr="006C3201" w:rsidRDefault="00D048D1">
            <w:pPr>
              <w:jc w:val="center"/>
              <w:rPr>
                <w:noProof/>
                <w:sz w:val="20"/>
              </w:rPr>
            </w:pPr>
            <w:r w:rsidRPr="006C3201">
              <w:rPr>
                <w:noProof/>
                <w:sz w:val="20"/>
              </w:rPr>
              <w:t>Ro</w:t>
            </w:r>
            <w:r w:rsidRPr="00110A93">
              <w:rPr>
                <w:noProof/>
                <w:sz w:val="20"/>
              </w:rPr>
              <w:t>k</w:t>
            </w:r>
            <w:r w:rsidR="00110A93" w:rsidRPr="00110A93">
              <w:rPr>
                <w:noProof/>
                <w:sz w:val="20"/>
              </w:rPr>
              <w:t xml:space="preserve"> </w:t>
            </w:r>
            <w:r w:rsidRPr="00110A93">
              <w:rPr>
                <w:noProof/>
              </w:rPr>
              <w:br/>
            </w:r>
            <w:r w:rsidRPr="006C3201">
              <w:rPr>
                <w:b/>
                <w:noProof/>
                <w:sz w:val="20"/>
              </w:rPr>
              <w:t>2027</w:t>
            </w:r>
          </w:p>
        </w:tc>
        <w:tc>
          <w:tcPr>
            <w:tcW w:w="787" w:type="pct"/>
            <w:vAlign w:val="center"/>
          </w:tcPr>
          <w:p w14:paraId="18DB8B63" w14:textId="77777777" w:rsidR="00D048D1" w:rsidRPr="006C3201" w:rsidRDefault="00D048D1">
            <w:pPr>
              <w:spacing w:before="60" w:after="60"/>
              <w:jc w:val="center"/>
              <w:rPr>
                <w:noProof/>
                <w:sz w:val="20"/>
              </w:rPr>
            </w:pPr>
            <w:r w:rsidRPr="006C3201">
              <w:rPr>
                <w:noProof/>
                <w:sz w:val="20"/>
              </w:rPr>
              <w:t>Ogółem</w:t>
            </w:r>
          </w:p>
        </w:tc>
      </w:tr>
      <w:tr w:rsidR="00E43BAD" w:rsidRPr="006C3201" w14:paraId="6C8BCE4A" w14:textId="77777777">
        <w:trPr>
          <w:cantSplit/>
        </w:trPr>
        <w:tc>
          <w:tcPr>
            <w:tcW w:w="1591" w:type="pct"/>
          </w:tcPr>
          <w:p w14:paraId="5A623DFD" w14:textId="77777777" w:rsidR="00D048D1" w:rsidRPr="006C3201" w:rsidRDefault="00D048D1">
            <w:pPr>
              <w:rPr>
                <w:noProof/>
              </w:rPr>
            </w:pPr>
            <w:r w:rsidRPr="006C3201">
              <w:rPr>
                <w:noProof/>
                <w:sz w:val="20"/>
              </w:rPr>
              <w:t>Określić organ współfinansujący</w:t>
            </w:r>
            <w:r w:rsidRPr="006C3201">
              <w:rPr>
                <w:i/>
                <w:noProof/>
                <w:sz w:val="20"/>
              </w:rPr>
              <w:t xml:space="preserve"> </w:t>
            </w:r>
          </w:p>
        </w:tc>
        <w:tc>
          <w:tcPr>
            <w:tcW w:w="655" w:type="pct"/>
            <w:vAlign w:val="center"/>
          </w:tcPr>
          <w:p w14:paraId="05F0EF87" w14:textId="77777777" w:rsidR="00D048D1" w:rsidRPr="006C3201" w:rsidRDefault="00D048D1">
            <w:pPr>
              <w:spacing w:before="60" w:after="60"/>
              <w:jc w:val="center"/>
              <w:rPr>
                <w:noProof/>
                <w:sz w:val="20"/>
              </w:rPr>
            </w:pPr>
          </w:p>
        </w:tc>
        <w:tc>
          <w:tcPr>
            <w:tcW w:w="655" w:type="pct"/>
            <w:vAlign w:val="center"/>
          </w:tcPr>
          <w:p w14:paraId="0721AEA4" w14:textId="77777777" w:rsidR="00D048D1" w:rsidRPr="006C3201" w:rsidRDefault="00D048D1">
            <w:pPr>
              <w:spacing w:before="60" w:after="60"/>
              <w:jc w:val="center"/>
              <w:rPr>
                <w:noProof/>
                <w:sz w:val="20"/>
              </w:rPr>
            </w:pPr>
          </w:p>
        </w:tc>
        <w:tc>
          <w:tcPr>
            <w:tcW w:w="655" w:type="pct"/>
            <w:vAlign w:val="center"/>
          </w:tcPr>
          <w:p w14:paraId="32357D94" w14:textId="77777777" w:rsidR="00D048D1" w:rsidRPr="006C3201" w:rsidRDefault="00D048D1">
            <w:pPr>
              <w:spacing w:before="60" w:after="60"/>
              <w:jc w:val="center"/>
              <w:rPr>
                <w:noProof/>
                <w:sz w:val="20"/>
              </w:rPr>
            </w:pPr>
          </w:p>
        </w:tc>
        <w:tc>
          <w:tcPr>
            <w:tcW w:w="655" w:type="pct"/>
            <w:vAlign w:val="center"/>
          </w:tcPr>
          <w:p w14:paraId="491F72DA" w14:textId="77777777" w:rsidR="00D048D1" w:rsidRPr="006C3201" w:rsidRDefault="00D048D1">
            <w:pPr>
              <w:spacing w:before="60" w:after="60"/>
              <w:jc w:val="center"/>
              <w:rPr>
                <w:noProof/>
                <w:sz w:val="20"/>
              </w:rPr>
            </w:pPr>
          </w:p>
        </w:tc>
        <w:tc>
          <w:tcPr>
            <w:tcW w:w="787" w:type="pct"/>
            <w:vAlign w:val="center"/>
          </w:tcPr>
          <w:p w14:paraId="5685F819" w14:textId="77777777" w:rsidR="00D048D1" w:rsidRPr="006C3201" w:rsidRDefault="00D048D1">
            <w:pPr>
              <w:spacing w:before="60" w:after="60"/>
              <w:jc w:val="center"/>
              <w:rPr>
                <w:noProof/>
                <w:sz w:val="20"/>
              </w:rPr>
            </w:pPr>
          </w:p>
        </w:tc>
      </w:tr>
      <w:tr w:rsidR="00E43BAD" w:rsidRPr="006C3201" w14:paraId="1FCBD470" w14:textId="77777777">
        <w:trPr>
          <w:cantSplit/>
        </w:trPr>
        <w:tc>
          <w:tcPr>
            <w:tcW w:w="1591" w:type="pct"/>
          </w:tcPr>
          <w:p w14:paraId="4A75ECB6" w14:textId="77777777" w:rsidR="00D048D1" w:rsidRPr="006C3201" w:rsidRDefault="00D048D1">
            <w:pPr>
              <w:spacing w:before="60" w:after="60"/>
              <w:jc w:val="left"/>
              <w:rPr>
                <w:noProof/>
                <w:sz w:val="20"/>
              </w:rPr>
            </w:pPr>
            <w:r w:rsidRPr="006C3201">
              <w:rPr>
                <w:noProof/>
                <w:sz w:val="20"/>
              </w:rPr>
              <w:t xml:space="preserve">OGÓŁEM środki objęte współfinansowaniem </w:t>
            </w:r>
          </w:p>
        </w:tc>
        <w:tc>
          <w:tcPr>
            <w:tcW w:w="655" w:type="pct"/>
            <w:vAlign w:val="center"/>
          </w:tcPr>
          <w:p w14:paraId="2906D776" w14:textId="77777777" w:rsidR="00D048D1" w:rsidRPr="006C3201" w:rsidRDefault="00D048D1">
            <w:pPr>
              <w:spacing w:before="60" w:after="60"/>
              <w:jc w:val="center"/>
              <w:rPr>
                <w:noProof/>
                <w:sz w:val="20"/>
              </w:rPr>
            </w:pPr>
          </w:p>
        </w:tc>
        <w:tc>
          <w:tcPr>
            <w:tcW w:w="655" w:type="pct"/>
            <w:vAlign w:val="center"/>
          </w:tcPr>
          <w:p w14:paraId="06849F70" w14:textId="77777777" w:rsidR="00D048D1" w:rsidRPr="006C3201" w:rsidRDefault="00D048D1">
            <w:pPr>
              <w:spacing w:before="60" w:after="60"/>
              <w:jc w:val="center"/>
              <w:rPr>
                <w:noProof/>
                <w:sz w:val="20"/>
              </w:rPr>
            </w:pPr>
          </w:p>
        </w:tc>
        <w:tc>
          <w:tcPr>
            <w:tcW w:w="655" w:type="pct"/>
            <w:vAlign w:val="center"/>
          </w:tcPr>
          <w:p w14:paraId="28E54FCD" w14:textId="77777777" w:rsidR="00D048D1" w:rsidRPr="006C3201" w:rsidRDefault="00D048D1">
            <w:pPr>
              <w:spacing w:before="60" w:after="60"/>
              <w:jc w:val="center"/>
              <w:rPr>
                <w:noProof/>
                <w:sz w:val="20"/>
              </w:rPr>
            </w:pPr>
          </w:p>
        </w:tc>
        <w:tc>
          <w:tcPr>
            <w:tcW w:w="655" w:type="pct"/>
            <w:vAlign w:val="center"/>
          </w:tcPr>
          <w:p w14:paraId="00332339" w14:textId="77777777" w:rsidR="00D048D1" w:rsidRPr="006C3201" w:rsidRDefault="00D048D1">
            <w:pPr>
              <w:spacing w:before="60" w:after="60"/>
              <w:jc w:val="center"/>
              <w:rPr>
                <w:noProof/>
                <w:sz w:val="20"/>
              </w:rPr>
            </w:pPr>
          </w:p>
        </w:tc>
        <w:tc>
          <w:tcPr>
            <w:tcW w:w="787" w:type="pct"/>
            <w:vAlign w:val="center"/>
          </w:tcPr>
          <w:p w14:paraId="44DAFA94" w14:textId="77777777" w:rsidR="00D048D1" w:rsidRPr="006C3201" w:rsidRDefault="00D048D1">
            <w:pPr>
              <w:spacing w:before="60" w:after="60"/>
              <w:jc w:val="center"/>
              <w:rPr>
                <w:noProof/>
                <w:sz w:val="20"/>
              </w:rPr>
            </w:pPr>
          </w:p>
        </w:tc>
      </w:tr>
    </w:tbl>
    <w:p w14:paraId="69A1984A" w14:textId="77777777" w:rsidR="00D048D1" w:rsidRPr="006C3201" w:rsidRDefault="00D048D1" w:rsidP="00D048D1">
      <w:pPr>
        <w:outlineLvl w:val="1"/>
        <w:rPr>
          <w:noProof/>
          <w:szCs w:val="24"/>
        </w:rPr>
      </w:pPr>
      <w:r w:rsidRPr="006C3201">
        <w:rPr>
          <w:noProof/>
        </w:rPr>
        <w:t xml:space="preserve"> </w:t>
      </w:r>
      <w:r w:rsidRPr="006C3201">
        <w:rPr>
          <w:noProof/>
        </w:rPr>
        <w:br/>
      </w:r>
      <w:bookmarkStart w:id="226" w:name="_Toc514938059"/>
      <w:bookmarkStart w:id="227" w:name="_Toc520485057"/>
      <w:bookmarkStart w:id="228" w:name="_Toc160804602"/>
      <w:bookmarkStart w:id="229" w:name="_Toc167220300"/>
      <w:bookmarkStart w:id="230" w:name="_Toc177549034"/>
      <w:bookmarkStart w:id="231" w:name="_Toc214887244"/>
      <w:bookmarkStart w:id="232" w:name="_Hlk166860179"/>
      <w:r w:rsidRPr="006C3201">
        <w:rPr>
          <w:noProof/>
        </w:rPr>
        <w:t>3.3.</w:t>
      </w:r>
      <w:r w:rsidRPr="006C3201">
        <w:rPr>
          <w:noProof/>
        </w:rPr>
        <w:tab/>
        <w:t>Szacunkowy wpływ na dochody</w:t>
      </w:r>
      <w:bookmarkEnd w:id="226"/>
      <w:bookmarkEnd w:id="227"/>
      <w:bookmarkEnd w:id="228"/>
      <w:bookmarkEnd w:id="229"/>
      <w:bookmarkEnd w:id="230"/>
      <w:bookmarkEnd w:id="231"/>
      <w:r w:rsidRPr="006C3201">
        <w:rPr>
          <w:noProof/>
        </w:rPr>
        <w:t xml:space="preserve"> </w:t>
      </w:r>
    </w:p>
    <w:bookmarkEnd w:id="232"/>
    <w:p w14:paraId="775C3349" w14:textId="77777777" w:rsidR="00D048D1" w:rsidRPr="006C3201" w:rsidRDefault="00D048D1" w:rsidP="00D048D1">
      <w:pPr>
        <w:pStyle w:val="ListDash1"/>
        <w:rPr>
          <w:noProof/>
        </w:rPr>
      </w:pPr>
      <w:r w:rsidRPr="006C3201">
        <w:rPr>
          <w:rFonts w:ascii="Segoe UI Symbol" w:hAnsi="Segoe UI Symbol"/>
          <w:i/>
          <w:noProof/>
          <w:sz w:val="22"/>
        </w:rPr>
        <w:t>✓</w:t>
      </w:r>
      <w:r w:rsidRPr="006C3201">
        <w:rPr>
          <w:noProof/>
        </w:rPr>
        <w:tab/>
        <w:t>Wniosek/inicjatywa nie ma wpływu finansowego na dochody</w:t>
      </w:r>
    </w:p>
    <w:p w14:paraId="272860A5" w14:textId="77777777" w:rsidR="00D048D1" w:rsidRPr="006C3201" w:rsidRDefault="00D048D1" w:rsidP="00D048D1">
      <w:pPr>
        <w:pStyle w:val="ListDash1"/>
        <w:rPr>
          <w:noProof/>
        </w:rPr>
      </w:pPr>
      <w:r w:rsidRPr="006C3201">
        <w:rPr>
          <w:rFonts w:ascii="Wingdings" w:hAnsi="Wingdings"/>
          <w:noProof/>
        </w:rPr>
        <w:t></w:t>
      </w:r>
      <w:r w:rsidRPr="006C3201">
        <w:rPr>
          <w:noProof/>
        </w:rPr>
        <w:tab/>
        <w:t>Wniosek/inicjatywa ma wpływ finansowy określony poniżej:</w:t>
      </w:r>
    </w:p>
    <w:p w14:paraId="53106DC9" w14:textId="77777777" w:rsidR="00D048D1" w:rsidRPr="006C3201" w:rsidRDefault="00D048D1" w:rsidP="00D048D1">
      <w:pPr>
        <w:pStyle w:val="ListNumberLevel3"/>
        <w:tabs>
          <w:tab w:val="clear" w:pos="2126"/>
          <w:tab w:val="num" w:pos="1843"/>
        </w:tabs>
        <w:rPr>
          <w:noProof/>
        </w:rPr>
      </w:pPr>
      <w:r w:rsidRPr="006C3201">
        <w:rPr>
          <w:rFonts w:ascii="Wingdings" w:hAnsi="Wingdings"/>
          <w:noProof/>
        </w:rPr>
        <w:t></w:t>
      </w:r>
      <w:r w:rsidRPr="006C3201">
        <w:rPr>
          <w:noProof/>
        </w:rPr>
        <w:tab/>
        <w:t xml:space="preserve">wpływ na zasoby własne </w:t>
      </w:r>
    </w:p>
    <w:p w14:paraId="38509BAD" w14:textId="77777777" w:rsidR="00D048D1" w:rsidRPr="006C3201" w:rsidRDefault="00D048D1" w:rsidP="00D048D1">
      <w:pPr>
        <w:pStyle w:val="ListNumberLevel3"/>
        <w:tabs>
          <w:tab w:val="clear" w:pos="2126"/>
          <w:tab w:val="num" w:pos="1843"/>
        </w:tabs>
        <w:rPr>
          <w:noProof/>
        </w:rPr>
      </w:pPr>
      <w:r w:rsidRPr="006C3201">
        <w:rPr>
          <w:rFonts w:ascii="Wingdings" w:hAnsi="Wingdings"/>
          <w:noProof/>
        </w:rPr>
        <w:t></w:t>
      </w:r>
      <w:r w:rsidRPr="006C3201">
        <w:rPr>
          <w:noProof/>
        </w:rPr>
        <w:tab/>
        <w:t>wpływ na dochody inne</w:t>
      </w:r>
    </w:p>
    <w:p w14:paraId="077105A8" w14:textId="77777777" w:rsidR="00D048D1" w:rsidRPr="006C3201" w:rsidRDefault="00D048D1" w:rsidP="00D048D1">
      <w:pPr>
        <w:pStyle w:val="ListNumberLevel3"/>
        <w:tabs>
          <w:tab w:val="clear" w:pos="2126"/>
          <w:tab w:val="num" w:pos="1843"/>
        </w:tabs>
        <w:rPr>
          <w:noProof/>
        </w:rPr>
      </w:pPr>
      <w:r w:rsidRPr="006C3201">
        <w:rPr>
          <w:rFonts w:ascii="Wingdings" w:hAnsi="Wingdings"/>
          <w:noProof/>
        </w:rPr>
        <w:t></w:t>
      </w:r>
      <w:r w:rsidRPr="006C3201">
        <w:rPr>
          <w:noProof/>
        </w:rPr>
        <w:tab/>
        <w:t>Wskazać, czy dochody są przypisane do linii budżetowej po stronie wydatków</w:t>
      </w:r>
    </w:p>
    <w:p w14:paraId="15F2AE4A" w14:textId="77777777" w:rsidR="00D048D1" w:rsidRPr="006C3201" w:rsidRDefault="00D048D1" w:rsidP="00D048D1">
      <w:pPr>
        <w:jc w:val="right"/>
        <w:rPr>
          <w:noProof/>
          <w:sz w:val="20"/>
        </w:rPr>
      </w:pPr>
      <w:r w:rsidRPr="006C3201">
        <w:rPr>
          <w:noProof/>
          <w:sz w:val="20"/>
        </w:rPr>
        <w:t xml:space="preserve">    </w:t>
      </w:r>
      <w:r w:rsidR="00110A93" w:rsidRPr="006C3201">
        <w:rPr>
          <w:noProof/>
          <w:sz w:val="20"/>
        </w:rPr>
        <w:t xml:space="preserve"> w</w:t>
      </w:r>
      <w:r w:rsidR="00110A93">
        <w:rPr>
          <w:noProof/>
          <w:sz w:val="20"/>
        </w:rPr>
        <w:t> </w:t>
      </w:r>
      <w:r w:rsidR="00110A93" w:rsidRPr="006C3201">
        <w:rPr>
          <w:noProof/>
          <w:sz w:val="20"/>
        </w:rPr>
        <w:t>mln</w:t>
      </w:r>
      <w:r w:rsidRPr="006C3201">
        <w:rPr>
          <w:noProof/>
          <w:sz w:val="20"/>
        </w:rPr>
        <w:t xml:space="preserve"> EUR (do trzech miejsc po przecinku)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1575"/>
        <w:gridCol w:w="1651"/>
        <w:gridCol w:w="1019"/>
        <w:gridCol w:w="1010"/>
        <w:gridCol w:w="1229"/>
      </w:tblGrid>
      <w:tr w:rsidR="00E43BAD" w:rsidRPr="006C3201" w14:paraId="351E5AF7" w14:textId="77777777">
        <w:trPr>
          <w:trHeight w:val="388"/>
        </w:trPr>
        <w:tc>
          <w:tcPr>
            <w:tcW w:w="1423" w:type="pct"/>
            <w:vMerge w:val="restart"/>
            <w:vAlign w:val="center"/>
          </w:tcPr>
          <w:p w14:paraId="1A14FF76" w14:textId="77777777" w:rsidR="00D048D1" w:rsidRPr="006C3201" w:rsidRDefault="00D048D1">
            <w:pPr>
              <w:spacing w:before="40" w:after="40"/>
              <w:rPr>
                <w:noProof/>
                <w:sz w:val="18"/>
              </w:rPr>
            </w:pPr>
            <w:r w:rsidRPr="006C3201">
              <w:rPr>
                <w:noProof/>
                <w:sz w:val="18"/>
              </w:rPr>
              <w:t>Linia budżetowa po stronie dochodów</w:t>
            </w:r>
          </w:p>
        </w:tc>
        <w:tc>
          <w:tcPr>
            <w:tcW w:w="869" w:type="pct"/>
            <w:vMerge w:val="restart"/>
            <w:vAlign w:val="center"/>
          </w:tcPr>
          <w:p w14:paraId="32991CA6" w14:textId="77777777" w:rsidR="00D048D1" w:rsidRPr="006C3201" w:rsidRDefault="00D048D1">
            <w:pPr>
              <w:jc w:val="center"/>
              <w:rPr>
                <w:noProof/>
                <w:sz w:val="18"/>
              </w:rPr>
            </w:pPr>
            <w:r w:rsidRPr="006C3201">
              <w:rPr>
                <w:noProof/>
                <w:sz w:val="18"/>
              </w:rPr>
              <w:t>Środki zapisane</w:t>
            </w:r>
            <w:r w:rsidR="00110A93" w:rsidRPr="006C3201">
              <w:rPr>
                <w:noProof/>
                <w:sz w:val="18"/>
              </w:rPr>
              <w:t xml:space="preserve"> w</w:t>
            </w:r>
            <w:r w:rsidR="00110A93">
              <w:rPr>
                <w:noProof/>
                <w:sz w:val="18"/>
              </w:rPr>
              <w:t> </w:t>
            </w:r>
            <w:r w:rsidR="00110A93" w:rsidRPr="006C3201">
              <w:rPr>
                <w:noProof/>
                <w:sz w:val="18"/>
              </w:rPr>
              <w:t>bud</w:t>
            </w:r>
            <w:r w:rsidRPr="006C3201">
              <w:rPr>
                <w:noProof/>
                <w:sz w:val="18"/>
              </w:rPr>
              <w:t>żecie na bieżący rok budżetowy</w:t>
            </w:r>
          </w:p>
        </w:tc>
        <w:tc>
          <w:tcPr>
            <w:tcW w:w="2709" w:type="pct"/>
            <w:gridSpan w:val="4"/>
            <w:vAlign w:val="center"/>
          </w:tcPr>
          <w:p w14:paraId="36ECCA6C" w14:textId="77777777" w:rsidR="00D048D1" w:rsidRPr="006C3201" w:rsidRDefault="00D048D1">
            <w:pPr>
              <w:jc w:val="center"/>
              <w:rPr>
                <w:noProof/>
                <w:sz w:val="18"/>
              </w:rPr>
            </w:pPr>
            <w:r w:rsidRPr="006C3201">
              <w:rPr>
                <w:noProof/>
                <w:sz w:val="18"/>
              </w:rPr>
              <w:t>Wpływ wniosku/inicjatywy</w:t>
            </w:r>
            <w:r w:rsidRPr="006C3201">
              <w:rPr>
                <w:rStyle w:val="Odwoanieprzypisudolnego"/>
                <w:noProof/>
                <w:sz w:val="18"/>
                <w:szCs w:val="18"/>
              </w:rPr>
              <w:footnoteReference w:id="13"/>
            </w:r>
          </w:p>
        </w:tc>
      </w:tr>
      <w:tr w:rsidR="00E43BAD" w:rsidRPr="006C3201" w14:paraId="264210CC" w14:textId="77777777">
        <w:trPr>
          <w:trHeight w:val="388"/>
        </w:trPr>
        <w:tc>
          <w:tcPr>
            <w:tcW w:w="1423" w:type="pct"/>
            <w:vMerge/>
          </w:tcPr>
          <w:p w14:paraId="68948561" w14:textId="77777777" w:rsidR="00D048D1" w:rsidRPr="006C3201" w:rsidRDefault="00D048D1">
            <w:pPr>
              <w:spacing w:before="40" w:after="40"/>
              <w:rPr>
                <w:noProof/>
                <w:sz w:val="18"/>
              </w:rPr>
            </w:pPr>
          </w:p>
        </w:tc>
        <w:tc>
          <w:tcPr>
            <w:tcW w:w="869" w:type="pct"/>
            <w:vMerge/>
          </w:tcPr>
          <w:p w14:paraId="24CDB74D" w14:textId="77777777" w:rsidR="00D048D1" w:rsidRPr="006C3201" w:rsidRDefault="00D048D1">
            <w:pPr>
              <w:spacing w:beforeLines="40" w:before="96" w:afterLines="40" w:after="96"/>
              <w:rPr>
                <w:i/>
                <w:noProof/>
                <w:sz w:val="18"/>
              </w:rPr>
            </w:pPr>
          </w:p>
        </w:tc>
        <w:tc>
          <w:tcPr>
            <w:tcW w:w="911" w:type="pct"/>
            <w:vAlign w:val="center"/>
          </w:tcPr>
          <w:p w14:paraId="02FDCF61" w14:textId="77777777" w:rsidR="00D048D1" w:rsidRPr="006C3201" w:rsidRDefault="00D048D1">
            <w:pPr>
              <w:jc w:val="center"/>
              <w:rPr>
                <w:noProof/>
                <w:sz w:val="18"/>
              </w:rPr>
            </w:pPr>
            <w:r w:rsidRPr="006C3201">
              <w:rPr>
                <w:noProof/>
                <w:sz w:val="18"/>
              </w:rPr>
              <w:t xml:space="preserve">Rok </w:t>
            </w:r>
            <w:r w:rsidRPr="006C3201">
              <w:rPr>
                <w:b/>
                <w:noProof/>
                <w:sz w:val="18"/>
              </w:rPr>
              <w:t>2024</w:t>
            </w:r>
          </w:p>
        </w:tc>
        <w:tc>
          <w:tcPr>
            <w:tcW w:w="562" w:type="pct"/>
            <w:vAlign w:val="center"/>
          </w:tcPr>
          <w:p w14:paraId="5E097DE0" w14:textId="77777777" w:rsidR="00D048D1" w:rsidRPr="006C3201" w:rsidRDefault="00D048D1">
            <w:pPr>
              <w:jc w:val="center"/>
              <w:rPr>
                <w:noProof/>
                <w:sz w:val="18"/>
              </w:rPr>
            </w:pPr>
            <w:r w:rsidRPr="006C3201">
              <w:rPr>
                <w:noProof/>
                <w:sz w:val="18"/>
              </w:rPr>
              <w:t xml:space="preserve">Rok </w:t>
            </w:r>
            <w:r w:rsidRPr="006C3201">
              <w:rPr>
                <w:b/>
                <w:noProof/>
                <w:sz w:val="18"/>
              </w:rPr>
              <w:t>2025</w:t>
            </w:r>
          </w:p>
        </w:tc>
        <w:tc>
          <w:tcPr>
            <w:tcW w:w="557" w:type="pct"/>
            <w:vAlign w:val="center"/>
          </w:tcPr>
          <w:p w14:paraId="2D2ED8B7" w14:textId="77777777" w:rsidR="00D048D1" w:rsidRPr="006C3201" w:rsidRDefault="00D048D1">
            <w:pPr>
              <w:jc w:val="center"/>
              <w:rPr>
                <w:noProof/>
                <w:sz w:val="18"/>
              </w:rPr>
            </w:pPr>
            <w:r w:rsidRPr="006C3201">
              <w:rPr>
                <w:noProof/>
                <w:sz w:val="18"/>
              </w:rPr>
              <w:t xml:space="preserve">Rok </w:t>
            </w:r>
            <w:r w:rsidRPr="006C3201">
              <w:rPr>
                <w:b/>
                <w:noProof/>
                <w:sz w:val="18"/>
              </w:rPr>
              <w:t>2026</w:t>
            </w:r>
          </w:p>
        </w:tc>
        <w:tc>
          <w:tcPr>
            <w:tcW w:w="679" w:type="pct"/>
            <w:vAlign w:val="center"/>
          </w:tcPr>
          <w:p w14:paraId="793CA2E4" w14:textId="77777777" w:rsidR="00D048D1" w:rsidRPr="006C3201" w:rsidRDefault="00D048D1">
            <w:pPr>
              <w:jc w:val="center"/>
              <w:rPr>
                <w:noProof/>
                <w:sz w:val="18"/>
              </w:rPr>
            </w:pPr>
            <w:r w:rsidRPr="006C3201">
              <w:rPr>
                <w:noProof/>
                <w:sz w:val="18"/>
              </w:rPr>
              <w:t xml:space="preserve">Rok </w:t>
            </w:r>
            <w:r w:rsidRPr="006C3201">
              <w:rPr>
                <w:b/>
                <w:noProof/>
                <w:sz w:val="18"/>
              </w:rPr>
              <w:t>2027</w:t>
            </w:r>
          </w:p>
        </w:tc>
      </w:tr>
      <w:tr w:rsidR="00E43BAD" w:rsidRPr="006C3201" w14:paraId="31851BFE" w14:textId="77777777">
        <w:trPr>
          <w:trHeight w:val="388"/>
        </w:trPr>
        <w:tc>
          <w:tcPr>
            <w:tcW w:w="1423" w:type="pct"/>
            <w:vAlign w:val="center"/>
          </w:tcPr>
          <w:p w14:paraId="4F8B2146" w14:textId="77777777" w:rsidR="00D048D1" w:rsidRPr="006C3201" w:rsidRDefault="00D048D1">
            <w:pPr>
              <w:spacing w:before="40" w:after="40"/>
              <w:rPr>
                <w:noProof/>
                <w:sz w:val="18"/>
              </w:rPr>
            </w:pPr>
            <w:r w:rsidRPr="006C3201">
              <w:rPr>
                <w:noProof/>
                <w:sz w:val="18"/>
              </w:rPr>
              <w:t>Artykuł …</w:t>
            </w:r>
          </w:p>
        </w:tc>
        <w:tc>
          <w:tcPr>
            <w:tcW w:w="869" w:type="pct"/>
          </w:tcPr>
          <w:p w14:paraId="278858FE" w14:textId="77777777" w:rsidR="00D048D1" w:rsidRPr="006C3201" w:rsidRDefault="00D048D1">
            <w:pPr>
              <w:spacing w:beforeLines="40" w:before="96" w:afterLines="40" w:after="96"/>
              <w:jc w:val="center"/>
              <w:rPr>
                <w:i/>
                <w:noProof/>
                <w:sz w:val="18"/>
              </w:rPr>
            </w:pPr>
          </w:p>
        </w:tc>
        <w:tc>
          <w:tcPr>
            <w:tcW w:w="911" w:type="pct"/>
          </w:tcPr>
          <w:p w14:paraId="34CAC497" w14:textId="77777777" w:rsidR="00D048D1" w:rsidRPr="006C3201" w:rsidRDefault="00D048D1">
            <w:pPr>
              <w:spacing w:beforeLines="40" w:before="96" w:afterLines="40" w:after="96"/>
              <w:jc w:val="center"/>
              <w:rPr>
                <w:noProof/>
                <w:sz w:val="18"/>
              </w:rPr>
            </w:pPr>
          </w:p>
        </w:tc>
        <w:tc>
          <w:tcPr>
            <w:tcW w:w="562" w:type="pct"/>
          </w:tcPr>
          <w:p w14:paraId="61E4B729" w14:textId="77777777" w:rsidR="00D048D1" w:rsidRPr="006C3201" w:rsidRDefault="00D048D1">
            <w:pPr>
              <w:spacing w:beforeLines="40" w:before="96" w:afterLines="40" w:after="96"/>
              <w:jc w:val="center"/>
              <w:rPr>
                <w:noProof/>
                <w:sz w:val="18"/>
              </w:rPr>
            </w:pPr>
          </w:p>
        </w:tc>
        <w:tc>
          <w:tcPr>
            <w:tcW w:w="557" w:type="pct"/>
          </w:tcPr>
          <w:p w14:paraId="1E5385B9" w14:textId="77777777" w:rsidR="00D048D1" w:rsidRPr="006C3201" w:rsidRDefault="00D048D1">
            <w:pPr>
              <w:spacing w:beforeLines="40" w:before="96" w:afterLines="40" w:after="96"/>
              <w:jc w:val="center"/>
              <w:rPr>
                <w:noProof/>
                <w:sz w:val="18"/>
              </w:rPr>
            </w:pPr>
          </w:p>
        </w:tc>
        <w:tc>
          <w:tcPr>
            <w:tcW w:w="679" w:type="pct"/>
          </w:tcPr>
          <w:p w14:paraId="053DDE48" w14:textId="77777777" w:rsidR="00D048D1" w:rsidRPr="006C3201" w:rsidRDefault="00D048D1">
            <w:pPr>
              <w:spacing w:beforeLines="40" w:before="96" w:afterLines="40" w:after="96"/>
              <w:jc w:val="center"/>
              <w:rPr>
                <w:noProof/>
                <w:sz w:val="18"/>
              </w:rPr>
            </w:pPr>
          </w:p>
        </w:tc>
      </w:tr>
    </w:tbl>
    <w:p w14:paraId="5A8F9CB7" w14:textId="77777777" w:rsidR="00D048D1" w:rsidRPr="006C3201" w:rsidRDefault="00D048D1" w:rsidP="00D048D1">
      <w:pPr>
        <w:pStyle w:val="ManualHeading1"/>
        <w:rPr>
          <w:caps/>
          <w:noProof/>
        </w:rPr>
      </w:pPr>
      <w:bookmarkStart w:id="233" w:name="_Toc167220301"/>
      <w:bookmarkStart w:id="234" w:name="_Toc177549035"/>
      <w:bookmarkStart w:id="235" w:name="_Toc214887245"/>
      <w:r w:rsidRPr="006C3201">
        <w:rPr>
          <w:noProof/>
        </w:rPr>
        <w:t>4.</w:t>
      </w:r>
      <w:r w:rsidRPr="006C3201">
        <w:rPr>
          <w:noProof/>
        </w:rPr>
        <w:tab/>
      </w:r>
      <w:bookmarkStart w:id="236" w:name="_Hlk167692977"/>
      <w:r w:rsidRPr="006C3201">
        <w:rPr>
          <w:caps/>
          <w:noProof/>
        </w:rPr>
        <w:t>Wymiar cyfrowy</w:t>
      </w:r>
      <w:bookmarkEnd w:id="233"/>
      <w:bookmarkEnd w:id="234"/>
      <w:bookmarkEnd w:id="235"/>
    </w:p>
    <w:p w14:paraId="527BF038" w14:textId="77777777" w:rsidR="00D048D1" w:rsidRPr="006C3201" w:rsidRDefault="00D048D1" w:rsidP="00D048D1">
      <w:pPr>
        <w:pStyle w:val="ManualHeading2"/>
        <w:rPr>
          <w:noProof/>
        </w:rPr>
      </w:pPr>
      <w:bookmarkStart w:id="237" w:name="_Toc167220302"/>
      <w:bookmarkStart w:id="238" w:name="_Toc177549037"/>
      <w:bookmarkStart w:id="239" w:name="_Toc214887246"/>
      <w:r w:rsidRPr="006C3201">
        <w:rPr>
          <w:noProof/>
        </w:rPr>
        <w:t>4.1.</w:t>
      </w:r>
      <w:r w:rsidRPr="006C3201">
        <w:rPr>
          <w:noProof/>
        </w:rPr>
        <w:tab/>
        <w:t>Wymogi cyfrowe</w:t>
      </w:r>
      <w:bookmarkEnd w:id="237"/>
      <w:bookmarkEnd w:id="238"/>
      <w:bookmarkEnd w:id="239"/>
    </w:p>
    <w:tbl>
      <w:tblPr>
        <w:tblStyle w:val="Tabela-Siatka"/>
        <w:tblW w:w="9072" w:type="dxa"/>
        <w:tblInd w:w="-5" w:type="dxa"/>
        <w:tblLayout w:type="fixed"/>
        <w:tblLook w:val="06A0" w:firstRow="1" w:lastRow="0" w:firstColumn="1" w:lastColumn="0" w:noHBand="1" w:noVBand="1"/>
      </w:tblPr>
      <w:tblGrid>
        <w:gridCol w:w="9072"/>
      </w:tblGrid>
      <w:tr w:rsidR="00E43BAD" w:rsidRPr="006C3201" w14:paraId="7086C451" w14:textId="77777777">
        <w:trPr>
          <w:trHeight w:val="300"/>
        </w:trPr>
        <w:tc>
          <w:tcPr>
            <w:tcW w:w="9072" w:type="dxa"/>
          </w:tcPr>
          <w:p w14:paraId="77BB8914" w14:textId="77777777" w:rsidR="00D048D1" w:rsidRPr="006C3201" w:rsidRDefault="00D048D1">
            <w:pPr>
              <w:rPr>
                <w:noProof/>
              </w:rPr>
            </w:pPr>
            <w:r w:rsidRPr="006C3201">
              <w:rPr>
                <w:noProof/>
              </w:rPr>
              <w:t>Brak wymogów cyfrowych.</w:t>
            </w:r>
          </w:p>
        </w:tc>
      </w:tr>
    </w:tbl>
    <w:p w14:paraId="7D264199" w14:textId="77777777" w:rsidR="00D048D1" w:rsidRPr="006C3201" w:rsidRDefault="00D048D1" w:rsidP="00D048D1">
      <w:pPr>
        <w:pStyle w:val="ManualHeading2"/>
        <w:rPr>
          <w:noProof/>
        </w:rPr>
      </w:pPr>
      <w:bookmarkStart w:id="240" w:name="_Toc167220303"/>
      <w:bookmarkStart w:id="241" w:name="_Toc177549038"/>
      <w:bookmarkStart w:id="242" w:name="_Toc214887247"/>
      <w:r w:rsidRPr="006C3201">
        <w:rPr>
          <w:noProof/>
        </w:rPr>
        <w:t>4.2.</w:t>
      </w:r>
      <w:r w:rsidRPr="006C3201">
        <w:rPr>
          <w:noProof/>
        </w:rPr>
        <w:tab/>
        <w:t>Dane</w:t>
      </w:r>
      <w:bookmarkEnd w:id="240"/>
      <w:bookmarkEnd w:id="241"/>
      <w:bookmarkEnd w:id="242"/>
    </w:p>
    <w:tbl>
      <w:tblPr>
        <w:tblStyle w:val="Tabela-Siatka"/>
        <w:tblW w:w="0" w:type="auto"/>
        <w:tblLook w:val="04A0" w:firstRow="1" w:lastRow="0" w:firstColumn="1" w:lastColumn="0" w:noHBand="0" w:noVBand="1"/>
      </w:tblPr>
      <w:tblGrid>
        <w:gridCol w:w="9063"/>
      </w:tblGrid>
      <w:tr w:rsidR="00E43BAD" w:rsidRPr="006C3201" w14:paraId="48E57B60" w14:textId="77777777">
        <w:tc>
          <w:tcPr>
            <w:tcW w:w="9063" w:type="dxa"/>
          </w:tcPr>
          <w:p w14:paraId="3FAF7342" w14:textId="77777777" w:rsidR="00D048D1" w:rsidRPr="006C3201" w:rsidRDefault="00D048D1">
            <w:pPr>
              <w:rPr>
                <w:noProof/>
              </w:rPr>
            </w:pPr>
            <w:r w:rsidRPr="006C3201">
              <w:rPr>
                <w:noProof/>
              </w:rPr>
              <w:t>Nie wskazano wymogów cyfrowych.</w:t>
            </w:r>
          </w:p>
        </w:tc>
      </w:tr>
    </w:tbl>
    <w:p w14:paraId="26BAE7E5" w14:textId="77777777" w:rsidR="00D048D1" w:rsidRPr="006C3201" w:rsidRDefault="00D048D1" w:rsidP="00D048D1">
      <w:pPr>
        <w:pStyle w:val="ManualHeading2"/>
        <w:rPr>
          <w:noProof/>
        </w:rPr>
      </w:pPr>
      <w:bookmarkStart w:id="243" w:name="_Toc167220305"/>
      <w:bookmarkStart w:id="244" w:name="_Toc177549039"/>
      <w:bookmarkStart w:id="245" w:name="_Toc214887248"/>
      <w:r w:rsidRPr="006C3201">
        <w:rPr>
          <w:noProof/>
        </w:rPr>
        <w:t>4.3.</w:t>
      </w:r>
      <w:r w:rsidRPr="006C3201">
        <w:rPr>
          <w:noProof/>
        </w:rPr>
        <w:tab/>
        <w:t>Rozwiązania cyfrowe</w:t>
      </w:r>
      <w:bookmarkEnd w:id="243"/>
      <w:bookmarkEnd w:id="244"/>
      <w:bookmarkEnd w:id="245"/>
    </w:p>
    <w:tbl>
      <w:tblPr>
        <w:tblStyle w:val="Tabela-Siatka"/>
        <w:tblpPr w:leftFromText="141" w:rightFromText="141" w:vertAnchor="text" w:horzAnchor="margin" w:tblpY="2"/>
        <w:tblW w:w="9067" w:type="dxa"/>
        <w:tblLook w:val="04A0" w:firstRow="1" w:lastRow="0" w:firstColumn="1" w:lastColumn="0" w:noHBand="0" w:noVBand="1"/>
      </w:tblPr>
      <w:tblGrid>
        <w:gridCol w:w="9067"/>
      </w:tblGrid>
      <w:tr w:rsidR="00E43BAD" w:rsidRPr="006C3201" w14:paraId="371FA222" w14:textId="77777777">
        <w:tc>
          <w:tcPr>
            <w:tcW w:w="9067" w:type="dxa"/>
          </w:tcPr>
          <w:p w14:paraId="6B5F03BF" w14:textId="77777777" w:rsidR="00D048D1" w:rsidRPr="006C3201" w:rsidRDefault="00D048D1">
            <w:pPr>
              <w:rPr>
                <w:noProof/>
              </w:rPr>
            </w:pPr>
            <w:r w:rsidRPr="006C3201">
              <w:rPr>
                <w:noProof/>
              </w:rPr>
              <w:t>Nie wskazano wymogów cyfrowych.</w:t>
            </w:r>
          </w:p>
        </w:tc>
      </w:tr>
    </w:tbl>
    <w:p w14:paraId="539BD3FB" w14:textId="77777777" w:rsidR="00D048D1" w:rsidRPr="006C3201" w:rsidRDefault="00D048D1" w:rsidP="00D048D1">
      <w:pPr>
        <w:pStyle w:val="ManualHeading2"/>
        <w:rPr>
          <w:rStyle w:val="Uwydatnienie"/>
          <w:b w:val="0"/>
          <w:bCs/>
          <w:i w:val="0"/>
          <w:iCs w:val="0"/>
          <w:noProof/>
        </w:rPr>
      </w:pPr>
      <w:bookmarkStart w:id="246" w:name="_Toc167220304"/>
      <w:bookmarkStart w:id="247" w:name="_Toc177549040"/>
      <w:bookmarkStart w:id="248" w:name="_Toc214887249"/>
      <w:r w:rsidRPr="006C3201">
        <w:rPr>
          <w:rStyle w:val="Uwydatnienie"/>
          <w:noProof/>
        </w:rPr>
        <w:t>4.4.</w:t>
      </w:r>
      <w:r w:rsidRPr="006C3201">
        <w:rPr>
          <w:noProof/>
        </w:rPr>
        <w:tab/>
      </w:r>
      <w:r w:rsidRPr="006C3201">
        <w:rPr>
          <w:rStyle w:val="Uwydatnienie"/>
          <w:noProof/>
        </w:rPr>
        <w:t>Ocena interoperacyjności</w:t>
      </w:r>
      <w:bookmarkEnd w:id="246"/>
      <w:bookmarkEnd w:id="247"/>
      <w:bookmarkEnd w:id="248"/>
    </w:p>
    <w:tbl>
      <w:tblPr>
        <w:tblStyle w:val="Tabela-Siatka"/>
        <w:tblpPr w:leftFromText="141" w:rightFromText="141" w:vertAnchor="text" w:horzAnchor="margin" w:tblpY="36"/>
        <w:tblW w:w="9067" w:type="dxa"/>
        <w:tblLayout w:type="fixed"/>
        <w:tblLook w:val="06A0" w:firstRow="1" w:lastRow="0" w:firstColumn="1" w:lastColumn="0" w:noHBand="1" w:noVBand="1"/>
      </w:tblPr>
      <w:tblGrid>
        <w:gridCol w:w="9067"/>
      </w:tblGrid>
      <w:tr w:rsidR="00E43BAD" w:rsidRPr="006C3201" w14:paraId="1B1210FA" w14:textId="77777777">
        <w:trPr>
          <w:trHeight w:val="300"/>
        </w:trPr>
        <w:tc>
          <w:tcPr>
            <w:tcW w:w="9067" w:type="dxa"/>
          </w:tcPr>
          <w:p w14:paraId="1C203806" w14:textId="77777777" w:rsidR="00D048D1" w:rsidRPr="006C3201" w:rsidRDefault="00D048D1">
            <w:pPr>
              <w:rPr>
                <w:noProof/>
              </w:rPr>
            </w:pPr>
            <w:r w:rsidRPr="006C3201">
              <w:rPr>
                <w:noProof/>
              </w:rPr>
              <w:t>Nie wskazano wymogów cyfrowych.</w:t>
            </w:r>
          </w:p>
        </w:tc>
      </w:tr>
    </w:tbl>
    <w:p w14:paraId="1F2215A6" w14:textId="77777777" w:rsidR="00D048D1" w:rsidRPr="006C3201" w:rsidRDefault="00D048D1" w:rsidP="00D048D1">
      <w:pPr>
        <w:pStyle w:val="ManualHeading2"/>
        <w:rPr>
          <w:noProof/>
        </w:rPr>
      </w:pPr>
      <w:bookmarkStart w:id="249" w:name="_Toc167220306"/>
      <w:bookmarkStart w:id="250" w:name="_Toc177549041"/>
      <w:bookmarkStart w:id="251" w:name="_Toc214887250"/>
      <w:r w:rsidRPr="006C3201">
        <w:rPr>
          <w:noProof/>
        </w:rPr>
        <w:t>4.5.</w:t>
      </w:r>
      <w:r w:rsidRPr="006C3201">
        <w:rPr>
          <w:noProof/>
        </w:rPr>
        <w:tab/>
        <w:t>Środki wspierające cyfrowe wdrażanie</w:t>
      </w:r>
      <w:bookmarkEnd w:id="249"/>
      <w:bookmarkEnd w:id="250"/>
      <w:bookmarkEnd w:id="251"/>
    </w:p>
    <w:tbl>
      <w:tblPr>
        <w:tblStyle w:val="Tabela-Siatka"/>
        <w:tblpPr w:leftFromText="141" w:rightFromText="141" w:vertAnchor="text" w:horzAnchor="margin" w:tblpY="49"/>
        <w:tblW w:w="9067" w:type="dxa"/>
        <w:tblLook w:val="04A0" w:firstRow="1" w:lastRow="0" w:firstColumn="1" w:lastColumn="0" w:noHBand="0" w:noVBand="1"/>
      </w:tblPr>
      <w:tblGrid>
        <w:gridCol w:w="9067"/>
      </w:tblGrid>
      <w:tr w:rsidR="00E43BAD" w:rsidRPr="006C3201" w14:paraId="526528A3" w14:textId="77777777">
        <w:tc>
          <w:tcPr>
            <w:tcW w:w="9067" w:type="dxa"/>
          </w:tcPr>
          <w:p w14:paraId="79A53813" w14:textId="77777777" w:rsidR="00D048D1" w:rsidRPr="006C3201" w:rsidRDefault="00D048D1">
            <w:pPr>
              <w:rPr>
                <w:noProof/>
              </w:rPr>
            </w:pPr>
            <w:r w:rsidRPr="006C3201">
              <w:rPr>
                <w:noProof/>
              </w:rPr>
              <w:t>Nie wskazano wymogów cyfrowych.</w:t>
            </w:r>
          </w:p>
        </w:tc>
      </w:tr>
      <w:bookmarkEnd w:id="236"/>
    </w:tbl>
    <w:p w14:paraId="0DD4D93F" w14:textId="77777777" w:rsidR="00D048D1" w:rsidRPr="006C3201" w:rsidRDefault="00D048D1" w:rsidP="00D048D1">
      <w:pPr>
        <w:rPr>
          <w:noProof/>
        </w:rPr>
      </w:pPr>
    </w:p>
    <w:sectPr w:rsidR="00D048D1" w:rsidRPr="006C3201" w:rsidSect="00F93B7D">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368A" w14:textId="77777777" w:rsidR="00EC3A54" w:rsidRDefault="00EC3A54" w:rsidP="00604861">
      <w:pPr>
        <w:spacing w:before="0" w:after="0"/>
      </w:pPr>
      <w:r>
        <w:separator/>
      </w:r>
    </w:p>
  </w:endnote>
  <w:endnote w:type="continuationSeparator" w:id="0">
    <w:p w14:paraId="5A2FDDAD" w14:textId="77777777" w:rsidR="00EC3A54" w:rsidRDefault="00EC3A54" w:rsidP="00604861">
      <w:pPr>
        <w:spacing w:before="0" w:after="0"/>
      </w:pPr>
      <w:r>
        <w:continuationSeparator/>
      </w:r>
    </w:p>
  </w:endnote>
  <w:endnote w:type="continuationNotice" w:id="1">
    <w:p w14:paraId="44446EC1" w14:textId="77777777" w:rsidR="00EC3A54" w:rsidRDefault="00EC3A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EUAlbertina">
    <w:altName w:val="Cambria"/>
    <w:charset w:val="00"/>
    <w:family w:val="auto"/>
    <w:pitch w:val="variable"/>
    <w:sig w:usb0="800002EF" w:usb1="1000E0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DC2D" w14:textId="77777777" w:rsidR="00F93B7D" w:rsidRPr="00F93B7D" w:rsidRDefault="00F93B7D" w:rsidP="00F93B7D">
    <w:pPr>
      <w:pStyle w:val="Stopka"/>
      <w:rPr>
        <w:rFonts w:ascii="Arial" w:hAnsi="Arial" w:cs="Arial"/>
        <w:b/>
        <w:sz w:val="48"/>
      </w:rPr>
    </w:pPr>
    <w:r w:rsidRPr="00F93B7D">
      <w:rPr>
        <w:rFonts w:ascii="Arial" w:hAnsi="Arial" w:cs="Arial"/>
        <w:b/>
        <w:sz w:val="48"/>
      </w:rPr>
      <w:t>PL</w:t>
    </w:r>
    <w:r w:rsidRPr="00F93B7D">
      <w:rPr>
        <w:rFonts w:ascii="Arial" w:hAnsi="Arial" w:cs="Arial"/>
        <w:b/>
        <w:sz w:val="48"/>
      </w:rPr>
      <w:tab/>
    </w:r>
    <w:r w:rsidRPr="00F93B7D">
      <w:rPr>
        <w:rFonts w:ascii="Arial" w:hAnsi="Arial" w:cs="Arial"/>
        <w:b/>
        <w:sz w:val="48"/>
      </w:rPr>
      <w:tab/>
    </w:r>
    <w:r w:rsidRPr="00F93B7D">
      <w:tab/>
    </w:r>
    <w:r w:rsidRPr="00F93B7D">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3656" w14:textId="77777777" w:rsidR="00F93B7D" w:rsidRPr="00F93B7D" w:rsidRDefault="00F93B7D" w:rsidP="00F93B7D">
    <w:pPr>
      <w:pStyle w:val="Stopka"/>
      <w:rPr>
        <w:rFonts w:ascii="Arial" w:hAnsi="Arial" w:cs="Arial"/>
        <w:b/>
        <w:sz w:val="48"/>
      </w:rPr>
    </w:pPr>
    <w:r w:rsidRPr="00F93B7D">
      <w:rPr>
        <w:rFonts w:ascii="Arial" w:hAnsi="Arial" w:cs="Arial"/>
        <w:b/>
        <w:sz w:val="48"/>
      </w:rPr>
      <w:t>PL</w:t>
    </w:r>
    <w:r w:rsidRPr="00F93B7D">
      <w:rPr>
        <w:rFonts w:ascii="Arial" w:hAnsi="Arial" w:cs="Arial"/>
        <w:b/>
        <w:sz w:val="48"/>
      </w:rPr>
      <w:tab/>
    </w:r>
    <w:r w:rsidRPr="00F93B7D">
      <w:rPr>
        <w:rFonts w:ascii="Arial" w:hAnsi="Arial" w:cs="Arial"/>
        <w:b/>
        <w:sz w:val="48"/>
      </w:rPr>
      <w:tab/>
    </w:r>
    <w:r w:rsidRPr="00F93B7D">
      <w:tab/>
    </w:r>
    <w:r w:rsidRPr="00F93B7D">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26E1" w14:textId="77777777" w:rsidR="00F93B7D" w:rsidRDefault="00F93B7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E2E3" w14:textId="77777777" w:rsidR="00F93B7D" w:rsidRPr="00F93B7D" w:rsidRDefault="00F93B7D" w:rsidP="00F93B7D">
    <w:pPr>
      <w:pStyle w:val="Stopka"/>
      <w:rPr>
        <w:rFonts w:ascii="Arial" w:hAnsi="Arial" w:cs="Arial"/>
        <w:b/>
        <w:sz w:val="48"/>
      </w:rPr>
    </w:pPr>
    <w:r w:rsidRPr="00F93B7D">
      <w:rPr>
        <w:rFonts w:ascii="Arial" w:hAnsi="Arial" w:cs="Arial"/>
        <w:b/>
        <w:sz w:val="48"/>
      </w:rPr>
      <w:t>PL</w:t>
    </w:r>
    <w:r w:rsidRPr="00F93B7D">
      <w:rPr>
        <w:rFonts w:ascii="Arial" w:hAnsi="Arial" w:cs="Arial"/>
        <w:b/>
        <w:sz w:val="48"/>
      </w:rPr>
      <w:tab/>
    </w:r>
    <w:r>
      <w:fldChar w:fldCharType="begin"/>
    </w:r>
    <w:r>
      <w:instrText xml:space="preserve"> PAGE  \* MERGEFORMAT </w:instrText>
    </w:r>
    <w:r>
      <w:fldChar w:fldCharType="separate"/>
    </w:r>
    <w:r w:rsidR="00BD7AEF">
      <w:rPr>
        <w:noProof/>
      </w:rPr>
      <w:t>9</w:t>
    </w:r>
    <w:r>
      <w:fldChar w:fldCharType="end"/>
    </w:r>
    <w:r>
      <w:tab/>
    </w:r>
    <w:r w:rsidRPr="00F93B7D">
      <w:tab/>
    </w:r>
    <w:r w:rsidRPr="00F93B7D">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E631" w14:textId="77777777" w:rsidR="00F93B7D" w:rsidRDefault="00F93B7D" w:rsidP="00F93B7D">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C3F1" w14:textId="77777777" w:rsidR="00F93B7D" w:rsidRPr="00F93B7D" w:rsidRDefault="00F93B7D" w:rsidP="00F93B7D">
    <w:pPr>
      <w:pStyle w:val="FooterLandscape"/>
      <w:rPr>
        <w:rFonts w:ascii="Arial" w:hAnsi="Arial" w:cs="Arial"/>
        <w:b/>
        <w:sz w:val="48"/>
      </w:rPr>
    </w:pPr>
    <w:r w:rsidRPr="00F93B7D">
      <w:rPr>
        <w:rFonts w:ascii="Arial" w:hAnsi="Arial" w:cs="Arial"/>
        <w:b/>
        <w:sz w:val="48"/>
      </w:rPr>
      <w:t>PL</w:t>
    </w:r>
    <w:r w:rsidRPr="00F93B7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93B7D">
      <w:tab/>
    </w:r>
    <w:r w:rsidRPr="00F93B7D">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4804" w14:textId="77777777" w:rsidR="00F93B7D" w:rsidRPr="00F93B7D" w:rsidRDefault="00F93B7D" w:rsidP="00F93B7D">
    <w:pPr>
      <w:pStyle w:val="Stopka"/>
      <w:rPr>
        <w:rFonts w:ascii="Arial" w:hAnsi="Arial" w:cs="Arial"/>
        <w:b/>
        <w:sz w:val="48"/>
      </w:rPr>
    </w:pPr>
    <w:r w:rsidRPr="00F93B7D">
      <w:rPr>
        <w:rFonts w:ascii="Arial" w:hAnsi="Arial" w:cs="Arial"/>
        <w:b/>
        <w:sz w:val="48"/>
      </w:rPr>
      <w:t>PL</w:t>
    </w:r>
    <w:r w:rsidRPr="00F93B7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93B7D">
      <w:tab/>
    </w:r>
    <w:r w:rsidRPr="00F93B7D">
      <w:rPr>
        <w:rFonts w:ascii="Arial" w:hAnsi="Arial" w:cs="Arial"/>
        <w:b/>
        <w:sz w:val="48"/>
      </w:rPr>
      <w:t>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D273" w14:textId="77777777" w:rsidR="00EC3A54" w:rsidRDefault="00EC3A54" w:rsidP="00604861">
      <w:pPr>
        <w:spacing w:before="0" w:after="0"/>
      </w:pPr>
      <w:r>
        <w:separator/>
      </w:r>
    </w:p>
  </w:footnote>
  <w:footnote w:type="continuationSeparator" w:id="0">
    <w:p w14:paraId="33457851" w14:textId="77777777" w:rsidR="00EC3A54" w:rsidRDefault="00EC3A54" w:rsidP="00604861">
      <w:pPr>
        <w:spacing w:before="0" w:after="0"/>
      </w:pPr>
      <w:r>
        <w:continuationSeparator/>
      </w:r>
    </w:p>
  </w:footnote>
  <w:footnote w:type="continuationNotice" w:id="1">
    <w:p w14:paraId="3BE4C2FD" w14:textId="77777777" w:rsidR="00EC3A54" w:rsidRDefault="00EC3A54">
      <w:pPr>
        <w:spacing w:before="0" w:after="0"/>
      </w:pPr>
    </w:p>
  </w:footnote>
  <w:footnote w:id="2">
    <w:p w14:paraId="0A7DC758" w14:textId="77777777" w:rsidR="00CC2091" w:rsidRPr="006C3201" w:rsidRDefault="00CC2091">
      <w:pPr>
        <w:pStyle w:val="Tekstprzypisudolnego"/>
      </w:pPr>
      <w:r>
        <w:rPr>
          <w:rStyle w:val="Odwoanieprzypisudolnego"/>
        </w:rPr>
        <w:footnoteRef/>
      </w:r>
      <w:r w:rsidRPr="006C3201">
        <w:tab/>
        <w:t>Dz.U. L 130</w:t>
      </w:r>
      <w:r w:rsidR="00110A93" w:rsidRPr="006C3201">
        <w:t xml:space="preserve"> z</w:t>
      </w:r>
      <w:r w:rsidR="00110A93">
        <w:t> </w:t>
      </w:r>
      <w:r w:rsidR="00110A93" w:rsidRPr="006C3201">
        <w:t>1</w:t>
      </w:r>
      <w:r w:rsidRPr="006C3201">
        <w:t>6.5.2023, s. 134.</w:t>
      </w:r>
    </w:p>
  </w:footnote>
  <w:footnote w:id="3">
    <w:p w14:paraId="16553411" w14:textId="77777777" w:rsidR="00EA30FC" w:rsidRPr="006C3201" w:rsidRDefault="00EA30FC" w:rsidP="00EA30FC">
      <w:pPr>
        <w:pStyle w:val="Tekstprzypisudolnego"/>
      </w:pPr>
      <w:r>
        <w:rPr>
          <w:rStyle w:val="Odwoanieprzypisudolnego"/>
        </w:rPr>
        <w:footnoteRef/>
      </w:r>
      <w:r w:rsidRPr="006C3201">
        <w:tab/>
        <w:t>Dz.U. C 326</w:t>
      </w:r>
      <w:r w:rsidR="00110A93" w:rsidRPr="006C3201">
        <w:t xml:space="preserve"> z</w:t>
      </w:r>
      <w:r w:rsidR="00110A93">
        <w:t> </w:t>
      </w:r>
      <w:r w:rsidR="00110A93" w:rsidRPr="006C3201">
        <w:t>2</w:t>
      </w:r>
      <w:r w:rsidRPr="006C3201">
        <w:t>6.10.2012, s. 391.</w:t>
      </w:r>
    </w:p>
  </w:footnote>
  <w:footnote w:id="4">
    <w:p w14:paraId="5DBB3363" w14:textId="77777777" w:rsidR="00604861" w:rsidRPr="006C3201" w:rsidRDefault="00604861">
      <w:pPr>
        <w:pStyle w:val="Tekstprzypisudolnego"/>
      </w:pPr>
      <w:r>
        <w:rPr>
          <w:rStyle w:val="Odwoanieprzypisudolnego"/>
        </w:rPr>
        <w:footnoteRef/>
      </w:r>
      <w:r w:rsidRPr="006C3201">
        <w:tab/>
        <w:t>Dz.U. C  z , s. .</w:t>
      </w:r>
    </w:p>
  </w:footnote>
  <w:footnote w:id="5">
    <w:p w14:paraId="71AF342E" w14:textId="77777777" w:rsidR="00604861" w:rsidRPr="006C3201" w:rsidRDefault="00604861">
      <w:pPr>
        <w:pStyle w:val="Tekstprzypisudolnego"/>
      </w:pPr>
      <w:r>
        <w:rPr>
          <w:rStyle w:val="Odwoanieprzypisudolnego"/>
        </w:rPr>
        <w:footnoteRef/>
      </w:r>
      <w:r w:rsidRPr="006C3201">
        <w:tab/>
        <w:t>Dz.U. C  z , s. .</w:t>
      </w:r>
    </w:p>
  </w:footnote>
  <w:footnote w:id="6">
    <w:p w14:paraId="6971B308" w14:textId="77777777" w:rsidR="00E911DB" w:rsidRPr="006C3201" w:rsidRDefault="00E911DB">
      <w:pPr>
        <w:pStyle w:val="Tekstprzypisudolnego"/>
      </w:pPr>
      <w:r>
        <w:rPr>
          <w:rStyle w:val="Odwoanieprzypisudolnego"/>
        </w:rPr>
        <w:footnoteRef/>
      </w:r>
      <w:r w:rsidRPr="006C3201">
        <w:tab/>
        <w:t>Decyzja Parlamentu Europejskiego</w:t>
      </w:r>
      <w:r w:rsidR="00110A93" w:rsidRPr="006C3201">
        <w:t xml:space="preserve"> i</w:t>
      </w:r>
      <w:r w:rsidR="00110A93">
        <w:t> </w:t>
      </w:r>
      <w:r w:rsidR="00110A93" w:rsidRPr="006C3201">
        <w:t>Rad</w:t>
      </w:r>
      <w:r w:rsidRPr="006C3201">
        <w:t>y (UE) 2015/1814</w:t>
      </w:r>
      <w:r w:rsidR="00110A93" w:rsidRPr="006C3201">
        <w:t xml:space="preserve"> z</w:t>
      </w:r>
      <w:r w:rsidR="00110A93">
        <w:t> </w:t>
      </w:r>
      <w:r w:rsidR="00110A93" w:rsidRPr="006C3201">
        <w:t>dni</w:t>
      </w:r>
      <w:r w:rsidRPr="006C3201">
        <w:t>a 6 października 2015 r.</w:t>
      </w:r>
      <w:r w:rsidR="00110A93" w:rsidRPr="006C3201">
        <w:t xml:space="preserve"> w</w:t>
      </w:r>
      <w:r w:rsidR="00110A93">
        <w:t> </w:t>
      </w:r>
      <w:r w:rsidR="00110A93" w:rsidRPr="006C3201">
        <w:t>spr</w:t>
      </w:r>
      <w:r w:rsidRPr="006C3201">
        <w:t>awie ustanowienia</w:t>
      </w:r>
      <w:r w:rsidR="00110A93" w:rsidRPr="006C3201">
        <w:t xml:space="preserve"> i</w:t>
      </w:r>
      <w:r w:rsidR="00110A93">
        <w:t> </w:t>
      </w:r>
      <w:r w:rsidR="00110A93" w:rsidRPr="006C3201">
        <w:t>fun</w:t>
      </w:r>
      <w:r w:rsidRPr="006C3201">
        <w:t>kcjonowania rezerwy stabilności rynkowej dla unijnego systemu handlu uprawnieniami do emisji gazów cieplarnianych</w:t>
      </w:r>
      <w:r w:rsidR="00110A93" w:rsidRPr="006C3201">
        <w:t xml:space="preserve"> i</w:t>
      </w:r>
      <w:r w:rsidR="00110A93">
        <w:t> </w:t>
      </w:r>
      <w:r w:rsidR="00110A93" w:rsidRPr="006C3201">
        <w:t>zmi</w:t>
      </w:r>
      <w:r w:rsidRPr="006C3201">
        <w:t>any dyrektywy 2003/87/WE (Dz.U. L 264</w:t>
      </w:r>
      <w:r w:rsidR="00110A93" w:rsidRPr="006C3201">
        <w:t xml:space="preserve"> z</w:t>
      </w:r>
      <w:r w:rsidR="00110A93">
        <w:t> </w:t>
      </w:r>
      <w:r w:rsidR="00110A93" w:rsidRPr="006C3201">
        <w:t>9</w:t>
      </w:r>
      <w:r w:rsidRPr="006C3201">
        <w:t xml:space="preserve">.10.2015, s. 1, ELI: </w:t>
      </w:r>
      <w:hyperlink r:id="rId1" w:tooltip="Dostęp do dokumentu poprzez identyfikator URI w systemie ELI." w:history="1">
        <w:r w:rsidRPr="006C3201">
          <w:rPr>
            <w:rStyle w:val="Hipercze"/>
          </w:rPr>
          <w:t>http://data.europa.eu/eli/dec/2015/1814/oj</w:t>
        </w:r>
      </w:hyperlink>
      <w:r w:rsidRPr="006C3201">
        <w:t>).</w:t>
      </w:r>
    </w:p>
  </w:footnote>
  <w:footnote w:id="7">
    <w:p w14:paraId="49EE3084" w14:textId="77777777" w:rsidR="00D048D1" w:rsidRPr="006C3201" w:rsidRDefault="00D048D1" w:rsidP="00D048D1">
      <w:pPr>
        <w:pStyle w:val="Tekstprzypisudolnego"/>
      </w:pPr>
      <w:r>
        <w:rPr>
          <w:rStyle w:val="Odwoanieprzypisudolnego"/>
        </w:rPr>
        <w:footnoteRef/>
      </w:r>
      <w:r w:rsidRPr="006C3201">
        <w:tab/>
        <w:t>O którym mowa</w:t>
      </w:r>
      <w:r w:rsidR="00110A93" w:rsidRPr="006C3201">
        <w:t xml:space="preserve"> w</w:t>
      </w:r>
      <w:r w:rsidR="00110A93">
        <w:t> </w:t>
      </w:r>
      <w:r w:rsidR="00110A93" w:rsidRPr="00110A93">
        <w:t>art</w:t>
      </w:r>
      <w:r w:rsidRPr="00110A93">
        <w:t>.</w:t>
      </w:r>
      <w:r w:rsidR="00110A93" w:rsidRPr="00110A93">
        <w:t> </w:t>
      </w:r>
      <w:r w:rsidRPr="00110A93">
        <w:t>5</w:t>
      </w:r>
      <w:r w:rsidRPr="006C3201">
        <w:t xml:space="preserve">8 </w:t>
      </w:r>
      <w:r w:rsidRPr="00110A93">
        <w:t>ust.</w:t>
      </w:r>
      <w:r w:rsidR="00110A93" w:rsidRPr="00110A93">
        <w:t> </w:t>
      </w:r>
      <w:r w:rsidRPr="00110A93">
        <w:t>2</w:t>
      </w:r>
      <w:r w:rsidRPr="006C3201">
        <w:t xml:space="preserve"> </w:t>
      </w:r>
      <w:r w:rsidRPr="00110A93">
        <w:t>lit.</w:t>
      </w:r>
      <w:r w:rsidR="00110A93" w:rsidRPr="00110A93">
        <w:t> </w:t>
      </w:r>
      <w:r w:rsidRPr="00110A93">
        <w:t>a)</w:t>
      </w:r>
      <w:r w:rsidRPr="006C3201">
        <w:t xml:space="preserve"> lub b) rozporządzenia finansowego.</w:t>
      </w:r>
    </w:p>
  </w:footnote>
  <w:footnote w:id="8">
    <w:p w14:paraId="51C82666" w14:textId="77777777" w:rsidR="00D048D1" w:rsidRPr="006C3201" w:rsidRDefault="00D048D1" w:rsidP="00D048D1">
      <w:pPr>
        <w:pStyle w:val="Tekstprzypisudolnego"/>
        <w:rPr>
          <w:szCs w:val="24"/>
        </w:rPr>
      </w:pPr>
      <w:r>
        <w:rPr>
          <w:rStyle w:val="Odwoanieprzypisudolnego"/>
        </w:rPr>
        <w:footnoteRef/>
      </w:r>
      <w:r w:rsidRPr="006C3201">
        <w:tab/>
        <w:t>Środki zróżnicowane/środki niezróżnicowane.</w:t>
      </w:r>
    </w:p>
  </w:footnote>
  <w:footnote w:id="9">
    <w:p w14:paraId="0675E6DB" w14:textId="77777777" w:rsidR="00D048D1" w:rsidRPr="006C3201" w:rsidRDefault="00D048D1" w:rsidP="00D048D1">
      <w:pPr>
        <w:pStyle w:val="Tekstprzypisudolnego"/>
        <w:rPr>
          <w:szCs w:val="24"/>
        </w:rPr>
      </w:pPr>
      <w:r>
        <w:rPr>
          <w:rStyle w:val="Odwoanieprzypisudolnego"/>
        </w:rPr>
        <w:footnoteRef/>
      </w:r>
      <w:r w:rsidRPr="006C3201">
        <w:tab/>
        <w:t xml:space="preserve">EFTA: Europejskie Stowarzyszenie Wolnego Handlu. </w:t>
      </w:r>
    </w:p>
  </w:footnote>
  <w:footnote w:id="10">
    <w:p w14:paraId="74262431" w14:textId="77777777" w:rsidR="00D048D1" w:rsidRPr="006C3201" w:rsidRDefault="00D048D1" w:rsidP="00D048D1">
      <w:pPr>
        <w:pStyle w:val="Tekstprzypisudolnego"/>
        <w:rPr>
          <w:szCs w:val="24"/>
        </w:rPr>
      </w:pPr>
      <w:r>
        <w:rPr>
          <w:rStyle w:val="Odwoanieprzypisudolnego"/>
        </w:rPr>
        <w:footnoteRef/>
      </w:r>
      <w:r w:rsidRPr="006C3201">
        <w:tab/>
        <w:t>Kraje kandydujące oraz,</w:t>
      </w:r>
      <w:r w:rsidR="00110A93" w:rsidRPr="006C3201">
        <w:t xml:space="preserve"> w</w:t>
      </w:r>
      <w:r w:rsidR="00110A93">
        <w:t> </w:t>
      </w:r>
      <w:r w:rsidR="00110A93" w:rsidRPr="006C3201">
        <w:t>sto</w:t>
      </w:r>
      <w:r w:rsidRPr="006C3201">
        <w:t>sownych przypadkach, potencjalni kandydaci</w:t>
      </w:r>
      <w:r w:rsidR="00110A93" w:rsidRPr="006C3201">
        <w:t xml:space="preserve"> z</w:t>
      </w:r>
      <w:r w:rsidR="00110A93">
        <w:t> </w:t>
      </w:r>
      <w:r w:rsidR="00110A93" w:rsidRPr="006C3201">
        <w:t>Bał</w:t>
      </w:r>
      <w:r w:rsidRPr="006C3201">
        <w:t>kanów Zachodnich.</w:t>
      </w:r>
    </w:p>
  </w:footnote>
  <w:footnote w:id="11">
    <w:p w14:paraId="76475453" w14:textId="77777777" w:rsidR="00D048D1" w:rsidRPr="006C3201" w:rsidRDefault="00D048D1" w:rsidP="00D048D1">
      <w:pPr>
        <w:pStyle w:val="Tekstprzypisudolnego"/>
        <w:rPr>
          <w:szCs w:val="24"/>
        </w:rPr>
      </w:pPr>
      <w:r>
        <w:rPr>
          <w:rStyle w:val="Odwoanieprzypisudolnego"/>
        </w:rPr>
        <w:footnoteRef/>
      </w:r>
      <w:r w:rsidRPr="006C3201">
        <w:tab/>
        <w:t>Produkty odnoszą się do produktów</w:t>
      </w:r>
      <w:r w:rsidR="00110A93" w:rsidRPr="006C3201">
        <w:t xml:space="preserve"> i</w:t>
      </w:r>
      <w:r w:rsidR="00110A93">
        <w:t> </w:t>
      </w:r>
      <w:r w:rsidR="00110A93" w:rsidRPr="006C3201">
        <w:t>usł</w:t>
      </w:r>
      <w:r w:rsidRPr="006C3201">
        <w:t>ug, które mają zostać zapewnione (np. liczba sfinansowanych wymian studentów, liczba kilometrów zbudowanych dróg itp.).</w:t>
      </w:r>
    </w:p>
  </w:footnote>
  <w:footnote w:id="12">
    <w:p w14:paraId="297ADCFB" w14:textId="77777777" w:rsidR="00D048D1" w:rsidRPr="006C3201" w:rsidRDefault="00D048D1" w:rsidP="00D048D1">
      <w:pPr>
        <w:pStyle w:val="Tekstprzypisudolnego"/>
        <w:rPr>
          <w:szCs w:val="24"/>
        </w:rPr>
      </w:pPr>
      <w:r>
        <w:rPr>
          <w:rStyle w:val="Odwoanieprzypisudolnego"/>
        </w:rPr>
        <w:footnoteRef/>
      </w:r>
      <w:r w:rsidRPr="006C3201">
        <w:tab/>
        <w:t>Zgodnie</w:t>
      </w:r>
      <w:r w:rsidR="00110A93" w:rsidRPr="006C3201">
        <w:t xml:space="preserve"> z</w:t>
      </w:r>
      <w:r w:rsidR="00110A93">
        <w:t> </w:t>
      </w:r>
      <w:r w:rsidR="00110A93" w:rsidRPr="006C3201">
        <w:t>opi</w:t>
      </w:r>
      <w:r w:rsidRPr="006C3201">
        <w:t>sem</w:t>
      </w:r>
      <w:r w:rsidR="00110A93" w:rsidRPr="006C3201">
        <w:t xml:space="preserve"> w</w:t>
      </w:r>
      <w:r w:rsidR="00110A93">
        <w:t> </w:t>
      </w:r>
      <w:r w:rsidR="00110A93" w:rsidRPr="006C3201">
        <w:t>sek</w:t>
      </w:r>
      <w:r w:rsidRPr="006C3201">
        <w:t xml:space="preserve">cji 1.3.2. „Cel(e) szczegółowy(-e)”. </w:t>
      </w:r>
    </w:p>
  </w:footnote>
  <w:footnote w:id="13">
    <w:p w14:paraId="697C4127" w14:textId="77777777" w:rsidR="00D048D1" w:rsidRPr="006C3201" w:rsidRDefault="00D048D1" w:rsidP="00D048D1">
      <w:pPr>
        <w:pStyle w:val="Tekstprzypisudolnego"/>
        <w:rPr>
          <w:szCs w:val="24"/>
        </w:rPr>
      </w:pPr>
      <w:r>
        <w:rPr>
          <w:rStyle w:val="Odwoanieprzypisudolnego"/>
        </w:rPr>
        <w:footnoteRef/>
      </w:r>
      <w:r w:rsidRPr="006C3201">
        <w:tab/>
        <w:t>W przypadku tradycyjnych zasobów własnych (opłaty celne, opłaty wyrównawcze od cukru) należy wskazać kwoty netto, tzn. kwoty brutto po odliczeniu 20 % na poczet kosztów poboru.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31C1" w14:textId="77777777" w:rsidR="00F93B7D" w:rsidRDefault="00F93B7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2AF7" w14:textId="77777777" w:rsidR="00F93B7D" w:rsidRDefault="00F93B7D" w:rsidP="00F93B7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81C8" w14:textId="77777777" w:rsidR="00F93B7D" w:rsidRPr="00F93B7D" w:rsidRDefault="00F93B7D" w:rsidP="00F93B7D">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E128" w14:textId="77777777" w:rsidR="00F93B7D" w:rsidRPr="00F93B7D" w:rsidRDefault="00F93B7D" w:rsidP="00F93B7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anumerowan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apunktowana"/>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decimal"/>
      <w:pStyle w:val="Nagwek5"/>
      <w:lvlText w:val="%1.%2.%3.%4.%5."/>
      <w:lvlJc w:val="left"/>
      <w:pPr>
        <w:tabs>
          <w:tab w:val="num" w:pos="1417"/>
        </w:tabs>
        <w:ind w:left="1417" w:hanging="1417"/>
      </w:pPr>
    </w:lvl>
    <w:lvl w:ilvl="5">
      <w:start w:val="1"/>
      <w:numFmt w:val="decimal"/>
      <w:pStyle w:val="Nagwek6"/>
      <w:lvlText w:val="%1.%2.%3.%4.%5.%6."/>
      <w:lvlJc w:val="left"/>
      <w:pPr>
        <w:tabs>
          <w:tab w:val="num" w:pos="1417"/>
        </w:tabs>
        <w:ind w:left="1417" w:hanging="1417"/>
      </w:pPr>
    </w:lvl>
    <w:lvl w:ilvl="6">
      <w:start w:val="1"/>
      <w:numFmt w:val="decimal"/>
      <w:pStyle w:val="Nagwek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apunktowana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apunktowana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43059484">
    <w:abstractNumId w:val="0"/>
  </w:num>
  <w:num w:numId="2" w16cid:durableId="671639298">
    <w:abstractNumId w:val="20"/>
  </w:num>
  <w:num w:numId="3" w16cid:durableId="1082145354">
    <w:abstractNumId w:val="8"/>
  </w:num>
  <w:num w:numId="4" w16cid:durableId="1435396380">
    <w:abstractNumId w:val="17"/>
  </w:num>
  <w:num w:numId="5" w16cid:durableId="2021469288">
    <w:abstractNumId w:val="16"/>
  </w:num>
  <w:num w:numId="6" w16cid:durableId="150567604">
    <w:abstractNumId w:val="27"/>
  </w:num>
  <w:num w:numId="7" w16cid:durableId="1600485476">
    <w:abstractNumId w:val="24"/>
  </w:num>
  <w:num w:numId="8" w16cid:durableId="1517311066">
    <w:abstractNumId w:val="28"/>
  </w:num>
  <w:num w:numId="9" w16cid:durableId="1297491570">
    <w:abstractNumId w:val="29"/>
  </w:num>
  <w:num w:numId="10" w16cid:durableId="1868909475">
    <w:abstractNumId w:val="1"/>
  </w:num>
  <w:num w:numId="11" w16cid:durableId="76951771">
    <w:abstractNumId w:val="10"/>
  </w:num>
  <w:num w:numId="12" w16cid:durableId="1530534621">
    <w:abstractNumId w:val="2"/>
  </w:num>
  <w:num w:numId="13" w16cid:durableId="1432117940">
    <w:abstractNumId w:val="11"/>
  </w:num>
  <w:num w:numId="14" w16cid:durableId="1119714592">
    <w:abstractNumId w:val="9"/>
  </w:num>
  <w:num w:numId="15" w16cid:durableId="622924464">
    <w:abstractNumId w:val="18"/>
  </w:num>
  <w:num w:numId="16" w16cid:durableId="1446585036">
    <w:abstractNumId w:val="7"/>
  </w:num>
  <w:num w:numId="17" w16cid:durableId="890113646">
    <w:abstractNumId w:val="15"/>
    <w:lvlOverride w:ilvl="0">
      <w:startOverride w:val="1"/>
    </w:lvlOverride>
  </w:num>
  <w:num w:numId="18" w16cid:durableId="1854226446">
    <w:abstractNumId w:val="30"/>
    <w:lvlOverride w:ilvl="0">
      <w:startOverride w:val="1"/>
    </w:lvlOverride>
  </w:num>
  <w:num w:numId="19" w16cid:durableId="956524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5843298">
    <w:abstractNumId w:val="23"/>
  </w:num>
  <w:num w:numId="21" w16cid:durableId="887569992">
    <w:abstractNumId w:val="12"/>
  </w:num>
  <w:num w:numId="22" w16cid:durableId="1228761388">
    <w:abstractNumId w:val="26"/>
  </w:num>
  <w:num w:numId="23" w16cid:durableId="1945648715">
    <w:abstractNumId w:val="6"/>
  </w:num>
  <w:num w:numId="24" w16cid:durableId="1322007283">
    <w:abstractNumId w:val="13"/>
  </w:num>
  <w:num w:numId="25" w16cid:durableId="954555250">
    <w:abstractNumId w:val="14"/>
  </w:num>
  <w:num w:numId="26" w16cid:durableId="463234031">
    <w:abstractNumId w:val="4"/>
  </w:num>
  <w:num w:numId="27" w16cid:durableId="1503818179">
    <w:abstractNumId w:val="25"/>
  </w:num>
  <w:num w:numId="28" w16cid:durableId="1388258002">
    <w:abstractNumId w:val="3"/>
  </w:num>
  <w:num w:numId="29" w16cid:durableId="1135295674">
    <w:abstractNumId w:val="15"/>
  </w:num>
  <w:num w:numId="30" w16cid:durableId="1821114864">
    <w:abstractNumId w:val="21"/>
  </w:num>
  <w:num w:numId="31" w16cid:durableId="949703779">
    <w:abstractNumId w:val="22"/>
  </w:num>
  <w:num w:numId="32" w16cid:durableId="2129424236">
    <w:abstractNumId w:val="5"/>
  </w:num>
  <w:num w:numId="33" w16cid:durableId="1505510968">
    <w:abstractNumId w:val="19"/>
  </w:num>
  <w:num w:numId="34" w16cid:durableId="1023938825">
    <w:abstractNumId w:val="30"/>
  </w:num>
  <w:num w:numId="35" w16cid:durableId="1280792936">
    <w:abstractNumId w:val="23"/>
  </w:num>
  <w:num w:numId="36" w16cid:durableId="622539893">
    <w:abstractNumId w:val="12"/>
  </w:num>
  <w:num w:numId="37" w16cid:durableId="1478033572">
    <w:abstractNumId w:val="26"/>
  </w:num>
  <w:num w:numId="38" w16cid:durableId="1869755418">
    <w:abstractNumId w:val="6"/>
  </w:num>
  <w:num w:numId="39" w16cid:durableId="1482120010">
    <w:abstractNumId w:val="13"/>
  </w:num>
  <w:num w:numId="40" w16cid:durableId="345376076">
    <w:abstractNumId w:val="14"/>
  </w:num>
  <w:num w:numId="41" w16cid:durableId="1518815027">
    <w:abstractNumId w:val="4"/>
  </w:num>
  <w:num w:numId="42" w16cid:durableId="1879859028">
    <w:abstractNumId w:val="25"/>
  </w:num>
  <w:num w:numId="43" w16cid:durableId="528491397">
    <w:abstractNumId w:val="3"/>
  </w:num>
  <w:num w:numId="44" w16cid:durableId="1219854135">
    <w:abstractNumId w:val="15"/>
  </w:num>
  <w:num w:numId="45" w16cid:durableId="2058430472">
    <w:abstractNumId w:val="21"/>
  </w:num>
  <w:num w:numId="46" w16cid:durableId="308680002">
    <w:abstractNumId w:val="22"/>
  </w:num>
  <w:num w:numId="47" w16cid:durableId="594436359">
    <w:abstractNumId w:val="5"/>
  </w:num>
  <w:num w:numId="48" w16cid:durableId="1314946786">
    <w:abstractNumId w:val="19"/>
  </w:num>
  <w:num w:numId="49" w16cid:durableId="95104773">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11-25 08:43:2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547DE40-624B-442B-8209-1436401776A7"/>
    <w:docVar w:name="LW_COVERPAGE_TYPE" w:val="1"/>
    <w:docVar w:name="LW_CreatedUtc" w:val="2025-10-15T09:49:11.4661525Z"/>
    <w:docVar w:name="LW_CROSSREFERENCE" w:val="&lt;UNUSED&gt;"/>
    <w:docVar w:name="LW_DocType" w:val="COM"/>
    <w:docVar w:name="LW_EMISSION" w:val="27.11.2025"/>
    <w:docVar w:name="LW_EMISSION_ISODATE" w:val="2025-11-27"/>
    <w:docVar w:name="LW_EMISSION_LOCATION" w:val="BRX"/>
    <w:docVar w:name="LW_EMISSION_PREFIX" w:val="Bruksela, dnia "/>
    <w:docVar w:name="LW_EMISSION_SUFFIX" w:val=" r."/>
    <w:docVar w:name="LW_ID_DOCMODEL" w:val="SJ-026"/>
    <w:docVar w:name="LW_ID_DOCSIGNATURE" w:val="SJ-026"/>
    <w:docVar w:name="LW_ID_DOCSTRUCTURE" w:val="COM/PL/ORG"/>
    <w:docVar w:name="LW_ID_DOCTYPE" w:val="SJ-026"/>
    <w:docVar w:name="LW_ID_STATUT" w:val="SJ-026"/>
    <w:docVar w:name="LW_INSERT_EXP.MOTIFS.NEW" w:val="1"/>
    <w:docVar w:name="LW_INTERETEEE.CP" w:val="(Tekst maj\u261?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380"/>
    <w:docVar w:name="LW_REF.II.NEW.CP_YEAR" w:val="2025"/>
    <w:docVar w:name="LW_REF.INST.NEW" w:val="COM"/>
    <w:docVar w:name="LW_REF.INST.NEW_ADOPTED" w:val="final"/>
    <w:docVar w:name="LW_REF.INST.NEW_TEXT" w:val="(2025) 73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u261?ca decyzj\u281? (UE) 2015/1814 w odniesieniu do rezerwy stabilno\u347?ci rynkowej dla sektora budowlanego, sektora transportu drogowego i sektorów dodatkowych"/>
    <w:docVar w:name="LW_TYPE.DOC.CP" w:val="DECYZJA PARLAMENTU EUROPEJSKIEGO I RADY"/>
    <w:docVar w:name="LwApiVersions" w:val="LW4CoDe 1.24.5.0; LW 9.0, Build 20240221"/>
  </w:docVars>
  <w:rsids>
    <w:rsidRoot w:val="00604861"/>
    <w:rsid w:val="000023F1"/>
    <w:rsid w:val="0001313D"/>
    <w:rsid w:val="0001394D"/>
    <w:rsid w:val="00014954"/>
    <w:rsid w:val="000163AE"/>
    <w:rsid w:val="00016E21"/>
    <w:rsid w:val="00020965"/>
    <w:rsid w:val="000214BD"/>
    <w:rsid w:val="000221DA"/>
    <w:rsid w:val="00023946"/>
    <w:rsid w:val="00025BFC"/>
    <w:rsid w:val="000274F7"/>
    <w:rsid w:val="00027F91"/>
    <w:rsid w:val="000323B3"/>
    <w:rsid w:val="00032496"/>
    <w:rsid w:val="00033DC1"/>
    <w:rsid w:val="00035BCB"/>
    <w:rsid w:val="00041037"/>
    <w:rsid w:val="0004204A"/>
    <w:rsid w:val="0004253A"/>
    <w:rsid w:val="0004450F"/>
    <w:rsid w:val="00044A13"/>
    <w:rsid w:val="000501F0"/>
    <w:rsid w:val="00051A50"/>
    <w:rsid w:val="00051C8F"/>
    <w:rsid w:val="00052778"/>
    <w:rsid w:val="0005369D"/>
    <w:rsid w:val="00054A06"/>
    <w:rsid w:val="000567BC"/>
    <w:rsid w:val="00057078"/>
    <w:rsid w:val="000632AE"/>
    <w:rsid w:val="00065106"/>
    <w:rsid w:val="00067C14"/>
    <w:rsid w:val="00070502"/>
    <w:rsid w:val="000707FC"/>
    <w:rsid w:val="00071246"/>
    <w:rsid w:val="00080D56"/>
    <w:rsid w:val="00082BFF"/>
    <w:rsid w:val="00084A01"/>
    <w:rsid w:val="00086CD3"/>
    <w:rsid w:val="000934C4"/>
    <w:rsid w:val="00095D93"/>
    <w:rsid w:val="00096517"/>
    <w:rsid w:val="000A16E4"/>
    <w:rsid w:val="000A5CF7"/>
    <w:rsid w:val="000A7985"/>
    <w:rsid w:val="000B3920"/>
    <w:rsid w:val="000B516B"/>
    <w:rsid w:val="000B6668"/>
    <w:rsid w:val="000C4F33"/>
    <w:rsid w:val="000C70F3"/>
    <w:rsid w:val="000D01E8"/>
    <w:rsid w:val="000D1FEC"/>
    <w:rsid w:val="000D350D"/>
    <w:rsid w:val="000D380E"/>
    <w:rsid w:val="000E3000"/>
    <w:rsid w:val="001003C2"/>
    <w:rsid w:val="001014BB"/>
    <w:rsid w:val="001044C5"/>
    <w:rsid w:val="001065F5"/>
    <w:rsid w:val="001101D8"/>
    <w:rsid w:val="00110A93"/>
    <w:rsid w:val="00111508"/>
    <w:rsid w:val="00112525"/>
    <w:rsid w:val="00113C5C"/>
    <w:rsid w:val="00113EC1"/>
    <w:rsid w:val="00115312"/>
    <w:rsid w:val="00115C7A"/>
    <w:rsid w:val="001228F1"/>
    <w:rsid w:val="001238EF"/>
    <w:rsid w:val="00124154"/>
    <w:rsid w:val="00124C60"/>
    <w:rsid w:val="001260EB"/>
    <w:rsid w:val="0012644C"/>
    <w:rsid w:val="0012741A"/>
    <w:rsid w:val="00133185"/>
    <w:rsid w:val="001370DD"/>
    <w:rsid w:val="001400B7"/>
    <w:rsid w:val="001428E8"/>
    <w:rsid w:val="00146358"/>
    <w:rsid w:val="001479B3"/>
    <w:rsid w:val="00152654"/>
    <w:rsid w:val="00152C95"/>
    <w:rsid w:val="0015693F"/>
    <w:rsid w:val="001637F2"/>
    <w:rsid w:val="00166837"/>
    <w:rsid w:val="00167018"/>
    <w:rsid w:val="00167C1F"/>
    <w:rsid w:val="0017065E"/>
    <w:rsid w:val="001707B0"/>
    <w:rsid w:val="00172AA9"/>
    <w:rsid w:val="00175294"/>
    <w:rsid w:val="00176ED2"/>
    <w:rsid w:val="00180476"/>
    <w:rsid w:val="00181396"/>
    <w:rsid w:val="00182173"/>
    <w:rsid w:val="0018269E"/>
    <w:rsid w:val="00183461"/>
    <w:rsid w:val="0018652D"/>
    <w:rsid w:val="001872ED"/>
    <w:rsid w:val="00190022"/>
    <w:rsid w:val="00193A07"/>
    <w:rsid w:val="00197613"/>
    <w:rsid w:val="001B21A5"/>
    <w:rsid w:val="001B2BC0"/>
    <w:rsid w:val="001B4932"/>
    <w:rsid w:val="001B6AB6"/>
    <w:rsid w:val="001C1510"/>
    <w:rsid w:val="001C35E0"/>
    <w:rsid w:val="001C5B86"/>
    <w:rsid w:val="001C657C"/>
    <w:rsid w:val="001C77C4"/>
    <w:rsid w:val="001C789B"/>
    <w:rsid w:val="001D670F"/>
    <w:rsid w:val="001E0F8F"/>
    <w:rsid w:val="001E1683"/>
    <w:rsid w:val="001E401E"/>
    <w:rsid w:val="001E5A0A"/>
    <w:rsid w:val="001E7CB9"/>
    <w:rsid w:val="001F35C7"/>
    <w:rsid w:val="001F7F01"/>
    <w:rsid w:val="0020002F"/>
    <w:rsid w:val="00207172"/>
    <w:rsid w:val="00212F19"/>
    <w:rsid w:val="00224505"/>
    <w:rsid w:val="00224D22"/>
    <w:rsid w:val="00224D51"/>
    <w:rsid w:val="0022570C"/>
    <w:rsid w:val="002265FD"/>
    <w:rsid w:val="00230E74"/>
    <w:rsid w:val="00231C2B"/>
    <w:rsid w:val="00233DC7"/>
    <w:rsid w:val="00236096"/>
    <w:rsid w:val="002407EC"/>
    <w:rsid w:val="00242491"/>
    <w:rsid w:val="002437D3"/>
    <w:rsid w:val="00247779"/>
    <w:rsid w:val="00251CF5"/>
    <w:rsid w:val="00252E81"/>
    <w:rsid w:val="0025419F"/>
    <w:rsid w:val="00256D79"/>
    <w:rsid w:val="002620B9"/>
    <w:rsid w:val="00262563"/>
    <w:rsid w:val="00262613"/>
    <w:rsid w:val="0026544A"/>
    <w:rsid w:val="00274176"/>
    <w:rsid w:val="002750BA"/>
    <w:rsid w:val="0028155E"/>
    <w:rsid w:val="0028246F"/>
    <w:rsid w:val="00283337"/>
    <w:rsid w:val="00285BEE"/>
    <w:rsid w:val="00286D4A"/>
    <w:rsid w:val="0029015D"/>
    <w:rsid w:val="00291B73"/>
    <w:rsid w:val="0029533F"/>
    <w:rsid w:val="00295AE2"/>
    <w:rsid w:val="002B30AF"/>
    <w:rsid w:val="002B58A4"/>
    <w:rsid w:val="002B6960"/>
    <w:rsid w:val="002C4D3C"/>
    <w:rsid w:val="002D2A74"/>
    <w:rsid w:val="002D2C7A"/>
    <w:rsid w:val="002D3C60"/>
    <w:rsid w:val="002D41AE"/>
    <w:rsid w:val="002D5C85"/>
    <w:rsid w:val="002E0518"/>
    <w:rsid w:val="002E05E2"/>
    <w:rsid w:val="002E0B88"/>
    <w:rsid w:val="002E1FE2"/>
    <w:rsid w:val="002E21F1"/>
    <w:rsid w:val="002E2A60"/>
    <w:rsid w:val="002E6687"/>
    <w:rsid w:val="002E6CE7"/>
    <w:rsid w:val="002E779E"/>
    <w:rsid w:val="002F0076"/>
    <w:rsid w:val="002F1024"/>
    <w:rsid w:val="002F156E"/>
    <w:rsid w:val="003107CC"/>
    <w:rsid w:val="00310A7E"/>
    <w:rsid w:val="00310FE2"/>
    <w:rsid w:val="00312E87"/>
    <w:rsid w:val="00313B4B"/>
    <w:rsid w:val="0031537D"/>
    <w:rsid w:val="00317D18"/>
    <w:rsid w:val="003208B6"/>
    <w:rsid w:val="003223EE"/>
    <w:rsid w:val="003242AB"/>
    <w:rsid w:val="00326444"/>
    <w:rsid w:val="003278E7"/>
    <w:rsid w:val="00330A61"/>
    <w:rsid w:val="0033344A"/>
    <w:rsid w:val="00335618"/>
    <w:rsid w:val="0033673C"/>
    <w:rsid w:val="003379C0"/>
    <w:rsid w:val="00340399"/>
    <w:rsid w:val="00340AD0"/>
    <w:rsid w:val="00341C54"/>
    <w:rsid w:val="003425D7"/>
    <w:rsid w:val="0034365D"/>
    <w:rsid w:val="0034557A"/>
    <w:rsid w:val="003509FF"/>
    <w:rsid w:val="00351311"/>
    <w:rsid w:val="0035215B"/>
    <w:rsid w:val="0035228A"/>
    <w:rsid w:val="00352ABB"/>
    <w:rsid w:val="00355D74"/>
    <w:rsid w:val="003560DE"/>
    <w:rsid w:val="00357827"/>
    <w:rsid w:val="00361FA5"/>
    <w:rsid w:val="00366ECB"/>
    <w:rsid w:val="003706E5"/>
    <w:rsid w:val="00370C27"/>
    <w:rsid w:val="0037732D"/>
    <w:rsid w:val="00386987"/>
    <w:rsid w:val="00386DE0"/>
    <w:rsid w:val="003941AC"/>
    <w:rsid w:val="003948D3"/>
    <w:rsid w:val="00394B91"/>
    <w:rsid w:val="003957F2"/>
    <w:rsid w:val="00396847"/>
    <w:rsid w:val="00396EB6"/>
    <w:rsid w:val="003A15F5"/>
    <w:rsid w:val="003A43F8"/>
    <w:rsid w:val="003A6C8D"/>
    <w:rsid w:val="003A6DCD"/>
    <w:rsid w:val="003A6F35"/>
    <w:rsid w:val="003A7A4E"/>
    <w:rsid w:val="003B010D"/>
    <w:rsid w:val="003B24DA"/>
    <w:rsid w:val="003B2C1A"/>
    <w:rsid w:val="003B45F9"/>
    <w:rsid w:val="003B56D8"/>
    <w:rsid w:val="003B56E2"/>
    <w:rsid w:val="003C191A"/>
    <w:rsid w:val="003C2C11"/>
    <w:rsid w:val="003C5240"/>
    <w:rsid w:val="003D152D"/>
    <w:rsid w:val="003D1F30"/>
    <w:rsid w:val="003D36DF"/>
    <w:rsid w:val="003D3D49"/>
    <w:rsid w:val="003D4585"/>
    <w:rsid w:val="003D664B"/>
    <w:rsid w:val="003D6CD7"/>
    <w:rsid w:val="003D7A53"/>
    <w:rsid w:val="003E2CEB"/>
    <w:rsid w:val="003E4548"/>
    <w:rsid w:val="003E57B4"/>
    <w:rsid w:val="003E67C0"/>
    <w:rsid w:val="003F1552"/>
    <w:rsid w:val="003F2A02"/>
    <w:rsid w:val="003F41D7"/>
    <w:rsid w:val="003F4DEE"/>
    <w:rsid w:val="003F5210"/>
    <w:rsid w:val="003F6B1D"/>
    <w:rsid w:val="00401F4D"/>
    <w:rsid w:val="00402597"/>
    <w:rsid w:val="00402823"/>
    <w:rsid w:val="004052F5"/>
    <w:rsid w:val="00405C23"/>
    <w:rsid w:val="004070B6"/>
    <w:rsid w:val="00410A27"/>
    <w:rsid w:val="00410ED7"/>
    <w:rsid w:val="00414E15"/>
    <w:rsid w:val="004154FA"/>
    <w:rsid w:val="004162D1"/>
    <w:rsid w:val="00422535"/>
    <w:rsid w:val="00423054"/>
    <w:rsid w:val="0042648E"/>
    <w:rsid w:val="00426B41"/>
    <w:rsid w:val="00426DEF"/>
    <w:rsid w:val="0043078F"/>
    <w:rsid w:val="0043443D"/>
    <w:rsid w:val="00434F5C"/>
    <w:rsid w:val="00437289"/>
    <w:rsid w:val="00441E08"/>
    <w:rsid w:val="004428D1"/>
    <w:rsid w:val="00442E87"/>
    <w:rsid w:val="004454BF"/>
    <w:rsid w:val="00453F93"/>
    <w:rsid w:val="00455B74"/>
    <w:rsid w:val="00456CE3"/>
    <w:rsid w:val="00460C67"/>
    <w:rsid w:val="00462182"/>
    <w:rsid w:val="004661E8"/>
    <w:rsid w:val="004673F5"/>
    <w:rsid w:val="00472858"/>
    <w:rsid w:val="00472A0D"/>
    <w:rsid w:val="00473F09"/>
    <w:rsid w:val="00475BC4"/>
    <w:rsid w:val="00480E06"/>
    <w:rsid w:val="00481D28"/>
    <w:rsid w:val="00482E2E"/>
    <w:rsid w:val="0048781A"/>
    <w:rsid w:val="004878C2"/>
    <w:rsid w:val="004936D2"/>
    <w:rsid w:val="004A06B7"/>
    <w:rsid w:val="004A2D91"/>
    <w:rsid w:val="004A399C"/>
    <w:rsid w:val="004A4D71"/>
    <w:rsid w:val="004A7527"/>
    <w:rsid w:val="004B1805"/>
    <w:rsid w:val="004B301F"/>
    <w:rsid w:val="004C22EA"/>
    <w:rsid w:val="004C2301"/>
    <w:rsid w:val="004C2406"/>
    <w:rsid w:val="004C3432"/>
    <w:rsid w:val="004C3662"/>
    <w:rsid w:val="004C7205"/>
    <w:rsid w:val="004D1508"/>
    <w:rsid w:val="004D67AC"/>
    <w:rsid w:val="004D69BC"/>
    <w:rsid w:val="004E3659"/>
    <w:rsid w:val="004F0EE4"/>
    <w:rsid w:val="004F26BD"/>
    <w:rsid w:val="004F5108"/>
    <w:rsid w:val="004F5A6B"/>
    <w:rsid w:val="004F630C"/>
    <w:rsid w:val="004F7C7A"/>
    <w:rsid w:val="005024E5"/>
    <w:rsid w:val="00502B84"/>
    <w:rsid w:val="00506165"/>
    <w:rsid w:val="00506B64"/>
    <w:rsid w:val="00507683"/>
    <w:rsid w:val="00512F11"/>
    <w:rsid w:val="005146F3"/>
    <w:rsid w:val="00516210"/>
    <w:rsid w:val="0052079B"/>
    <w:rsid w:val="00520A69"/>
    <w:rsid w:val="005239BF"/>
    <w:rsid w:val="00527A2E"/>
    <w:rsid w:val="00530D3E"/>
    <w:rsid w:val="00533783"/>
    <w:rsid w:val="00533A06"/>
    <w:rsid w:val="005353B7"/>
    <w:rsid w:val="005364AC"/>
    <w:rsid w:val="005375ED"/>
    <w:rsid w:val="00546C61"/>
    <w:rsid w:val="00547ADC"/>
    <w:rsid w:val="00547BF0"/>
    <w:rsid w:val="005505D0"/>
    <w:rsid w:val="00550D06"/>
    <w:rsid w:val="00551464"/>
    <w:rsid w:val="00554CE8"/>
    <w:rsid w:val="00556881"/>
    <w:rsid w:val="0055752B"/>
    <w:rsid w:val="005600E5"/>
    <w:rsid w:val="005608B3"/>
    <w:rsid w:val="00562108"/>
    <w:rsid w:val="0056296F"/>
    <w:rsid w:val="00562FAC"/>
    <w:rsid w:val="00563786"/>
    <w:rsid w:val="005637B7"/>
    <w:rsid w:val="00563F21"/>
    <w:rsid w:val="005676CA"/>
    <w:rsid w:val="00567E42"/>
    <w:rsid w:val="00572666"/>
    <w:rsid w:val="00573A31"/>
    <w:rsid w:val="00573FA4"/>
    <w:rsid w:val="005756C9"/>
    <w:rsid w:val="005756D9"/>
    <w:rsid w:val="00576CCE"/>
    <w:rsid w:val="0058289F"/>
    <w:rsid w:val="005828CA"/>
    <w:rsid w:val="00582B65"/>
    <w:rsid w:val="00582E2F"/>
    <w:rsid w:val="00593E99"/>
    <w:rsid w:val="00596433"/>
    <w:rsid w:val="005A56BB"/>
    <w:rsid w:val="005A7200"/>
    <w:rsid w:val="005A7456"/>
    <w:rsid w:val="005B1EB6"/>
    <w:rsid w:val="005B24EA"/>
    <w:rsid w:val="005C4569"/>
    <w:rsid w:val="005C45A0"/>
    <w:rsid w:val="005C7169"/>
    <w:rsid w:val="005D3389"/>
    <w:rsid w:val="005D5EAE"/>
    <w:rsid w:val="005E0AB7"/>
    <w:rsid w:val="005E19F5"/>
    <w:rsid w:val="005E1B26"/>
    <w:rsid w:val="005E6C14"/>
    <w:rsid w:val="005E7101"/>
    <w:rsid w:val="005F0636"/>
    <w:rsid w:val="005F16FC"/>
    <w:rsid w:val="005F1FE0"/>
    <w:rsid w:val="005F25AB"/>
    <w:rsid w:val="005F371A"/>
    <w:rsid w:val="005F46A1"/>
    <w:rsid w:val="005F5B73"/>
    <w:rsid w:val="005F7CEA"/>
    <w:rsid w:val="00600384"/>
    <w:rsid w:val="006021A3"/>
    <w:rsid w:val="00602E92"/>
    <w:rsid w:val="00604861"/>
    <w:rsid w:val="00605370"/>
    <w:rsid w:val="00605601"/>
    <w:rsid w:val="006131C3"/>
    <w:rsid w:val="00613BB6"/>
    <w:rsid w:val="0061407B"/>
    <w:rsid w:val="0061523A"/>
    <w:rsid w:val="00620EDA"/>
    <w:rsid w:val="0062109E"/>
    <w:rsid w:val="00623811"/>
    <w:rsid w:val="00627DEE"/>
    <w:rsid w:val="00627ECB"/>
    <w:rsid w:val="0063096C"/>
    <w:rsid w:val="00632429"/>
    <w:rsid w:val="00632CFF"/>
    <w:rsid w:val="00633563"/>
    <w:rsid w:val="00633872"/>
    <w:rsid w:val="00635D86"/>
    <w:rsid w:val="00636956"/>
    <w:rsid w:val="00637AED"/>
    <w:rsid w:val="0064335D"/>
    <w:rsid w:val="006441CF"/>
    <w:rsid w:val="00647342"/>
    <w:rsid w:val="006544CE"/>
    <w:rsid w:val="0066165F"/>
    <w:rsid w:val="00661C93"/>
    <w:rsid w:val="00662382"/>
    <w:rsid w:val="0066475E"/>
    <w:rsid w:val="0066566C"/>
    <w:rsid w:val="00667963"/>
    <w:rsid w:val="00667F6E"/>
    <w:rsid w:val="00670A38"/>
    <w:rsid w:val="00670BB1"/>
    <w:rsid w:val="00671F4C"/>
    <w:rsid w:val="00672234"/>
    <w:rsid w:val="006723CD"/>
    <w:rsid w:val="006724DC"/>
    <w:rsid w:val="00673D91"/>
    <w:rsid w:val="006757C5"/>
    <w:rsid w:val="006767F5"/>
    <w:rsid w:val="00680318"/>
    <w:rsid w:val="00682DA3"/>
    <w:rsid w:val="00685008"/>
    <w:rsid w:val="00685A61"/>
    <w:rsid w:val="006874FB"/>
    <w:rsid w:val="00691508"/>
    <w:rsid w:val="0069304B"/>
    <w:rsid w:val="00694929"/>
    <w:rsid w:val="00695CAA"/>
    <w:rsid w:val="006962B1"/>
    <w:rsid w:val="00697733"/>
    <w:rsid w:val="006A0C44"/>
    <w:rsid w:val="006A126B"/>
    <w:rsid w:val="006A1458"/>
    <w:rsid w:val="006A2D3C"/>
    <w:rsid w:val="006A566E"/>
    <w:rsid w:val="006B0BA7"/>
    <w:rsid w:val="006B3403"/>
    <w:rsid w:val="006B3F99"/>
    <w:rsid w:val="006B5020"/>
    <w:rsid w:val="006B5CC5"/>
    <w:rsid w:val="006B6CC9"/>
    <w:rsid w:val="006C2153"/>
    <w:rsid w:val="006C3201"/>
    <w:rsid w:val="006C53DF"/>
    <w:rsid w:val="006C63F0"/>
    <w:rsid w:val="006C7C2C"/>
    <w:rsid w:val="006D1BE8"/>
    <w:rsid w:val="006D4087"/>
    <w:rsid w:val="006D58CD"/>
    <w:rsid w:val="006E2661"/>
    <w:rsid w:val="006E2853"/>
    <w:rsid w:val="006F0CEB"/>
    <w:rsid w:val="006F32A3"/>
    <w:rsid w:val="006F760D"/>
    <w:rsid w:val="0070059A"/>
    <w:rsid w:val="00700612"/>
    <w:rsid w:val="0070754B"/>
    <w:rsid w:val="00712144"/>
    <w:rsid w:val="00713DEF"/>
    <w:rsid w:val="007161A5"/>
    <w:rsid w:val="00716333"/>
    <w:rsid w:val="00716620"/>
    <w:rsid w:val="00717C2C"/>
    <w:rsid w:val="0072212E"/>
    <w:rsid w:val="0072220D"/>
    <w:rsid w:val="00731117"/>
    <w:rsid w:val="00733981"/>
    <w:rsid w:val="00734B17"/>
    <w:rsid w:val="00734DD8"/>
    <w:rsid w:val="00735848"/>
    <w:rsid w:val="00740EFE"/>
    <w:rsid w:val="00741E35"/>
    <w:rsid w:val="00742946"/>
    <w:rsid w:val="007437B5"/>
    <w:rsid w:val="00746342"/>
    <w:rsid w:val="0074662E"/>
    <w:rsid w:val="0074693E"/>
    <w:rsid w:val="00746B78"/>
    <w:rsid w:val="00752EF3"/>
    <w:rsid w:val="007530A3"/>
    <w:rsid w:val="00753B93"/>
    <w:rsid w:val="00753F23"/>
    <w:rsid w:val="007570E2"/>
    <w:rsid w:val="00763616"/>
    <w:rsid w:val="0076379B"/>
    <w:rsid w:val="0076735A"/>
    <w:rsid w:val="00767F4B"/>
    <w:rsid w:val="00773331"/>
    <w:rsid w:val="00773E86"/>
    <w:rsid w:val="0077734C"/>
    <w:rsid w:val="00780747"/>
    <w:rsid w:val="00786C67"/>
    <w:rsid w:val="0079036A"/>
    <w:rsid w:val="007932EF"/>
    <w:rsid w:val="007A2B2F"/>
    <w:rsid w:val="007A373D"/>
    <w:rsid w:val="007B056E"/>
    <w:rsid w:val="007B1BC0"/>
    <w:rsid w:val="007B32C4"/>
    <w:rsid w:val="007B495A"/>
    <w:rsid w:val="007B5239"/>
    <w:rsid w:val="007B73CB"/>
    <w:rsid w:val="007C11A2"/>
    <w:rsid w:val="007C1680"/>
    <w:rsid w:val="007C27A8"/>
    <w:rsid w:val="007C40DD"/>
    <w:rsid w:val="007C5F2A"/>
    <w:rsid w:val="007D0553"/>
    <w:rsid w:val="007D2B78"/>
    <w:rsid w:val="007D3504"/>
    <w:rsid w:val="007D3C84"/>
    <w:rsid w:val="007D43A9"/>
    <w:rsid w:val="007D5888"/>
    <w:rsid w:val="007E05B0"/>
    <w:rsid w:val="007E110B"/>
    <w:rsid w:val="007E49C3"/>
    <w:rsid w:val="007F0F85"/>
    <w:rsid w:val="007F1C3A"/>
    <w:rsid w:val="007F1E0B"/>
    <w:rsid w:val="00800909"/>
    <w:rsid w:val="0080166B"/>
    <w:rsid w:val="0080234B"/>
    <w:rsid w:val="00804A06"/>
    <w:rsid w:val="0081125C"/>
    <w:rsid w:val="00811EF5"/>
    <w:rsid w:val="00811F15"/>
    <w:rsid w:val="008123FC"/>
    <w:rsid w:val="0081260F"/>
    <w:rsid w:val="0081334F"/>
    <w:rsid w:val="008138D2"/>
    <w:rsid w:val="00821AC2"/>
    <w:rsid w:val="00823030"/>
    <w:rsid w:val="008274F7"/>
    <w:rsid w:val="00830FF3"/>
    <w:rsid w:val="00840B8C"/>
    <w:rsid w:val="00850261"/>
    <w:rsid w:val="00850523"/>
    <w:rsid w:val="008513EB"/>
    <w:rsid w:val="00852061"/>
    <w:rsid w:val="008527D0"/>
    <w:rsid w:val="0085340B"/>
    <w:rsid w:val="00854C47"/>
    <w:rsid w:val="00855563"/>
    <w:rsid w:val="00855E27"/>
    <w:rsid w:val="00857F5F"/>
    <w:rsid w:val="00862FEA"/>
    <w:rsid w:val="00863666"/>
    <w:rsid w:val="008650DA"/>
    <w:rsid w:val="0086604D"/>
    <w:rsid w:val="00866853"/>
    <w:rsid w:val="00867CF9"/>
    <w:rsid w:val="008715B8"/>
    <w:rsid w:val="008719E6"/>
    <w:rsid w:val="008721BE"/>
    <w:rsid w:val="00874D22"/>
    <w:rsid w:val="00876770"/>
    <w:rsid w:val="00880B56"/>
    <w:rsid w:val="00880E7C"/>
    <w:rsid w:val="008928D6"/>
    <w:rsid w:val="00894865"/>
    <w:rsid w:val="008948BB"/>
    <w:rsid w:val="008954BB"/>
    <w:rsid w:val="00896481"/>
    <w:rsid w:val="008A2914"/>
    <w:rsid w:val="008A6F89"/>
    <w:rsid w:val="008A79B1"/>
    <w:rsid w:val="008B2A11"/>
    <w:rsid w:val="008B36CE"/>
    <w:rsid w:val="008B6DE8"/>
    <w:rsid w:val="008C0681"/>
    <w:rsid w:val="008C1D56"/>
    <w:rsid w:val="008C245E"/>
    <w:rsid w:val="008C3473"/>
    <w:rsid w:val="008C6E54"/>
    <w:rsid w:val="008D20BE"/>
    <w:rsid w:val="008D244E"/>
    <w:rsid w:val="008D2673"/>
    <w:rsid w:val="008D36AC"/>
    <w:rsid w:val="008D371A"/>
    <w:rsid w:val="008D5E3F"/>
    <w:rsid w:val="008E0E3D"/>
    <w:rsid w:val="008E22E0"/>
    <w:rsid w:val="008E375A"/>
    <w:rsid w:val="008E4D8E"/>
    <w:rsid w:val="008E52B6"/>
    <w:rsid w:val="008E642B"/>
    <w:rsid w:val="008E66A6"/>
    <w:rsid w:val="008E6D93"/>
    <w:rsid w:val="008E7D1C"/>
    <w:rsid w:val="008F66AB"/>
    <w:rsid w:val="0090025E"/>
    <w:rsid w:val="00903916"/>
    <w:rsid w:val="00905F7D"/>
    <w:rsid w:val="00906ECF"/>
    <w:rsid w:val="0090746E"/>
    <w:rsid w:val="0090779F"/>
    <w:rsid w:val="0091081A"/>
    <w:rsid w:val="00910C24"/>
    <w:rsid w:val="00914599"/>
    <w:rsid w:val="00914D12"/>
    <w:rsid w:val="00914E4F"/>
    <w:rsid w:val="00915208"/>
    <w:rsid w:val="009153F4"/>
    <w:rsid w:val="00916603"/>
    <w:rsid w:val="00916A92"/>
    <w:rsid w:val="00916DF1"/>
    <w:rsid w:val="0091724D"/>
    <w:rsid w:val="0092090E"/>
    <w:rsid w:val="0092436A"/>
    <w:rsid w:val="0092735D"/>
    <w:rsid w:val="009311B3"/>
    <w:rsid w:val="00933E96"/>
    <w:rsid w:val="009346FA"/>
    <w:rsid w:val="009353B1"/>
    <w:rsid w:val="00935AFB"/>
    <w:rsid w:val="00937EEB"/>
    <w:rsid w:val="0094076C"/>
    <w:rsid w:val="009441A3"/>
    <w:rsid w:val="0094457D"/>
    <w:rsid w:val="00946417"/>
    <w:rsid w:val="00950526"/>
    <w:rsid w:val="00952A9C"/>
    <w:rsid w:val="00954580"/>
    <w:rsid w:val="00957616"/>
    <w:rsid w:val="00961A94"/>
    <w:rsid w:val="009626B7"/>
    <w:rsid w:val="00962E98"/>
    <w:rsid w:val="00965DB7"/>
    <w:rsid w:val="00966BC1"/>
    <w:rsid w:val="0097195E"/>
    <w:rsid w:val="00972ADC"/>
    <w:rsid w:val="00974668"/>
    <w:rsid w:val="00975128"/>
    <w:rsid w:val="00975781"/>
    <w:rsid w:val="00975977"/>
    <w:rsid w:val="00980A8D"/>
    <w:rsid w:val="009811C5"/>
    <w:rsid w:val="00982C64"/>
    <w:rsid w:val="0098418C"/>
    <w:rsid w:val="00984CA3"/>
    <w:rsid w:val="00985389"/>
    <w:rsid w:val="00987C75"/>
    <w:rsid w:val="00990CFA"/>
    <w:rsid w:val="009937FA"/>
    <w:rsid w:val="00995124"/>
    <w:rsid w:val="009A48D7"/>
    <w:rsid w:val="009B25D6"/>
    <w:rsid w:val="009B5B0E"/>
    <w:rsid w:val="009C0534"/>
    <w:rsid w:val="009C19B8"/>
    <w:rsid w:val="009C63AA"/>
    <w:rsid w:val="009D129B"/>
    <w:rsid w:val="009D1D25"/>
    <w:rsid w:val="009D4C80"/>
    <w:rsid w:val="009D68C1"/>
    <w:rsid w:val="009E05AD"/>
    <w:rsid w:val="009E47CC"/>
    <w:rsid w:val="009E75FE"/>
    <w:rsid w:val="009E7CCE"/>
    <w:rsid w:val="009F125A"/>
    <w:rsid w:val="009F2D84"/>
    <w:rsid w:val="009F591E"/>
    <w:rsid w:val="009F6866"/>
    <w:rsid w:val="009F70A7"/>
    <w:rsid w:val="00A02A0F"/>
    <w:rsid w:val="00A053B6"/>
    <w:rsid w:val="00A05BB6"/>
    <w:rsid w:val="00A06969"/>
    <w:rsid w:val="00A136EB"/>
    <w:rsid w:val="00A15C01"/>
    <w:rsid w:val="00A17B62"/>
    <w:rsid w:val="00A17B70"/>
    <w:rsid w:val="00A21588"/>
    <w:rsid w:val="00A27C5C"/>
    <w:rsid w:val="00A30110"/>
    <w:rsid w:val="00A33F39"/>
    <w:rsid w:val="00A34416"/>
    <w:rsid w:val="00A45532"/>
    <w:rsid w:val="00A47F3D"/>
    <w:rsid w:val="00A50235"/>
    <w:rsid w:val="00A50794"/>
    <w:rsid w:val="00A50CDB"/>
    <w:rsid w:val="00A50F7D"/>
    <w:rsid w:val="00A534C5"/>
    <w:rsid w:val="00A53E8E"/>
    <w:rsid w:val="00A5592A"/>
    <w:rsid w:val="00A57F09"/>
    <w:rsid w:val="00A63705"/>
    <w:rsid w:val="00A646F8"/>
    <w:rsid w:val="00A65F33"/>
    <w:rsid w:val="00A70A4C"/>
    <w:rsid w:val="00A71CF8"/>
    <w:rsid w:val="00A71E9A"/>
    <w:rsid w:val="00A72FD3"/>
    <w:rsid w:val="00A7325A"/>
    <w:rsid w:val="00A752DC"/>
    <w:rsid w:val="00A76A8B"/>
    <w:rsid w:val="00A779A8"/>
    <w:rsid w:val="00A831E1"/>
    <w:rsid w:val="00A83B6C"/>
    <w:rsid w:val="00A86D53"/>
    <w:rsid w:val="00A9352F"/>
    <w:rsid w:val="00A94E50"/>
    <w:rsid w:val="00A951C0"/>
    <w:rsid w:val="00AA422B"/>
    <w:rsid w:val="00AA6918"/>
    <w:rsid w:val="00AA7178"/>
    <w:rsid w:val="00AB763F"/>
    <w:rsid w:val="00AC07C6"/>
    <w:rsid w:val="00AC1DF8"/>
    <w:rsid w:val="00AC32F9"/>
    <w:rsid w:val="00AC44A3"/>
    <w:rsid w:val="00AC54BA"/>
    <w:rsid w:val="00AC556A"/>
    <w:rsid w:val="00AC5902"/>
    <w:rsid w:val="00AC7F41"/>
    <w:rsid w:val="00AD064E"/>
    <w:rsid w:val="00AD2588"/>
    <w:rsid w:val="00AF0AF1"/>
    <w:rsid w:val="00AF3A81"/>
    <w:rsid w:val="00AF3ACB"/>
    <w:rsid w:val="00AF3D21"/>
    <w:rsid w:val="00AF48C1"/>
    <w:rsid w:val="00AF61CD"/>
    <w:rsid w:val="00AF666D"/>
    <w:rsid w:val="00B01CEF"/>
    <w:rsid w:val="00B0260B"/>
    <w:rsid w:val="00B04BCE"/>
    <w:rsid w:val="00B04D67"/>
    <w:rsid w:val="00B074B7"/>
    <w:rsid w:val="00B07D8B"/>
    <w:rsid w:val="00B11FE1"/>
    <w:rsid w:val="00B11FF2"/>
    <w:rsid w:val="00B129BC"/>
    <w:rsid w:val="00B12C8B"/>
    <w:rsid w:val="00B23A2B"/>
    <w:rsid w:val="00B264A2"/>
    <w:rsid w:val="00B27721"/>
    <w:rsid w:val="00B30AA3"/>
    <w:rsid w:val="00B33260"/>
    <w:rsid w:val="00B33792"/>
    <w:rsid w:val="00B363DC"/>
    <w:rsid w:val="00B4045A"/>
    <w:rsid w:val="00B40CEC"/>
    <w:rsid w:val="00B410DB"/>
    <w:rsid w:val="00B42781"/>
    <w:rsid w:val="00B446EF"/>
    <w:rsid w:val="00B46376"/>
    <w:rsid w:val="00B509AD"/>
    <w:rsid w:val="00B515A2"/>
    <w:rsid w:val="00B56290"/>
    <w:rsid w:val="00B5667D"/>
    <w:rsid w:val="00B575BF"/>
    <w:rsid w:val="00B605E5"/>
    <w:rsid w:val="00B617C1"/>
    <w:rsid w:val="00B62EC5"/>
    <w:rsid w:val="00B64F6E"/>
    <w:rsid w:val="00B66A75"/>
    <w:rsid w:val="00B66CCC"/>
    <w:rsid w:val="00B71753"/>
    <w:rsid w:val="00B7385C"/>
    <w:rsid w:val="00B73B61"/>
    <w:rsid w:val="00B744C6"/>
    <w:rsid w:val="00B80E39"/>
    <w:rsid w:val="00B82399"/>
    <w:rsid w:val="00B84BD8"/>
    <w:rsid w:val="00B91CD6"/>
    <w:rsid w:val="00B92AA3"/>
    <w:rsid w:val="00B93905"/>
    <w:rsid w:val="00B93AF7"/>
    <w:rsid w:val="00B9694B"/>
    <w:rsid w:val="00B96B8F"/>
    <w:rsid w:val="00BA32EC"/>
    <w:rsid w:val="00BA4842"/>
    <w:rsid w:val="00BA4DC4"/>
    <w:rsid w:val="00BA5F50"/>
    <w:rsid w:val="00BB0BE9"/>
    <w:rsid w:val="00BB2CB2"/>
    <w:rsid w:val="00BB69E8"/>
    <w:rsid w:val="00BB6CEE"/>
    <w:rsid w:val="00BC1270"/>
    <w:rsid w:val="00BC1EB0"/>
    <w:rsid w:val="00BC5F91"/>
    <w:rsid w:val="00BC62F2"/>
    <w:rsid w:val="00BC6338"/>
    <w:rsid w:val="00BD662A"/>
    <w:rsid w:val="00BD7AEF"/>
    <w:rsid w:val="00BE4271"/>
    <w:rsid w:val="00BE4385"/>
    <w:rsid w:val="00BF2BDB"/>
    <w:rsid w:val="00C10E0D"/>
    <w:rsid w:val="00C12301"/>
    <w:rsid w:val="00C123EE"/>
    <w:rsid w:val="00C12FAF"/>
    <w:rsid w:val="00C20F73"/>
    <w:rsid w:val="00C22201"/>
    <w:rsid w:val="00C226CA"/>
    <w:rsid w:val="00C22B3B"/>
    <w:rsid w:val="00C23CF0"/>
    <w:rsid w:val="00C27FBC"/>
    <w:rsid w:val="00C312D8"/>
    <w:rsid w:val="00C31573"/>
    <w:rsid w:val="00C33619"/>
    <w:rsid w:val="00C34591"/>
    <w:rsid w:val="00C35A98"/>
    <w:rsid w:val="00C414E3"/>
    <w:rsid w:val="00C41B1B"/>
    <w:rsid w:val="00C427BC"/>
    <w:rsid w:val="00C45680"/>
    <w:rsid w:val="00C45EC6"/>
    <w:rsid w:val="00C46285"/>
    <w:rsid w:val="00C46BEE"/>
    <w:rsid w:val="00C501B7"/>
    <w:rsid w:val="00C5088D"/>
    <w:rsid w:val="00C5119B"/>
    <w:rsid w:val="00C61C0D"/>
    <w:rsid w:val="00C6373D"/>
    <w:rsid w:val="00C64419"/>
    <w:rsid w:val="00C65EEE"/>
    <w:rsid w:val="00C71885"/>
    <w:rsid w:val="00C7226B"/>
    <w:rsid w:val="00C77D5E"/>
    <w:rsid w:val="00C8043A"/>
    <w:rsid w:val="00C82218"/>
    <w:rsid w:val="00C84F0E"/>
    <w:rsid w:val="00C86DEA"/>
    <w:rsid w:val="00C9293A"/>
    <w:rsid w:val="00CA102A"/>
    <w:rsid w:val="00CA1B0E"/>
    <w:rsid w:val="00CA51E1"/>
    <w:rsid w:val="00CB0361"/>
    <w:rsid w:val="00CB1CEE"/>
    <w:rsid w:val="00CB4264"/>
    <w:rsid w:val="00CB5FC3"/>
    <w:rsid w:val="00CC2091"/>
    <w:rsid w:val="00CC2B76"/>
    <w:rsid w:val="00CC4FA6"/>
    <w:rsid w:val="00CC690C"/>
    <w:rsid w:val="00CC739D"/>
    <w:rsid w:val="00CD21BB"/>
    <w:rsid w:val="00CD23C1"/>
    <w:rsid w:val="00CD4337"/>
    <w:rsid w:val="00CE0E95"/>
    <w:rsid w:val="00CE1B2F"/>
    <w:rsid w:val="00CE2891"/>
    <w:rsid w:val="00CE429C"/>
    <w:rsid w:val="00CE6A87"/>
    <w:rsid w:val="00CF0D1B"/>
    <w:rsid w:val="00CF1363"/>
    <w:rsid w:val="00CF4FFF"/>
    <w:rsid w:val="00D018AB"/>
    <w:rsid w:val="00D03A2D"/>
    <w:rsid w:val="00D048D1"/>
    <w:rsid w:val="00D058F1"/>
    <w:rsid w:val="00D06BAC"/>
    <w:rsid w:val="00D12005"/>
    <w:rsid w:val="00D122AD"/>
    <w:rsid w:val="00D20381"/>
    <w:rsid w:val="00D2235E"/>
    <w:rsid w:val="00D23867"/>
    <w:rsid w:val="00D32FC0"/>
    <w:rsid w:val="00D3322B"/>
    <w:rsid w:val="00D33E61"/>
    <w:rsid w:val="00D35081"/>
    <w:rsid w:val="00D42705"/>
    <w:rsid w:val="00D51000"/>
    <w:rsid w:val="00D5352E"/>
    <w:rsid w:val="00D54D14"/>
    <w:rsid w:val="00D55385"/>
    <w:rsid w:val="00D5678A"/>
    <w:rsid w:val="00D71478"/>
    <w:rsid w:val="00D7546B"/>
    <w:rsid w:val="00D76C68"/>
    <w:rsid w:val="00D83F0B"/>
    <w:rsid w:val="00D844FD"/>
    <w:rsid w:val="00D863FC"/>
    <w:rsid w:val="00D86C06"/>
    <w:rsid w:val="00D943CE"/>
    <w:rsid w:val="00D96327"/>
    <w:rsid w:val="00DA014E"/>
    <w:rsid w:val="00DA5497"/>
    <w:rsid w:val="00DA5CF1"/>
    <w:rsid w:val="00DB049F"/>
    <w:rsid w:val="00DB3096"/>
    <w:rsid w:val="00DB352F"/>
    <w:rsid w:val="00DB389F"/>
    <w:rsid w:val="00DB56B6"/>
    <w:rsid w:val="00DB61B9"/>
    <w:rsid w:val="00DB754E"/>
    <w:rsid w:val="00DC00C5"/>
    <w:rsid w:val="00DC2B24"/>
    <w:rsid w:val="00DC307C"/>
    <w:rsid w:val="00DC3C86"/>
    <w:rsid w:val="00DC64AB"/>
    <w:rsid w:val="00DC7B3B"/>
    <w:rsid w:val="00DD0418"/>
    <w:rsid w:val="00DD2DE9"/>
    <w:rsid w:val="00DD5D3B"/>
    <w:rsid w:val="00DE11FE"/>
    <w:rsid w:val="00DE1461"/>
    <w:rsid w:val="00DE24D9"/>
    <w:rsid w:val="00DE7A00"/>
    <w:rsid w:val="00DE7B0D"/>
    <w:rsid w:val="00DF3250"/>
    <w:rsid w:val="00DF4EDD"/>
    <w:rsid w:val="00E00BE1"/>
    <w:rsid w:val="00E026BA"/>
    <w:rsid w:val="00E02D13"/>
    <w:rsid w:val="00E032FB"/>
    <w:rsid w:val="00E04856"/>
    <w:rsid w:val="00E04DF7"/>
    <w:rsid w:val="00E05948"/>
    <w:rsid w:val="00E11F21"/>
    <w:rsid w:val="00E12E2E"/>
    <w:rsid w:val="00E2142C"/>
    <w:rsid w:val="00E23F74"/>
    <w:rsid w:val="00E24A68"/>
    <w:rsid w:val="00E25E11"/>
    <w:rsid w:val="00E2661B"/>
    <w:rsid w:val="00E27248"/>
    <w:rsid w:val="00E309F2"/>
    <w:rsid w:val="00E3455B"/>
    <w:rsid w:val="00E34D44"/>
    <w:rsid w:val="00E36B31"/>
    <w:rsid w:val="00E37E63"/>
    <w:rsid w:val="00E42D67"/>
    <w:rsid w:val="00E43BAD"/>
    <w:rsid w:val="00E4435A"/>
    <w:rsid w:val="00E454E8"/>
    <w:rsid w:val="00E51A0C"/>
    <w:rsid w:val="00E51EE0"/>
    <w:rsid w:val="00E53520"/>
    <w:rsid w:val="00E55157"/>
    <w:rsid w:val="00E55CBD"/>
    <w:rsid w:val="00E60F2E"/>
    <w:rsid w:val="00E6288E"/>
    <w:rsid w:val="00E64C14"/>
    <w:rsid w:val="00E66EEE"/>
    <w:rsid w:val="00E673DA"/>
    <w:rsid w:val="00E73725"/>
    <w:rsid w:val="00E74F1F"/>
    <w:rsid w:val="00E76775"/>
    <w:rsid w:val="00E7762C"/>
    <w:rsid w:val="00E822BF"/>
    <w:rsid w:val="00E84287"/>
    <w:rsid w:val="00E84708"/>
    <w:rsid w:val="00E911DB"/>
    <w:rsid w:val="00E91D8B"/>
    <w:rsid w:val="00E91FD1"/>
    <w:rsid w:val="00EA088B"/>
    <w:rsid w:val="00EA2354"/>
    <w:rsid w:val="00EA2617"/>
    <w:rsid w:val="00EA30FC"/>
    <w:rsid w:val="00EA3659"/>
    <w:rsid w:val="00EA3EFF"/>
    <w:rsid w:val="00EB1B03"/>
    <w:rsid w:val="00EB2DA0"/>
    <w:rsid w:val="00EB3E92"/>
    <w:rsid w:val="00EB4777"/>
    <w:rsid w:val="00EB6C80"/>
    <w:rsid w:val="00EC3A54"/>
    <w:rsid w:val="00EC55DB"/>
    <w:rsid w:val="00EC758A"/>
    <w:rsid w:val="00ED0319"/>
    <w:rsid w:val="00ED14D3"/>
    <w:rsid w:val="00ED262B"/>
    <w:rsid w:val="00ED2802"/>
    <w:rsid w:val="00ED2923"/>
    <w:rsid w:val="00ED40DD"/>
    <w:rsid w:val="00ED5298"/>
    <w:rsid w:val="00ED56F0"/>
    <w:rsid w:val="00ED6E50"/>
    <w:rsid w:val="00EE159A"/>
    <w:rsid w:val="00EE4B93"/>
    <w:rsid w:val="00EE61A1"/>
    <w:rsid w:val="00EE77E5"/>
    <w:rsid w:val="00EF0662"/>
    <w:rsid w:val="00EF0AC9"/>
    <w:rsid w:val="00EF1FA2"/>
    <w:rsid w:val="00EF2330"/>
    <w:rsid w:val="00EF2453"/>
    <w:rsid w:val="00EF4E01"/>
    <w:rsid w:val="00EF5EFB"/>
    <w:rsid w:val="00F01747"/>
    <w:rsid w:val="00F03ECD"/>
    <w:rsid w:val="00F07270"/>
    <w:rsid w:val="00F11C18"/>
    <w:rsid w:val="00F12258"/>
    <w:rsid w:val="00F16313"/>
    <w:rsid w:val="00F20477"/>
    <w:rsid w:val="00F20C1D"/>
    <w:rsid w:val="00F20DBA"/>
    <w:rsid w:val="00F21621"/>
    <w:rsid w:val="00F21B5F"/>
    <w:rsid w:val="00F22693"/>
    <w:rsid w:val="00F24B88"/>
    <w:rsid w:val="00F27E7B"/>
    <w:rsid w:val="00F27F5D"/>
    <w:rsid w:val="00F300EC"/>
    <w:rsid w:val="00F324E9"/>
    <w:rsid w:val="00F3277C"/>
    <w:rsid w:val="00F32A9F"/>
    <w:rsid w:val="00F374A7"/>
    <w:rsid w:val="00F37C3A"/>
    <w:rsid w:val="00F418C3"/>
    <w:rsid w:val="00F43540"/>
    <w:rsid w:val="00F508FA"/>
    <w:rsid w:val="00F52154"/>
    <w:rsid w:val="00F553F0"/>
    <w:rsid w:val="00F5554A"/>
    <w:rsid w:val="00F55A21"/>
    <w:rsid w:val="00F63F24"/>
    <w:rsid w:val="00F66E7D"/>
    <w:rsid w:val="00F67426"/>
    <w:rsid w:val="00F67B5D"/>
    <w:rsid w:val="00F70590"/>
    <w:rsid w:val="00F73269"/>
    <w:rsid w:val="00F75378"/>
    <w:rsid w:val="00F75436"/>
    <w:rsid w:val="00F75884"/>
    <w:rsid w:val="00F76E98"/>
    <w:rsid w:val="00F80622"/>
    <w:rsid w:val="00F83C3B"/>
    <w:rsid w:val="00F87079"/>
    <w:rsid w:val="00F87FA3"/>
    <w:rsid w:val="00F921F8"/>
    <w:rsid w:val="00F93B7D"/>
    <w:rsid w:val="00F940CA"/>
    <w:rsid w:val="00FA1215"/>
    <w:rsid w:val="00FA1F6B"/>
    <w:rsid w:val="00FA5138"/>
    <w:rsid w:val="00FA529F"/>
    <w:rsid w:val="00FA62A4"/>
    <w:rsid w:val="00FB4C24"/>
    <w:rsid w:val="00FB55B0"/>
    <w:rsid w:val="00FB6394"/>
    <w:rsid w:val="00FB6E6B"/>
    <w:rsid w:val="00FC1352"/>
    <w:rsid w:val="00FC3046"/>
    <w:rsid w:val="00FC38F8"/>
    <w:rsid w:val="00FC5E10"/>
    <w:rsid w:val="00FC72BC"/>
    <w:rsid w:val="00FD29DB"/>
    <w:rsid w:val="00FD3BD8"/>
    <w:rsid w:val="00FE08A3"/>
    <w:rsid w:val="00FE2B6E"/>
    <w:rsid w:val="00FE4902"/>
    <w:rsid w:val="00FE691B"/>
    <w:rsid w:val="00FE700F"/>
    <w:rsid w:val="00FF2DAC"/>
    <w:rsid w:val="00FF42B0"/>
    <w:rsid w:val="01AF3703"/>
    <w:rsid w:val="01D86AE0"/>
    <w:rsid w:val="021E6224"/>
    <w:rsid w:val="026ECE27"/>
    <w:rsid w:val="02B7323D"/>
    <w:rsid w:val="0389517F"/>
    <w:rsid w:val="056D4DBA"/>
    <w:rsid w:val="063C8994"/>
    <w:rsid w:val="06ADC092"/>
    <w:rsid w:val="07394664"/>
    <w:rsid w:val="078141FC"/>
    <w:rsid w:val="07A73C87"/>
    <w:rsid w:val="0863C164"/>
    <w:rsid w:val="08CECE09"/>
    <w:rsid w:val="09290F86"/>
    <w:rsid w:val="093343E2"/>
    <w:rsid w:val="0957AF0C"/>
    <w:rsid w:val="099003A1"/>
    <w:rsid w:val="0990A772"/>
    <w:rsid w:val="09A4D80F"/>
    <w:rsid w:val="0A045668"/>
    <w:rsid w:val="0B3FCE86"/>
    <w:rsid w:val="0C9486F1"/>
    <w:rsid w:val="0C95205C"/>
    <w:rsid w:val="0D753F89"/>
    <w:rsid w:val="0D99660A"/>
    <w:rsid w:val="0F7BBB02"/>
    <w:rsid w:val="0F7DF943"/>
    <w:rsid w:val="0FDD282F"/>
    <w:rsid w:val="10A501A7"/>
    <w:rsid w:val="10EC026F"/>
    <w:rsid w:val="121C9649"/>
    <w:rsid w:val="141E8B2D"/>
    <w:rsid w:val="14C2371D"/>
    <w:rsid w:val="16749A55"/>
    <w:rsid w:val="182471F4"/>
    <w:rsid w:val="193AB21E"/>
    <w:rsid w:val="1A309562"/>
    <w:rsid w:val="1AC34CBD"/>
    <w:rsid w:val="1CE0A61E"/>
    <w:rsid w:val="1E648382"/>
    <w:rsid w:val="2092D185"/>
    <w:rsid w:val="21611638"/>
    <w:rsid w:val="216C5427"/>
    <w:rsid w:val="245905E4"/>
    <w:rsid w:val="25281B71"/>
    <w:rsid w:val="25319385"/>
    <w:rsid w:val="2543BAD1"/>
    <w:rsid w:val="25E71297"/>
    <w:rsid w:val="2651CE8E"/>
    <w:rsid w:val="2704847A"/>
    <w:rsid w:val="27BE2BC8"/>
    <w:rsid w:val="27FDD82B"/>
    <w:rsid w:val="286F1F3B"/>
    <w:rsid w:val="290C5100"/>
    <w:rsid w:val="29E34053"/>
    <w:rsid w:val="29E774A6"/>
    <w:rsid w:val="2A35452D"/>
    <w:rsid w:val="2AAB6C6D"/>
    <w:rsid w:val="2BBA4D19"/>
    <w:rsid w:val="2BC6836A"/>
    <w:rsid w:val="2BF58B4A"/>
    <w:rsid w:val="2C1EC55B"/>
    <w:rsid w:val="2C9D29BE"/>
    <w:rsid w:val="2D346E04"/>
    <w:rsid w:val="2D90EB67"/>
    <w:rsid w:val="31E85F8B"/>
    <w:rsid w:val="32833D38"/>
    <w:rsid w:val="3351E922"/>
    <w:rsid w:val="339442BB"/>
    <w:rsid w:val="34097F87"/>
    <w:rsid w:val="345F4BAB"/>
    <w:rsid w:val="35271F46"/>
    <w:rsid w:val="3597D0D0"/>
    <w:rsid w:val="35E99CFC"/>
    <w:rsid w:val="387F5F31"/>
    <w:rsid w:val="394C8AC4"/>
    <w:rsid w:val="3952D57C"/>
    <w:rsid w:val="396A156B"/>
    <w:rsid w:val="39C97E92"/>
    <w:rsid w:val="3A721199"/>
    <w:rsid w:val="3AC7BD31"/>
    <w:rsid w:val="3BD7E013"/>
    <w:rsid w:val="3BF811AD"/>
    <w:rsid w:val="3C2FD54C"/>
    <w:rsid w:val="3DE432F4"/>
    <w:rsid w:val="3FA546E1"/>
    <w:rsid w:val="4027E91C"/>
    <w:rsid w:val="407F60D9"/>
    <w:rsid w:val="4158D856"/>
    <w:rsid w:val="43F9F0C5"/>
    <w:rsid w:val="45B6603C"/>
    <w:rsid w:val="45EC56F4"/>
    <w:rsid w:val="46553CDF"/>
    <w:rsid w:val="46768A4D"/>
    <w:rsid w:val="474A15F5"/>
    <w:rsid w:val="47D1B2C5"/>
    <w:rsid w:val="480C3514"/>
    <w:rsid w:val="4824A84D"/>
    <w:rsid w:val="48BDFD99"/>
    <w:rsid w:val="48D9679E"/>
    <w:rsid w:val="49919D89"/>
    <w:rsid w:val="4B062531"/>
    <w:rsid w:val="4B7AB152"/>
    <w:rsid w:val="4C620817"/>
    <w:rsid w:val="4EB0B66B"/>
    <w:rsid w:val="4EE7634A"/>
    <w:rsid w:val="50711CF0"/>
    <w:rsid w:val="54DA85C5"/>
    <w:rsid w:val="55E00356"/>
    <w:rsid w:val="55E5F361"/>
    <w:rsid w:val="572C4C36"/>
    <w:rsid w:val="576B1BC5"/>
    <w:rsid w:val="57E03DEC"/>
    <w:rsid w:val="57E37927"/>
    <w:rsid w:val="589978A8"/>
    <w:rsid w:val="58A80EF9"/>
    <w:rsid w:val="5908C917"/>
    <w:rsid w:val="592A65CE"/>
    <w:rsid w:val="5A6692CE"/>
    <w:rsid w:val="5D98885B"/>
    <w:rsid w:val="5E4718A8"/>
    <w:rsid w:val="5EF9570F"/>
    <w:rsid w:val="5F838B85"/>
    <w:rsid w:val="5FA76633"/>
    <w:rsid w:val="5FDAA7F1"/>
    <w:rsid w:val="604E96CF"/>
    <w:rsid w:val="605FD5A6"/>
    <w:rsid w:val="62D2CCDA"/>
    <w:rsid w:val="6447D375"/>
    <w:rsid w:val="6563D4A3"/>
    <w:rsid w:val="671A2BFF"/>
    <w:rsid w:val="674C701F"/>
    <w:rsid w:val="676E6DF6"/>
    <w:rsid w:val="689472F0"/>
    <w:rsid w:val="6B534B18"/>
    <w:rsid w:val="6BA3FD3F"/>
    <w:rsid w:val="6C58DB79"/>
    <w:rsid w:val="6CEA6E67"/>
    <w:rsid w:val="6D4A1136"/>
    <w:rsid w:val="6D597371"/>
    <w:rsid w:val="6E3DA32C"/>
    <w:rsid w:val="6E91C163"/>
    <w:rsid w:val="6F2E90C7"/>
    <w:rsid w:val="6F4759A0"/>
    <w:rsid w:val="6F5B71E7"/>
    <w:rsid w:val="70703C57"/>
    <w:rsid w:val="71002580"/>
    <w:rsid w:val="7208E568"/>
    <w:rsid w:val="72A979E3"/>
    <w:rsid w:val="738D9E3B"/>
    <w:rsid w:val="74D3FDAD"/>
    <w:rsid w:val="756956A7"/>
    <w:rsid w:val="7621362E"/>
    <w:rsid w:val="78FF8500"/>
    <w:rsid w:val="7957342A"/>
    <w:rsid w:val="7998797D"/>
    <w:rsid w:val="7AE8EEC0"/>
    <w:rsid w:val="7BF54F9E"/>
    <w:rsid w:val="7C3BDE02"/>
    <w:rsid w:val="7C7F6DAE"/>
    <w:rsid w:val="7D1A9825"/>
    <w:rsid w:val="7D246A7E"/>
    <w:rsid w:val="7E1D500F"/>
    <w:rsid w:val="7FBF84D3"/>
  </w:rsids>
  <m:mathPr>
    <m:mathFont m:val="Cambria Math"/>
    <m:brkBin m:val="before"/>
    <m:brkBinSub m:val="--"/>
    <m:smallFrac m:val="0"/>
    <m:dispDef/>
    <m:lMargin m:val="0"/>
    <m:rMargin m:val="0"/>
    <m:defJc m:val="centerGroup"/>
    <m:wrapIndent m:val="1440"/>
    <m:intLim m:val="subSup"/>
    <m:naryLim m:val="undOvr"/>
  </m:mathPr>
  <w:themeFontLang w:val="en-US" w:eastAsia="ja-JP" w:bidi="kok-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2C3F12"/>
  <w15:docId w15:val="{3D20E577-9A7E-4934-82D2-8D5BFBB5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42"/>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42"/>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42"/>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42"/>
      </w:numPr>
      <w:outlineLvl w:val="3"/>
    </w:pPr>
    <w:rPr>
      <w:rFonts w:eastAsiaTheme="majorEastAsia"/>
      <w:bCs/>
      <w:iCs/>
    </w:rPr>
  </w:style>
  <w:style w:type="paragraph" w:styleId="Nagwek5">
    <w:name w:val="heading 5"/>
    <w:basedOn w:val="Normalny"/>
    <w:next w:val="Text2"/>
    <w:link w:val="Nagwek5Znak"/>
    <w:uiPriority w:val="9"/>
    <w:semiHidden/>
    <w:unhideWhenUsed/>
    <w:qFormat/>
    <w:pPr>
      <w:keepNext/>
      <w:numPr>
        <w:ilvl w:val="4"/>
        <w:numId w:val="42"/>
      </w:numPr>
      <w:outlineLvl w:val="4"/>
    </w:pPr>
    <w:rPr>
      <w:rFonts w:eastAsiaTheme="majorEastAsia"/>
    </w:rPr>
  </w:style>
  <w:style w:type="paragraph" w:styleId="Nagwek6">
    <w:name w:val="heading 6"/>
    <w:basedOn w:val="Normalny"/>
    <w:next w:val="Text2"/>
    <w:link w:val="Nagwek6Znak"/>
    <w:uiPriority w:val="9"/>
    <w:semiHidden/>
    <w:unhideWhenUsed/>
    <w:qFormat/>
    <w:pPr>
      <w:keepNext/>
      <w:numPr>
        <w:ilvl w:val="5"/>
        <w:numId w:val="42"/>
      </w:numPr>
      <w:outlineLvl w:val="5"/>
    </w:pPr>
    <w:rPr>
      <w:rFonts w:eastAsiaTheme="majorEastAsia"/>
      <w:iCs/>
    </w:rPr>
  </w:style>
  <w:style w:type="paragraph" w:styleId="Nagwek7">
    <w:name w:val="heading 7"/>
    <w:basedOn w:val="Normalny"/>
    <w:next w:val="Text2"/>
    <w:link w:val="Nagwek7Znak"/>
    <w:uiPriority w:val="9"/>
    <w:semiHidden/>
    <w:unhideWhenUsed/>
    <w:qFormat/>
    <w:pPr>
      <w:keepNext/>
      <w:numPr>
        <w:ilvl w:val="6"/>
        <w:numId w:val="42"/>
      </w:numPr>
      <w:outlineLvl w:val="6"/>
    </w:pPr>
    <w:rPr>
      <w:rFonts w:eastAsiaTheme="majorEastAsia"/>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4">
    <w:name w:val="List Bullet 4"/>
    <w:basedOn w:val="Normalny"/>
    <w:rsid w:val="00AF3ACB"/>
    <w:pPr>
      <w:numPr>
        <w:numId w:val="2"/>
      </w:numPr>
      <w:tabs>
        <w:tab w:val="num" w:pos="360"/>
      </w:tabs>
      <w:ind w:left="0" w:firstLine="0"/>
    </w:pPr>
    <w:rPr>
      <w:rFonts w:eastAsia="Times New Roman"/>
      <w:lang w:eastAsia="de-DE"/>
    </w:rPr>
  </w:style>
  <w:style w:type="paragraph" w:styleId="Listanumerowana">
    <w:name w:val="List Number"/>
    <w:basedOn w:val="Normalny"/>
    <w:rsid w:val="00AF3ACB"/>
    <w:pPr>
      <w:numPr>
        <w:numId w:val="6"/>
      </w:numPr>
    </w:pPr>
    <w:rPr>
      <w:rFonts w:eastAsia="Times New Roman"/>
      <w:lang w:eastAsia="de-DE"/>
    </w:rPr>
  </w:style>
  <w:style w:type="paragraph" w:customStyle="1" w:styleId="ListBullet1">
    <w:name w:val="List Bullet 1"/>
    <w:basedOn w:val="Normalny"/>
    <w:rsid w:val="00AF3ACB"/>
    <w:pPr>
      <w:numPr>
        <w:numId w:val="1"/>
      </w:numPr>
    </w:pPr>
    <w:rPr>
      <w:rFonts w:eastAsia="Times New Roman"/>
      <w:lang w:eastAsia="de-DE"/>
    </w:rPr>
  </w:style>
  <w:style w:type="paragraph" w:customStyle="1" w:styleId="ListDash">
    <w:name w:val="List Dash"/>
    <w:basedOn w:val="Normalny"/>
    <w:rsid w:val="00AF3ACB"/>
    <w:pPr>
      <w:numPr>
        <w:numId w:val="3"/>
      </w:numPr>
    </w:pPr>
    <w:rPr>
      <w:rFonts w:eastAsia="Times New Roman"/>
      <w:lang w:eastAsia="de-DE"/>
    </w:rPr>
  </w:style>
  <w:style w:type="paragraph" w:customStyle="1" w:styleId="ListDash1">
    <w:name w:val="List Dash 1"/>
    <w:basedOn w:val="Normalny"/>
    <w:rsid w:val="00AF3ACB"/>
    <w:pPr>
      <w:numPr>
        <w:numId w:val="4"/>
      </w:numPr>
    </w:pPr>
    <w:rPr>
      <w:rFonts w:eastAsia="Times New Roman"/>
      <w:lang w:eastAsia="de-DE"/>
    </w:rPr>
  </w:style>
  <w:style w:type="paragraph" w:customStyle="1" w:styleId="ListDash2">
    <w:name w:val="List Dash 2"/>
    <w:basedOn w:val="Normalny"/>
    <w:rsid w:val="00AF3ACB"/>
    <w:pPr>
      <w:numPr>
        <w:numId w:val="5"/>
      </w:numPr>
    </w:pPr>
    <w:rPr>
      <w:rFonts w:eastAsia="Times New Roman"/>
      <w:lang w:eastAsia="de-DE"/>
    </w:rPr>
  </w:style>
  <w:style w:type="paragraph" w:customStyle="1" w:styleId="ListNumberLevel2">
    <w:name w:val="List Number (Level 2)"/>
    <w:basedOn w:val="Normalny"/>
    <w:rsid w:val="00AF3ACB"/>
    <w:pPr>
      <w:numPr>
        <w:ilvl w:val="1"/>
        <w:numId w:val="6"/>
      </w:numPr>
    </w:pPr>
    <w:rPr>
      <w:rFonts w:eastAsia="Times New Roman"/>
      <w:lang w:eastAsia="de-DE"/>
    </w:rPr>
  </w:style>
  <w:style w:type="paragraph" w:customStyle="1" w:styleId="ListNumberLevel3">
    <w:name w:val="List Number (Level 3)"/>
    <w:basedOn w:val="Normalny"/>
    <w:rsid w:val="00AF3ACB"/>
    <w:pPr>
      <w:numPr>
        <w:ilvl w:val="2"/>
        <w:numId w:val="6"/>
      </w:numPr>
    </w:pPr>
    <w:rPr>
      <w:rFonts w:eastAsia="Times New Roman"/>
      <w:lang w:eastAsia="de-DE"/>
    </w:rPr>
  </w:style>
  <w:style w:type="paragraph" w:customStyle="1" w:styleId="ListNumberLevel4">
    <w:name w:val="List Number (Level 4)"/>
    <w:basedOn w:val="Normalny"/>
    <w:rsid w:val="00AF3ACB"/>
    <w:pPr>
      <w:numPr>
        <w:ilvl w:val="3"/>
        <w:numId w:val="6"/>
      </w:numPr>
    </w:pPr>
    <w:rPr>
      <w:rFonts w:eastAsia="Times New Roman"/>
      <w:lang w:eastAsia="de-DE"/>
    </w:rPr>
  </w:style>
  <w:style w:type="table" w:styleId="Tabela-Siatka">
    <w:name w:val="Table Grid"/>
    <w:basedOn w:val="Standardowy"/>
    <w:rsid w:val="00AF3ACB"/>
    <w:pPr>
      <w:spacing w:before="120" w:after="120" w:line="240" w:lineRule="auto"/>
      <w:jc w:val="both"/>
    </w:pPr>
    <w:rPr>
      <w:rFonts w:ascii="Times New Roman" w:eastAsia="Times New Roman" w:hAnsi="Times New Roman" w:cs="Times New Roman"/>
      <w:sz w:val="20"/>
      <w:szCs w:val="20"/>
      <w:lang w:eastAsia="en-IE"/>
    </w:rPr>
    <w:tblPr/>
  </w:style>
  <w:style w:type="character" w:styleId="Hipercze">
    <w:name w:val="Hyperlink"/>
    <w:uiPriority w:val="99"/>
    <w:rsid w:val="00AF3ACB"/>
    <w:rPr>
      <w:color w:val="0000FF"/>
      <w:u w:val="single"/>
    </w:rPr>
  </w:style>
  <w:style w:type="paragraph" w:styleId="Listapunktowana">
    <w:name w:val="List Bullet"/>
    <w:basedOn w:val="Normalny"/>
    <w:rsid w:val="00AF3ACB"/>
    <w:pPr>
      <w:numPr>
        <w:numId w:val="7"/>
      </w:numPr>
    </w:pPr>
    <w:rPr>
      <w:rFonts w:eastAsia="Times New Roman"/>
      <w:lang w:eastAsia="en-GB"/>
    </w:rPr>
  </w:style>
  <w:style w:type="paragraph" w:styleId="Listapunktowana2">
    <w:name w:val="List Bullet 2"/>
    <w:basedOn w:val="Normalny"/>
    <w:rsid w:val="00AF3ACB"/>
    <w:pPr>
      <w:numPr>
        <w:numId w:val="8"/>
      </w:numPr>
    </w:pPr>
    <w:rPr>
      <w:rFonts w:eastAsia="Times New Roman"/>
      <w:lang w:eastAsia="en-GB"/>
    </w:rPr>
  </w:style>
  <w:style w:type="paragraph" w:styleId="Listapunktowana3">
    <w:name w:val="List Bullet 3"/>
    <w:basedOn w:val="Normalny"/>
    <w:rsid w:val="00AF3ACB"/>
    <w:pPr>
      <w:numPr>
        <w:numId w:val="9"/>
      </w:numPr>
    </w:pPr>
    <w:rPr>
      <w:rFonts w:eastAsia="Times New Roman"/>
      <w:lang w:eastAsia="en-GB"/>
    </w:rPr>
  </w:style>
  <w:style w:type="paragraph" w:styleId="Listanumerowana2">
    <w:name w:val="List Number 2"/>
    <w:basedOn w:val="Normalny"/>
    <w:rsid w:val="00AF3ACB"/>
    <w:pPr>
      <w:numPr>
        <w:numId w:val="13"/>
      </w:numPr>
    </w:pPr>
    <w:rPr>
      <w:rFonts w:eastAsia="Times New Roman"/>
      <w:lang w:eastAsia="en-GB"/>
    </w:rPr>
  </w:style>
  <w:style w:type="paragraph" w:styleId="Listanumerowana3">
    <w:name w:val="List Number 3"/>
    <w:basedOn w:val="Normalny"/>
    <w:rsid w:val="00AF3ACB"/>
    <w:pPr>
      <w:numPr>
        <w:numId w:val="14"/>
      </w:numPr>
    </w:pPr>
    <w:rPr>
      <w:rFonts w:eastAsia="Times New Roman"/>
      <w:lang w:eastAsia="en-GB"/>
    </w:rPr>
  </w:style>
  <w:style w:type="paragraph" w:styleId="Listanumerowana4">
    <w:name w:val="List Number 4"/>
    <w:basedOn w:val="Normalny"/>
    <w:rsid w:val="00AF3ACB"/>
    <w:pPr>
      <w:numPr>
        <w:numId w:val="15"/>
      </w:numPr>
    </w:pPr>
    <w:rPr>
      <w:rFonts w:eastAsia="Times New Roman"/>
      <w:lang w:eastAsia="en-GB"/>
    </w:rPr>
  </w:style>
  <w:style w:type="paragraph" w:customStyle="1" w:styleId="ListDash3">
    <w:name w:val="List Dash 3"/>
    <w:basedOn w:val="Normalny"/>
    <w:rsid w:val="00AF3ACB"/>
    <w:pPr>
      <w:numPr>
        <w:numId w:val="10"/>
      </w:numPr>
    </w:pPr>
    <w:rPr>
      <w:rFonts w:eastAsia="Times New Roman"/>
      <w:lang w:eastAsia="en-GB"/>
    </w:rPr>
  </w:style>
  <w:style w:type="paragraph" w:customStyle="1" w:styleId="ListDash4">
    <w:name w:val="List Dash 4"/>
    <w:basedOn w:val="Normalny"/>
    <w:rsid w:val="00AF3ACB"/>
    <w:pPr>
      <w:numPr>
        <w:numId w:val="11"/>
      </w:numPr>
    </w:pPr>
    <w:rPr>
      <w:rFonts w:eastAsia="Times New Roman"/>
      <w:lang w:eastAsia="en-GB"/>
    </w:rPr>
  </w:style>
  <w:style w:type="paragraph" w:customStyle="1" w:styleId="ListNumber1">
    <w:name w:val="List Number 1"/>
    <w:basedOn w:val="Text1"/>
    <w:rsid w:val="00AF3ACB"/>
    <w:pPr>
      <w:numPr>
        <w:numId w:val="12"/>
      </w:numPr>
    </w:pPr>
    <w:rPr>
      <w:rFonts w:eastAsia="Times New Roman"/>
      <w:lang w:eastAsia="en-GB"/>
    </w:rPr>
  </w:style>
  <w:style w:type="paragraph" w:customStyle="1" w:styleId="ListNumber1Level2">
    <w:name w:val="List Number 1 (Level 2)"/>
    <w:basedOn w:val="Text1"/>
    <w:rsid w:val="00AF3ACB"/>
    <w:pPr>
      <w:numPr>
        <w:ilvl w:val="1"/>
        <w:numId w:val="12"/>
      </w:numPr>
    </w:pPr>
    <w:rPr>
      <w:rFonts w:eastAsia="Times New Roman"/>
      <w:lang w:eastAsia="en-GB"/>
    </w:rPr>
  </w:style>
  <w:style w:type="paragraph" w:customStyle="1" w:styleId="ListNumber2Level2">
    <w:name w:val="List Number 2 (Level 2)"/>
    <w:basedOn w:val="Text2"/>
    <w:rsid w:val="00AF3ACB"/>
    <w:pPr>
      <w:numPr>
        <w:ilvl w:val="1"/>
        <w:numId w:val="13"/>
      </w:numPr>
    </w:pPr>
    <w:rPr>
      <w:rFonts w:eastAsia="Times New Roman"/>
      <w:lang w:eastAsia="en-GB"/>
    </w:rPr>
  </w:style>
  <w:style w:type="paragraph" w:customStyle="1" w:styleId="ListNumber3Level2">
    <w:name w:val="List Number 3 (Level 2)"/>
    <w:basedOn w:val="Text3"/>
    <w:rsid w:val="00AF3ACB"/>
    <w:pPr>
      <w:numPr>
        <w:ilvl w:val="1"/>
        <w:numId w:val="14"/>
      </w:numPr>
    </w:pPr>
    <w:rPr>
      <w:rFonts w:eastAsia="Times New Roman"/>
      <w:lang w:eastAsia="en-GB"/>
    </w:rPr>
  </w:style>
  <w:style w:type="paragraph" w:customStyle="1" w:styleId="ListNumber4Level2">
    <w:name w:val="List Number 4 (Level 2)"/>
    <w:basedOn w:val="Text4"/>
    <w:rsid w:val="00AF3ACB"/>
    <w:pPr>
      <w:numPr>
        <w:ilvl w:val="1"/>
        <w:numId w:val="15"/>
      </w:numPr>
    </w:pPr>
    <w:rPr>
      <w:rFonts w:eastAsia="Times New Roman"/>
      <w:lang w:eastAsia="en-GB"/>
    </w:rPr>
  </w:style>
  <w:style w:type="paragraph" w:customStyle="1" w:styleId="ListNumber1Level3">
    <w:name w:val="List Number 1 (Level 3)"/>
    <w:basedOn w:val="Text1"/>
    <w:rsid w:val="00AF3ACB"/>
    <w:pPr>
      <w:numPr>
        <w:ilvl w:val="2"/>
        <w:numId w:val="12"/>
      </w:numPr>
    </w:pPr>
    <w:rPr>
      <w:rFonts w:eastAsia="Times New Roman"/>
      <w:lang w:eastAsia="en-GB"/>
    </w:rPr>
  </w:style>
  <w:style w:type="paragraph" w:customStyle="1" w:styleId="ListNumber2Level3">
    <w:name w:val="List Number 2 (Level 3)"/>
    <w:basedOn w:val="Text2"/>
    <w:rsid w:val="00AF3ACB"/>
    <w:pPr>
      <w:numPr>
        <w:ilvl w:val="2"/>
        <w:numId w:val="13"/>
      </w:numPr>
    </w:pPr>
    <w:rPr>
      <w:rFonts w:eastAsia="Times New Roman"/>
      <w:lang w:eastAsia="en-GB"/>
    </w:rPr>
  </w:style>
  <w:style w:type="paragraph" w:customStyle="1" w:styleId="ListNumber3Level3">
    <w:name w:val="List Number 3 (Level 3)"/>
    <w:basedOn w:val="Text3"/>
    <w:rsid w:val="00AF3ACB"/>
    <w:pPr>
      <w:numPr>
        <w:ilvl w:val="2"/>
        <w:numId w:val="14"/>
      </w:numPr>
    </w:pPr>
    <w:rPr>
      <w:rFonts w:eastAsia="Times New Roman"/>
      <w:lang w:eastAsia="en-GB"/>
    </w:rPr>
  </w:style>
  <w:style w:type="paragraph" w:customStyle="1" w:styleId="ListNumber4Level3">
    <w:name w:val="List Number 4 (Level 3)"/>
    <w:basedOn w:val="Text4"/>
    <w:rsid w:val="00AF3ACB"/>
    <w:pPr>
      <w:numPr>
        <w:ilvl w:val="2"/>
        <w:numId w:val="15"/>
      </w:numPr>
    </w:pPr>
    <w:rPr>
      <w:rFonts w:eastAsia="Times New Roman"/>
      <w:lang w:eastAsia="en-GB"/>
    </w:rPr>
  </w:style>
  <w:style w:type="paragraph" w:customStyle="1" w:styleId="ListNumber1Level4">
    <w:name w:val="List Number 1 (Level 4)"/>
    <w:basedOn w:val="Text1"/>
    <w:rsid w:val="00AF3ACB"/>
    <w:pPr>
      <w:numPr>
        <w:ilvl w:val="3"/>
        <w:numId w:val="12"/>
      </w:numPr>
    </w:pPr>
    <w:rPr>
      <w:rFonts w:eastAsia="Times New Roman"/>
      <w:lang w:eastAsia="en-GB"/>
    </w:rPr>
  </w:style>
  <w:style w:type="paragraph" w:customStyle="1" w:styleId="ListNumber2Level4">
    <w:name w:val="List Number 2 (Level 4)"/>
    <w:basedOn w:val="Text2"/>
    <w:rsid w:val="00AF3ACB"/>
    <w:pPr>
      <w:numPr>
        <w:ilvl w:val="3"/>
        <w:numId w:val="13"/>
      </w:numPr>
    </w:pPr>
    <w:rPr>
      <w:rFonts w:eastAsia="Times New Roman"/>
      <w:lang w:eastAsia="en-GB"/>
    </w:rPr>
  </w:style>
  <w:style w:type="paragraph" w:customStyle="1" w:styleId="ListNumber3Level4">
    <w:name w:val="List Number 3 (Level 4)"/>
    <w:basedOn w:val="Text3"/>
    <w:rsid w:val="00AF3ACB"/>
    <w:pPr>
      <w:numPr>
        <w:ilvl w:val="3"/>
        <w:numId w:val="14"/>
      </w:numPr>
    </w:pPr>
    <w:rPr>
      <w:rFonts w:eastAsia="Times New Roman"/>
      <w:lang w:eastAsia="en-GB"/>
    </w:rPr>
  </w:style>
  <w:style w:type="paragraph" w:customStyle="1" w:styleId="ListNumber4Level4">
    <w:name w:val="List Number 4 (Level 4)"/>
    <w:basedOn w:val="Text4"/>
    <w:rsid w:val="00AF3ACB"/>
    <w:pPr>
      <w:numPr>
        <w:ilvl w:val="3"/>
        <w:numId w:val="15"/>
      </w:numPr>
    </w:pPr>
    <w:rPr>
      <w:rFonts w:eastAsia="Times New Roman"/>
      <w:lang w:eastAsia="en-GB"/>
    </w:rPr>
  </w:style>
  <w:style w:type="paragraph" w:customStyle="1" w:styleId="Annexetitreacte">
    <w:name w:val="Annexe titre (acte)"/>
    <w:basedOn w:val="Normalny"/>
    <w:next w:val="Normalny"/>
    <w:rsid w:val="00AF3ACB"/>
    <w:pPr>
      <w:jc w:val="center"/>
    </w:pPr>
    <w:rPr>
      <w:rFonts w:eastAsia="Times New Roman"/>
      <w:b/>
      <w:u w:val="single"/>
      <w:lang w:eastAsia="en-GB"/>
    </w:rPr>
  </w:style>
  <w:style w:type="paragraph" w:customStyle="1" w:styleId="Annexetitreexposglobal">
    <w:name w:val="Annexe titre (exposé global)"/>
    <w:basedOn w:val="Normalny"/>
    <w:next w:val="Normalny"/>
    <w:rsid w:val="00AF3ACB"/>
    <w:pPr>
      <w:jc w:val="center"/>
    </w:pPr>
    <w:rPr>
      <w:rFonts w:eastAsia="Times New Roman"/>
      <w:b/>
      <w:u w:val="single"/>
      <w:lang w:eastAsia="en-GB"/>
    </w:rPr>
  </w:style>
  <w:style w:type="paragraph" w:customStyle="1" w:styleId="Annexetitrefichefinacte">
    <w:name w:val="Annexe titre (fiche fin. acte)"/>
    <w:basedOn w:val="Normalny"/>
    <w:next w:val="Normalny"/>
    <w:rsid w:val="00AF3ACB"/>
    <w:pPr>
      <w:jc w:val="center"/>
    </w:pPr>
    <w:rPr>
      <w:rFonts w:eastAsia="Times New Roman"/>
      <w:b/>
      <w:u w:val="single"/>
      <w:lang w:eastAsia="en-GB"/>
    </w:rPr>
  </w:style>
  <w:style w:type="paragraph" w:customStyle="1" w:styleId="Annexetitrefichefinglobale">
    <w:name w:val="Annexe titre (fiche fin. globale)"/>
    <w:basedOn w:val="Normalny"/>
    <w:next w:val="Normalny"/>
    <w:rsid w:val="00AF3ACB"/>
    <w:pPr>
      <w:jc w:val="center"/>
    </w:pPr>
    <w:rPr>
      <w:rFonts w:eastAsia="Times New Roman"/>
      <w:b/>
      <w:u w:val="single"/>
      <w:lang w:eastAsia="en-GB"/>
    </w:rPr>
  </w:style>
  <w:style w:type="paragraph" w:customStyle="1" w:styleId="Annexetitreglobale">
    <w:name w:val="Annexe titre (globale)"/>
    <w:basedOn w:val="Normalny"/>
    <w:next w:val="Normalny"/>
    <w:rsid w:val="00AF3ACB"/>
    <w:pPr>
      <w:jc w:val="center"/>
    </w:pPr>
    <w:rPr>
      <w:rFonts w:eastAsia="Times New Roman"/>
      <w:b/>
      <w:u w:val="single"/>
      <w:lang w:eastAsia="en-GB"/>
    </w:rPr>
  </w:style>
  <w:style w:type="paragraph" w:customStyle="1" w:styleId="Exposdesmotifstitreglobal">
    <w:name w:val="Exposé des motifs titre (global)"/>
    <w:basedOn w:val="Normalny"/>
    <w:next w:val="Normalny"/>
    <w:rsid w:val="00AF3ACB"/>
    <w:pPr>
      <w:jc w:val="center"/>
    </w:pPr>
    <w:rPr>
      <w:rFonts w:eastAsia="Times New Roman"/>
      <w:b/>
      <w:u w:val="single"/>
      <w:lang w:eastAsia="en-GB"/>
    </w:rPr>
  </w:style>
  <w:style w:type="paragraph" w:customStyle="1" w:styleId="Langueoriginale">
    <w:name w:val="Langue originale"/>
    <w:basedOn w:val="Normalny"/>
    <w:rsid w:val="00AF3ACB"/>
    <w:pPr>
      <w:spacing w:before="360"/>
      <w:jc w:val="center"/>
    </w:pPr>
    <w:rPr>
      <w:rFonts w:eastAsia="Times New Roman"/>
      <w:caps/>
      <w:lang w:eastAsia="en-GB"/>
    </w:rPr>
  </w:style>
  <w:style w:type="paragraph" w:customStyle="1" w:styleId="Phrasefinale">
    <w:name w:val="Phrase finale"/>
    <w:basedOn w:val="Normalny"/>
    <w:next w:val="Normalny"/>
    <w:rsid w:val="00AF3ACB"/>
    <w:pPr>
      <w:spacing w:before="360" w:after="0"/>
      <w:jc w:val="center"/>
    </w:pPr>
    <w:rPr>
      <w:rFonts w:eastAsia="Times New Roman"/>
      <w:lang w:eastAsia="en-GB"/>
    </w:rPr>
  </w:style>
  <w:style w:type="paragraph" w:customStyle="1" w:styleId="Prliminairetitre">
    <w:name w:val="Préliminaire titre"/>
    <w:basedOn w:val="Normalny"/>
    <w:next w:val="Normalny"/>
    <w:rsid w:val="00AF3ACB"/>
    <w:pPr>
      <w:spacing w:before="360" w:after="360"/>
      <w:jc w:val="center"/>
    </w:pPr>
    <w:rPr>
      <w:rFonts w:eastAsia="Times New Roman"/>
      <w:b/>
      <w:lang w:eastAsia="en-GB"/>
    </w:rPr>
  </w:style>
  <w:style w:type="paragraph" w:customStyle="1" w:styleId="Prliminairetype">
    <w:name w:val="Préliminaire type"/>
    <w:basedOn w:val="Normalny"/>
    <w:next w:val="Normalny"/>
    <w:rsid w:val="00AF3ACB"/>
    <w:pPr>
      <w:spacing w:before="360" w:after="0"/>
      <w:jc w:val="center"/>
    </w:pPr>
    <w:rPr>
      <w:rFonts w:eastAsia="Times New Roman"/>
      <w:b/>
      <w:lang w:eastAsia="en-GB"/>
    </w:rPr>
  </w:style>
  <w:style w:type="paragraph" w:customStyle="1" w:styleId="Rfrenceinstitutionelle">
    <w:name w:val="Référence institutionelle"/>
    <w:basedOn w:val="Normalny"/>
    <w:next w:val="Statut"/>
    <w:rsid w:val="00AF3ACB"/>
    <w:pPr>
      <w:spacing w:before="0" w:after="240"/>
      <w:ind w:left="5103"/>
      <w:jc w:val="left"/>
    </w:pPr>
    <w:rPr>
      <w:rFonts w:eastAsia="Times New Roman"/>
      <w:lang w:eastAsia="en-GB"/>
    </w:rPr>
  </w:style>
  <w:style w:type="paragraph" w:customStyle="1" w:styleId="Rfrenceinterinstitutionelle">
    <w:name w:val="Référence interinstitutionelle"/>
    <w:basedOn w:val="Normalny"/>
    <w:next w:val="Statut"/>
    <w:rsid w:val="00AF3ACB"/>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ny"/>
    <w:next w:val="Normalny"/>
    <w:rsid w:val="00AF3ACB"/>
    <w:pPr>
      <w:spacing w:before="0" w:after="0"/>
      <w:ind w:left="5103"/>
      <w:jc w:val="left"/>
    </w:pPr>
    <w:rPr>
      <w:rFonts w:eastAsia="Times New Roman"/>
      <w:lang w:eastAsia="en-GB"/>
    </w:rPr>
  </w:style>
  <w:style w:type="paragraph" w:customStyle="1" w:styleId="Sous-titreobjetprliminaire">
    <w:name w:val="Sous-titre objet (préliminaire)"/>
    <w:basedOn w:val="Normalny"/>
    <w:rsid w:val="00AF3ACB"/>
    <w:pPr>
      <w:spacing w:before="0" w:after="0"/>
      <w:jc w:val="center"/>
    </w:pPr>
    <w:rPr>
      <w:rFonts w:eastAsia="Times New Roman"/>
      <w:b/>
      <w:lang w:eastAsia="en-GB"/>
    </w:rPr>
  </w:style>
  <w:style w:type="paragraph" w:customStyle="1" w:styleId="Statutprliminaire">
    <w:name w:val="Statut (préliminaire)"/>
    <w:basedOn w:val="Normalny"/>
    <w:next w:val="Normalny"/>
    <w:rsid w:val="00AF3ACB"/>
    <w:pPr>
      <w:spacing w:before="360" w:after="0"/>
      <w:jc w:val="center"/>
    </w:pPr>
    <w:rPr>
      <w:rFonts w:eastAsia="Times New Roman"/>
      <w:lang w:eastAsia="en-GB"/>
    </w:rPr>
  </w:style>
  <w:style w:type="paragraph" w:customStyle="1" w:styleId="Titreobjetprliminaire">
    <w:name w:val="Titre objet (préliminaire)"/>
    <w:basedOn w:val="Normalny"/>
    <w:next w:val="Normalny"/>
    <w:rsid w:val="00AF3ACB"/>
    <w:pPr>
      <w:spacing w:before="360" w:after="360"/>
      <w:jc w:val="center"/>
    </w:pPr>
    <w:rPr>
      <w:rFonts w:eastAsia="Times New Roman"/>
      <w:b/>
      <w:lang w:eastAsia="en-GB"/>
    </w:rPr>
  </w:style>
  <w:style w:type="paragraph" w:customStyle="1" w:styleId="Typedudocumentprliminaire">
    <w:name w:val="Type du document (préliminaire)"/>
    <w:basedOn w:val="Normalny"/>
    <w:next w:val="Normalny"/>
    <w:rsid w:val="00AF3ACB"/>
    <w:pPr>
      <w:spacing w:before="360" w:after="0"/>
      <w:jc w:val="center"/>
    </w:pPr>
    <w:rPr>
      <w:rFonts w:eastAsia="Times New Roman"/>
      <w:b/>
      <w:lang w:eastAsia="en-GB"/>
    </w:rPr>
  </w:style>
  <w:style w:type="paragraph" w:customStyle="1" w:styleId="Fichefinancirestandardtitre">
    <w:name w:val="Fiche financière (standard) titre"/>
    <w:basedOn w:val="Normalny"/>
    <w:next w:val="Normalny"/>
    <w:rsid w:val="00AF3ACB"/>
    <w:pPr>
      <w:jc w:val="center"/>
    </w:pPr>
    <w:rPr>
      <w:rFonts w:eastAsia="Times New Roman"/>
      <w:b/>
      <w:u w:val="single"/>
      <w:lang w:eastAsia="en-GB"/>
    </w:rPr>
  </w:style>
  <w:style w:type="paragraph" w:customStyle="1" w:styleId="Fichefinancirestandardtitreacte">
    <w:name w:val="Fiche financière (standard) titre (acte)"/>
    <w:basedOn w:val="Normalny"/>
    <w:next w:val="Normalny"/>
    <w:rsid w:val="00AF3ACB"/>
    <w:pPr>
      <w:jc w:val="center"/>
    </w:pPr>
    <w:rPr>
      <w:rFonts w:eastAsia="Times New Roman"/>
      <w:b/>
      <w:u w:val="single"/>
      <w:lang w:eastAsia="en-GB"/>
    </w:rPr>
  </w:style>
  <w:style w:type="paragraph" w:customStyle="1" w:styleId="Fichefinanciretravailtitre">
    <w:name w:val="Fiche financière (travail) titre"/>
    <w:basedOn w:val="Normalny"/>
    <w:next w:val="Normalny"/>
    <w:rsid w:val="00AF3ACB"/>
    <w:pPr>
      <w:jc w:val="center"/>
    </w:pPr>
    <w:rPr>
      <w:rFonts w:eastAsia="Times New Roman"/>
      <w:b/>
      <w:u w:val="single"/>
      <w:lang w:eastAsia="en-GB"/>
    </w:rPr>
  </w:style>
  <w:style w:type="paragraph" w:customStyle="1" w:styleId="Fichefinanciretravailtitreacte">
    <w:name w:val="Fiche financière (travail) titre (acte)"/>
    <w:basedOn w:val="Normalny"/>
    <w:next w:val="Normalny"/>
    <w:rsid w:val="00AF3ACB"/>
    <w:pPr>
      <w:jc w:val="center"/>
    </w:pPr>
    <w:rPr>
      <w:rFonts w:eastAsia="Times New Roman"/>
      <w:b/>
      <w:u w:val="single"/>
      <w:lang w:eastAsia="en-GB"/>
    </w:rPr>
  </w:style>
  <w:style w:type="paragraph" w:customStyle="1" w:styleId="Fichefinancireattributiontitre">
    <w:name w:val="Fiche financière (attribution) titre"/>
    <w:basedOn w:val="Normalny"/>
    <w:next w:val="Normalny"/>
    <w:rsid w:val="00AF3ACB"/>
    <w:pPr>
      <w:jc w:val="center"/>
    </w:pPr>
    <w:rPr>
      <w:rFonts w:eastAsia="Times New Roman"/>
      <w:b/>
      <w:u w:val="single"/>
      <w:lang w:eastAsia="en-GB"/>
    </w:rPr>
  </w:style>
  <w:style w:type="paragraph" w:customStyle="1" w:styleId="Fichefinancireattributiontitreacte">
    <w:name w:val="Fiche financière (attribution) titre (acte)"/>
    <w:basedOn w:val="Normalny"/>
    <w:next w:val="Normalny"/>
    <w:rsid w:val="00AF3ACB"/>
    <w:pPr>
      <w:jc w:val="center"/>
    </w:pPr>
    <w:rPr>
      <w:rFonts w:eastAsia="Times New Roman"/>
      <w:b/>
      <w:u w:val="single"/>
      <w:lang w:eastAsia="en-GB"/>
    </w:rPr>
  </w:style>
  <w:style w:type="character" w:styleId="Odwoaniedokomentarza">
    <w:name w:val="annotation reference"/>
    <w:rsid w:val="00AF3ACB"/>
    <w:rPr>
      <w:rFonts w:cs="Times New Roman"/>
      <w:sz w:val="16"/>
      <w:szCs w:val="16"/>
    </w:rPr>
  </w:style>
  <w:style w:type="paragraph" w:styleId="Tekstkomentarza">
    <w:name w:val="annotation text"/>
    <w:basedOn w:val="Normalny"/>
    <w:link w:val="TekstkomentarzaZnak"/>
    <w:rsid w:val="00AF3ACB"/>
    <w:rPr>
      <w:rFonts w:eastAsia="Times New Roman"/>
      <w:sz w:val="20"/>
      <w:szCs w:val="20"/>
      <w:lang w:eastAsia="en-GB"/>
    </w:rPr>
  </w:style>
  <w:style w:type="character" w:customStyle="1" w:styleId="TekstkomentarzaZnak">
    <w:name w:val="Tekst komentarza Znak"/>
    <w:basedOn w:val="Domylnaczcionkaakapitu"/>
    <w:link w:val="Tekstkomentarza"/>
    <w:rsid w:val="00AF3ACB"/>
    <w:rPr>
      <w:rFonts w:ascii="Times New Roman" w:eastAsia="Times New Roman" w:hAnsi="Times New Roman" w:cs="Times New Roman"/>
      <w:sz w:val="20"/>
      <w:szCs w:val="20"/>
      <w:lang w:val="pl-PL" w:eastAsia="en-GB"/>
    </w:rPr>
  </w:style>
  <w:style w:type="paragraph" w:styleId="Tematkomentarza">
    <w:name w:val="annotation subject"/>
    <w:basedOn w:val="Tekstkomentarza"/>
    <w:next w:val="Tekstkomentarza"/>
    <w:link w:val="TematkomentarzaZnak"/>
    <w:rsid w:val="00AF3ACB"/>
    <w:rPr>
      <w:b/>
      <w:bCs/>
    </w:rPr>
  </w:style>
  <w:style w:type="character" w:customStyle="1" w:styleId="TematkomentarzaZnak">
    <w:name w:val="Temat komentarza Znak"/>
    <w:basedOn w:val="TekstkomentarzaZnak"/>
    <w:link w:val="Tematkomentarza"/>
    <w:rsid w:val="00AF3ACB"/>
    <w:rPr>
      <w:rFonts w:ascii="Times New Roman" w:eastAsia="Times New Roman" w:hAnsi="Times New Roman" w:cs="Times New Roman"/>
      <w:b/>
      <w:bCs/>
      <w:sz w:val="20"/>
      <w:szCs w:val="20"/>
      <w:lang w:val="pl-PL" w:eastAsia="en-GB"/>
    </w:rPr>
  </w:style>
  <w:style w:type="paragraph" w:styleId="Tekstdymka">
    <w:name w:val="Balloon Text"/>
    <w:basedOn w:val="Normalny"/>
    <w:link w:val="TekstdymkaZnak"/>
    <w:rsid w:val="00AF3ACB"/>
    <w:rPr>
      <w:rFonts w:ascii="Tahoma" w:eastAsia="Times New Roman" w:hAnsi="Tahoma" w:cs="Tahoma"/>
      <w:sz w:val="16"/>
      <w:szCs w:val="16"/>
      <w:lang w:eastAsia="en-GB"/>
    </w:rPr>
  </w:style>
  <w:style w:type="character" w:customStyle="1" w:styleId="TekstdymkaZnak">
    <w:name w:val="Tekst dymka Znak"/>
    <w:basedOn w:val="Domylnaczcionkaakapitu"/>
    <w:link w:val="Tekstdymka"/>
    <w:rsid w:val="00AF3ACB"/>
    <w:rPr>
      <w:rFonts w:ascii="Tahoma" w:eastAsia="Times New Roman" w:hAnsi="Tahoma" w:cs="Tahoma"/>
      <w:sz w:val="16"/>
      <w:szCs w:val="16"/>
      <w:lang w:val="pl-PL" w:eastAsia="en-GB"/>
    </w:rPr>
  </w:style>
  <w:style w:type="paragraph" w:styleId="Legenda">
    <w:name w:val="caption"/>
    <w:basedOn w:val="Normalny"/>
    <w:next w:val="Normalny"/>
    <w:qFormat/>
    <w:rsid w:val="00AF3ACB"/>
    <w:rPr>
      <w:rFonts w:eastAsia="Times New Roman"/>
      <w:b/>
      <w:bCs/>
      <w:sz w:val="20"/>
      <w:szCs w:val="20"/>
      <w:lang w:eastAsia="en-GB"/>
    </w:rPr>
  </w:style>
  <w:style w:type="paragraph" w:styleId="Spisilustracji">
    <w:name w:val="table of figures"/>
    <w:basedOn w:val="Normalny"/>
    <w:next w:val="Normalny"/>
    <w:rsid w:val="00AF3ACB"/>
    <w:rPr>
      <w:rFonts w:eastAsia="Times New Roman"/>
      <w:lang w:eastAsia="en-GB"/>
    </w:rPr>
  </w:style>
  <w:style w:type="character" w:styleId="Numerstrony">
    <w:name w:val="page number"/>
    <w:rsid w:val="00AF3ACB"/>
  </w:style>
  <w:style w:type="character" w:customStyle="1" w:styleId="tw4winMark">
    <w:name w:val="tw4winMark"/>
    <w:rsid w:val="00AF3ACB"/>
    <w:rPr>
      <w:vanish/>
      <w:color w:val="800080"/>
      <w:vertAlign w:val="subscript"/>
    </w:rPr>
  </w:style>
  <w:style w:type="character" w:styleId="UyteHipercze">
    <w:name w:val="FollowedHyperlink"/>
    <w:rsid w:val="00AF3ACB"/>
    <w:rPr>
      <w:color w:val="800080"/>
      <w:u w:val="single"/>
    </w:rPr>
  </w:style>
  <w:style w:type="paragraph" w:customStyle="1" w:styleId="Sous-titreobjet">
    <w:name w:val="Sous-titre objet"/>
    <w:basedOn w:val="Normalny"/>
    <w:rsid w:val="00AF3ACB"/>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AF3ACB"/>
  </w:style>
  <w:style w:type="paragraph" w:styleId="Poprawka">
    <w:name w:val="Revision"/>
    <w:hidden/>
    <w:uiPriority w:val="99"/>
    <w:semiHidden/>
    <w:rsid w:val="00AF3ACB"/>
    <w:rPr>
      <w:rFonts w:ascii="Calibri" w:eastAsia="Calibri" w:hAnsi="Calibri" w:cs="Times New Roman"/>
      <w:sz w:val="24"/>
      <w:lang w:eastAsia="en-GB"/>
    </w:rPr>
  </w:style>
  <w:style w:type="paragraph" w:customStyle="1" w:styleId="FooterCoverPage">
    <w:name w:val="Footer Cover Page"/>
    <w:basedOn w:val="Normalny"/>
    <w:link w:val="FooterCoverPageChar"/>
    <w:rsid w:val="00AF3ACB"/>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AF3ACB"/>
    <w:rPr>
      <w:rFonts w:ascii="Times New Roman" w:hAnsi="Times New Roman" w:cs="Times New Roman"/>
      <w:b/>
      <w:sz w:val="28"/>
      <w:lang w:val="pl-PL"/>
    </w:rPr>
  </w:style>
  <w:style w:type="character" w:customStyle="1" w:styleId="FooterCoverPageChar">
    <w:name w:val="Footer Cover Page Char"/>
    <w:link w:val="FooterCoverPage"/>
    <w:rsid w:val="00AF3ACB"/>
    <w:rPr>
      <w:rFonts w:ascii="Times New Roman" w:eastAsia="Calibri" w:hAnsi="Times New Roman" w:cs="Times New Roman"/>
      <w:sz w:val="24"/>
      <w:lang w:val="pl-PL" w:eastAsia="en-GB"/>
    </w:rPr>
  </w:style>
  <w:style w:type="paragraph" w:customStyle="1" w:styleId="HeaderCoverPage">
    <w:name w:val="Header Cover Page"/>
    <w:basedOn w:val="Normalny"/>
    <w:link w:val="HeaderCoverPageChar"/>
    <w:rsid w:val="00AF3ACB"/>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F3ACB"/>
    <w:rPr>
      <w:rFonts w:ascii="Times New Roman" w:eastAsia="Calibri" w:hAnsi="Times New Roman" w:cs="Times New Roman"/>
      <w:sz w:val="24"/>
      <w:lang w:val="pl-PL" w:eastAsia="en-GB"/>
    </w:rPr>
  </w:style>
  <w:style w:type="character" w:customStyle="1" w:styleId="FooterSensitivityChar">
    <w:name w:val="Footer Sensitivity Char"/>
    <w:rsid w:val="00AF3ACB"/>
    <w:rPr>
      <w:rFonts w:ascii="Times New Roman" w:hAnsi="Times New Roman" w:cs="Times New Roman"/>
      <w:b/>
      <w:sz w:val="32"/>
      <w:lang w:val="pl-PL"/>
    </w:rPr>
  </w:style>
  <w:style w:type="character" w:customStyle="1" w:styleId="HeaderSensitivityChar">
    <w:name w:val="Header Sensitivity Char"/>
    <w:rsid w:val="00AF3ACB"/>
    <w:rPr>
      <w:rFonts w:ascii="Times New Roman" w:hAnsi="Times New Roman" w:cs="Times New Roman"/>
      <w:b/>
      <w:sz w:val="32"/>
      <w:lang w:val="pl-PL"/>
    </w:rPr>
  </w:style>
  <w:style w:type="character" w:customStyle="1" w:styleId="HeaderSensitivityRightChar">
    <w:name w:val="Header Sensitivity Right Char"/>
    <w:rsid w:val="00AF3ACB"/>
    <w:rPr>
      <w:rFonts w:ascii="Times New Roman" w:hAnsi="Times New Roman" w:cs="Times New Roman"/>
      <w:sz w:val="28"/>
      <w:lang w:val="pl-PL"/>
    </w:rPr>
  </w:style>
  <w:style w:type="paragraph" w:customStyle="1" w:styleId="LegalNumPar">
    <w:name w:val="LegalNumPar"/>
    <w:basedOn w:val="Normalny"/>
    <w:rsid w:val="00AF3ACB"/>
    <w:pPr>
      <w:numPr>
        <w:numId w:val="16"/>
      </w:numPr>
      <w:spacing w:line="360" w:lineRule="auto"/>
    </w:pPr>
    <w:rPr>
      <w:rFonts w:eastAsia="Times New Roman"/>
      <w:lang w:eastAsia="en-GB"/>
    </w:rPr>
  </w:style>
  <w:style w:type="paragraph" w:customStyle="1" w:styleId="LegalNumPar2">
    <w:name w:val="LegalNumPar2"/>
    <w:basedOn w:val="Normalny"/>
    <w:rsid w:val="00AF3ACB"/>
    <w:pPr>
      <w:numPr>
        <w:ilvl w:val="1"/>
        <w:numId w:val="16"/>
      </w:numPr>
      <w:spacing w:line="360" w:lineRule="auto"/>
    </w:pPr>
    <w:rPr>
      <w:rFonts w:eastAsia="Times New Roman"/>
      <w:lang w:eastAsia="en-GB"/>
    </w:rPr>
  </w:style>
  <w:style w:type="paragraph" w:customStyle="1" w:styleId="LegalNumPar3">
    <w:name w:val="LegalNumPar3"/>
    <w:basedOn w:val="Normalny"/>
    <w:rsid w:val="00AF3ACB"/>
    <w:pPr>
      <w:numPr>
        <w:ilvl w:val="2"/>
        <w:numId w:val="16"/>
      </w:numPr>
      <w:spacing w:line="360" w:lineRule="auto"/>
    </w:pPr>
    <w:rPr>
      <w:rFonts w:eastAsia="Times New Roman"/>
      <w:lang w:eastAsia="en-GB"/>
    </w:rPr>
  </w:style>
  <w:style w:type="paragraph" w:styleId="Akapitzlist">
    <w:name w:val="List Paragraph"/>
    <w:basedOn w:val="Normalny"/>
    <w:uiPriority w:val="34"/>
    <w:qFormat/>
    <w:rsid w:val="00AF3ACB"/>
    <w:pPr>
      <w:ind w:left="720"/>
      <w:contextualSpacing/>
    </w:pPr>
    <w:rPr>
      <w:rFonts w:eastAsia="Times New Roman"/>
      <w:lang w:eastAsia="en-GB"/>
    </w:rPr>
  </w:style>
  <w:style w:type="character" w:customStyle="1" w:styleId="UnresolvedMention1">
    <w:name w:val="Unresolved Mention1"/>
    <w:basedOn w:val="Domylnaczcionkaakapitu"/>
    <w:uiPriority w:val="99"/>
    <w:semiHidden/>
    <w:unhideWhenUsed/>
    <w:rsid w:val="00AF3ACB"/>
    <w:rPr>
      <w:color w:val="605E5C"/>
      <w:shd w:val="clear" w:color="auto" w:fill="E1DFDD"/>
    </w:rPr>
  </w:style>
  <w:style w:type="character" w:styleId="Pogrubienie">
    <w:name w:val="Strong"/>
    <w:basedOn w:val="Domylnaczcionkaakapitu"/>
    <w:qFormat/>
    <w:rsid w:val="00AF3ACB"/>
    <w:rPr>
      <w:b/>
      <w:bCs/>
    </w:rPr>
  </w:style>
  <w:style w:type="character" w:styleId="Uwydatnienie">
    <w:name w:val="Emphasis"/>
    <w:basedOn w:val="Domylnaczcionkaakapitu"/>
    <w:qFormat/>
    <w:rsid w:val="00AF3ACB"/>
    <w:rPr>
      <w:i/>
      <w:iCs/>
    </w:rPr>
  </w:style>
  <w:style w:type="character" w:customStyle="1" w:styleId="Mention1">
    <w:name w:val="Mention1"/>
    <w:basedOn w:val="Domylnaczcionkaakapitu"/>
    <w:uiPriority w:val="99"/>
    <w:unhideWhenUsed/>
    <w:rsid w:val="00AF3ACB"/>
    <w:rPr>
      <w:color w:val="2B579A"/>
      <w:shd w:val="clear" w:color="auto" w:fill="E1DFDD"/>
    </w:rPr>
  </w:style>
  <w:style w:type="character" w:customStyle="1" w:styleId="normaltextrun">
    <w:name w:val="normaltextrun"/>
    <w:basedOn w:val="Domylnaczcionkaakapitu"/>
    <w:rsid w:val="00AF3ACB"/>
  </w:style>
  <w:style w:type="character" w:customStyle="1" w:styleId="eop">
    <w:name w:val="eop"/>
    <w:basedOn w:val="Domylnaczcionkaakapitu"/>
    <w:rsid w:val="00AF3ACB"/>
  </w:style>
  <w:style w:type="paragraph" w:customStyle="1" w:styleId="CharCharChar1">
    <w:name w:val="Char Char Char1"/>
    <w:basedOn w:val="Normalny"/>
    <w:link w:val="Odwoanieprzypisudolnego"/>
    <w:uiPriority w:val="99"/>
    <w:rsid w:val="00AF3ACB"/>
    <w:pPr>
      <w:spacing w:before="0" w:after="160" w:line="240" w:lineRule="exact"/>
    </w:pPr>
    <w:rPr>
      <w:rFonts w:asciiTheme="minorHAnsi" w:hAnsiTheme="minorHAnsi" w:cstheme="minorBidi"/>
      <w:sz w:val="22"/>
      <w:vertAlign w:val="superscript"/>
    </w:rPr>
  </w:style>
  <w:style w:type="character" w:customStyle="1" w:styleId="Nierozpoznanawzmianka1">
    <w:name w:val="Nierozpoznana wzmianka1"/>
    <w:basedOn w:val="Domylnaczcionkaakapitu"/>
    <w:uiPriority w:val="99"/>
    <w:semiHidden/>
    <w:unhideWhenUsed/>
    <w:rsid w:val="00182173"/>
    <w:rPr>
      <w:color w:val="605E5C"/>
      <w:shd w:val="clear" w:color="auto" w:fill="E1DFDD"/>
    </w:rPr>
  </w:style>
  <w:style w:type="character" w:customStyle="1" w:styleId="Wzmianka1">
    <w:name w:val="Wzmianka1"/>
    <w:basedOn w:val="Domylnaczcionkaakapitu"/>
    <w:uiPriority w:val="99"/>
    <w:unhideWhenUsed/>
    <w:rsid w:val="00D048D1"/>
    <w:rPr>
      <w:color w:val="2B579A"/>
      <w:shd w:val="clear" w:color="auto" w:fill="E1DFDD"/>
    </w:rPr>
  </w:style>
  <w:style w:type="character" w:customStyle="1" w:styleId="NagwekZnak">
    <w:name w:val="Nagłówek Znak"/>
    <w:basedOn w:val="Domylnaczcionkaakapitu"/>
    <w:link w:val="Nagwek"/>
    <w:uiPriority w:val="99"/>
    <w:rsid w:val="00F93B7D"/>
    <w:rPr>
      <w:rFonts w:ascii="Times New Roman" w:hAnsi="Times New Roman" w:cs="Times New Roman"/>
      <w:sz w:val="24"/>
      <w:lang w:val="pl-PL"/>
    </w:rPr>
  </w:style>
  <w:style w:type="character" w:customStyle="1" w:styleId="StopkaZnak">
    <w:name w:val="Stopka Znak"/>
    <w:basedOn w:val="Domylnaczcionkaakapitu"/>
    <w:link w:val="Stopka"/>
    <w:uiPriority w:val="99"/>
    <w:rsid w:val="00F93B7D"/>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shd w:val="clear" w:color="auto" w:fill="auto"/>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shd w:val="clear" w:color="auto" w:fill="auto"/>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shd w:val="clear" w:color="auto" w:fill="auto"/>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shd w:val="clear" w:color="auto" w:fill="auto"/>
      <w:lang w:val="en-GB"/>
    </w:rPr>
  </w:style>
  <w:style w:type="character" w:customStyle="1" w:styleId="Nagwek5Znak">
    <w:name w:val="Nagłówek 5 Znak"/>
    <w:basedOn w:val="Domylnaczcionkaakapitu"/>
    <w:link w:val="Nagwek5"/>
    <w:uiPriority w:val="9"/>
    <w:semiHidden/>
    <w:rPr>
      <w:rFonts w:ascii="Times New Roman" w:eastAsiaTheme="majorEastAsia" w:hAnsi="Times New Roman" w:cs="Times New Roman"/>
      <w:sz w:val="24"/>
      <w:shd w:val="clear" w:color="auto" w:fill="auto"/>
      <w:lang w:val="en-GB"/>
    </w:rPr>
  </w:style>
  <w:style w:type="character" w:customStyle="1" w:styleId="Nagwek6Znak">
    <w:name w:val="Nagłówek 6 Znak"/>
    <w:basedOn w:val="Domylnaczcionkaakapitu"/>
    <w:link w:val="Nagwek6"/>
    <w:uiPriority w:val="9"/>
    <w:semiHidden/>
    <w:rPr>
      <w:rFonts w:ascii="Times New Roman" w:eastAsiaTheme="majorEastAsia" w:hAnsi="Times New Roman" w:cs="Times New Roman"/>
      <w:iCs/>
      <w:sz w:val="24"/>
      <w:shd w:val="clear" w:color="auto" w:fill="auto"/>
      <w:lang w:val="en-GB"/>
    </w:rPr>
  </w:style>
  <w:style w:type="character" w:customStyle="1" w:styleId="Nagwek7Znak">
    <w:name w:val="Nagłówek 7 Znak"/>
    <w:basedOn w:val="Domylnaczcionkaakapitu"/>
    <w:link w:val="Nagwek7"/>
    <w:uiPriority w:val="9"/>
    <w:semiHidden/>
    <w:rPr>
      <w:rFonts w:ascii="Times New Roman" w:eastAsiaTheme="majorEastAsia" w:hAnsi="Times New Roman" w:cs="Times New Roman"/>
      <w:iCs/>
      <w:sz w:val="24"/>
      <w:shd w:val="clear" w:color="auto" w:fill="auto"/>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ind w:left="1417" w:hanging="1417"/>
      <w:jc w:val="left"/>
    </w:pPr>
  </w:style>
  <w:style w:type="character" w:styleId="Odwoanieprzypisudolnego">
    <w:name w:val="footnote reference"/>
    <w:basedOn w:val="Domylnaczcionkaakapitu"/>
    <w:link w:val="CharCharChar1"/>
    <w:uiPriority w:val="99"/>
    <w:semiHidden/>
    <w:unhideWhenUsed/>
    <w:rPr>
      <w:shd w:val="clear" w:color="auto" w:fill="auto"/>
      <w:vertAlign w:val="superscript"/>
    </w:rPr>
  </w:style>
  <w:style w:type="paragraph" w:customStyle="1" w:styleId="HeaderSensitivity">
    <w:name w:val="Header Sensitivity"/>
    <w:basedOn w:val="Normalny"/>
    <w:rsid w:val="00F93B7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ny"/>
    <w:rsid w:val="00F93B7D"/>
    <w:pPr>
      <w:spacing w:before="0"/>
      <w:jc w:val="right"/>
    </w:pPr>
    <w:rPr>
      <w:sz w:val="28"/>
    </w:rPr>
  </w:style>
  <w:style w:type="paragraph" w:customStyle="1" w:styleId="FooterSensitivity">
    <w:name w:val="Footer Sensitivity"/>
    <w:basedOn w:val="Normalny"/>
    <w:rsid w:val="00F93B7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Text5">
    <w:name w:val="Text 5"/>
    <w:basedOn w:val="Normalny"/>
    <w:pPr>
      <w:ind w:left="3118"/>
    </w:pPr>
  </w:style>
  <w:style w:type="paragraph" w:customStyle="1" w:styleId="Text6">
    <w:name w:val="Text 6"/>
    <w:basedOn w:val="Normalny"/>
    <w:pPr>
      <w:ind w:left="3685"/>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Point5">
    <w:name w:val="Point 5"/>
    <w:basedOn w:val="Normalny"/>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41"/>
      </w:numPr>
    </w:pPr>
  </w:style>
  <w:style w:type="paragraph" w:customStyle="1" w:styleId="NumPar2">
    <w:name w:val="NumPar 2"/>
    <w:basedOn w:val="Normalny"/>
    <w:next w:val="Text1"/>
    <w:pPr>
      <w:numPr>
        <w:ilvl w:val="1"/>
        <w:numId w:val="41"/>
      </w:numPr>
    </w:pPr>
  </w:style>
  <w:style w:type="paragraph" w:customStyle="1" w:styleId="NumPar3">
    <w:name w:val="NumPar 3"/>
    <w:basedOn w:val="Normalny"/>
    <w:next w:val="Text1"/>
    <w:pPr>
      <w:numPr>
        <w:ilvl w:val="2"/>
        <w:numId w:val="41"/>
      </w:numPr>
    </w:pPr>
  </w:style>
  <w:style w:type="paragraph" w:customStyle="1" w:styleId="NumPar4">
    <w:name w:val="NumPar 4"/>
    <w:basedOn w:val="Normalny"/>
    <w:next w:val="Text1"/>
    <w:pPr>
      <w:numPr>
        <w:ilvl w:val="3"/>
        <w:numId w:val="41"/>
      </w:numPr>
    </w:pPr>
  </w:style>
  <w:style w:type="paragraph" w:customStyle="1" w:styleId="NumPar5">
    <w:name w:val="NumPar 5"/>
    <w:basedOn w:val="Normalny"/>
    <w:next w:val="Text2"/>
    <w:pPr>
      <w:numPr>
        <w:ilvl w:val="4"/>
        <w:numId w:val="41"/>
      </w:numPr>
    </w:pPr>
  </w:style>
  <w:style w:type="paragraph" w:customStyle="1" w:styleId="NumPar6">
    <w:name w:val="NumPar 6"/>
    <w:basedOn w:val="Normalny"/>
    <w:next w:val="Text2"/>
    <w:pPr>
      <w:numPr>
        <w:ilvl w:val="5"/>
        <w:numId w:val="41"/>
      </w:numPr>
    </w:pPr>
  </w:style>
  <w:style w:type="paragraph" w:customStyle="1" w:styleId="NumPar7">
    <w:name w:val="NumPar 7"/>
    <w:basedOn w:val="Normalny"/>
    <w:next w:val="Text2"/>
    <w:pPr>
      <w:numPr>
        <w:ilvl w:val="6"/>
        <w:numId w:val="41"/>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ManualNumPar5">
    <w:name w:val="Manual NumPar 5"/>
    <w:basedOn w:val="Normalny"/>
    <w:next w:val="Text2"/>
    <w:pPr>
      <w:ind w:left="1417" w:hanging="1417"/>
    </w:pPr>
  </w:style>
  <w:style w:type="paragraph" w:customStyle="1" w:styleId="ManualNumPar6">
    <w:name w:val="Manual NumPar 6"/>
    <w:basedOn w:val="Normalny"/>
    <w:next w:val="Text2"/>
    <w:pPr>
      <w:ind w:left="1417" w:hanging="1417"/>
    </w:pPr>
  </w:style>
  <w:style w:type="paragraph" w:customStyle="1" w:styleId="ManualNumPar7">
    <w:name w:val="Manual NumPar 7"/>
    <w:basedOn w:val="Normalny"/>
    <w:next w:val="Text2"/>
    <w:pPr>
      <w:ind w:left="1417" w:hanging="1417"/>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ManualHeading5">
    <w:name w:val="Manual Heading 5"/>
    <w:basedOn w:val="Normalny"/>
    <w:next w:val="Text2"/>
    <w:pPr>
      <w:keepNext/>
      <w:tabs>
        <w:tab w:val="left" w:pos="1417"/>
      </w:tabs>
      <w:ind w:left="1417" w:hanging="1417"/>
      <w:outlineLvl w:val="4"/>
    </w:pPr>
  </w:style>
  <w:style w:type="paragraph" w:customStyle="1" w:styleId="ManualHeading6">
    <w:name w:val="Manual Heading 6"/>
    <w:basedOn w:val="Normalny"/>
    <w:next w:val="Text2"/>
    <w:pPr>
      <w:keepNext/>
      <w:tabs>
        <w:tab w:val="left" w:pos="1417"/>
      </w:tabs>
      <w:ind w:left="1417" w:hanging="1417"/>
      <w:outlineLvl w:val="5"/>
    </w:pPr>
  </w:style>
  <w:style w:type="paragraph" w:customStyle="1" w:styleId="ManualHeading7">
    <w:name w:val="Manual Heading 7"/>
    <w:basedOn w:val="Normalny"/>
    <w:next w:val="Text2"/>
    <w:pPr>
      <w:keepNext/>
      <w:tabs>
        <w:tab w:val="left" w:pos="1417"/>
      </w:tabs>
      <w:ind w:left="1417" w:hanging="1417"/>
      <w:outlineLvl w:val="6"/>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43"/>
      </w:numPr>
    </w:pPr>
  </w:style>
  <w:style w:type="paragraph" w:customStyle="1" w:styleId="Point1number">
    <w:name w:val="Point 1 (number)"/>
    <w:basedOn w:val="Normalny"/>
    <w:pPr>
      <w:numPr>
        <w:ilvl w:val="2"/>
        <w:numId w:val="43"/>
      </w:numPr>
    </w:pPr>
  </w:style>
  <w:style w:type="paragraph" w:customStyle="1" w:styleId="Point2number">
    <w:name w:val="Point 2 (number)"/>
    <w:basedOn w:val="Normalny"/>
    <w:pPr>
      <w:numPr>
        <w:ilvl w:val="4"/>
        <w:numId w:val="43"/>
      </w:numPr>
    </w:pPr>
  </w:style>
  <w:style w:type="paragraph" w:customStyle="1" w:styleId="Point3number">
    <w:name w:val="Point 3 (number)"/>
    <w:basedOn w:val="Normalny"/>
    <w:pPr>
      <w:numPr>
        <w:ilvl w:val="6"/>
        <w:numId w:val="43"/>
      </w:numPr>
    </w:pPr>
  </w:style>
  <w:style w:type="paragraph" w:customStyle="1" w:styleId="Point0letter">
    <w:name w:val="Point 0 (letter)"/>
    <w:basedOn w:val="Normalny"/>
    <w:pPr>
      <w:numPr>
        <w:ilvl w:val="1"/>
        <w:numId w:val="43"/>
      </w:numPr>
    </w:pPr>
  </w:style>
  <w:style w:type="paragraph" w:customStyle="1" w:styleId="Point1letter">
    <w:name w:val="Point 1 (letter)"/>
    <w:basedOn w:val="Normalny"/>
    <w:pPr>
      <w:numPr>
        <w:ilvl w:val="3"/>
        <w:numId w:val="43"/>
      </w:numPr>
    </w:pPr>
  </w:style>
  <w:style w:type="paragraph" w:customStyle="1" w:styleId="Point2letter">
    <w:name w:val="Point 2 (letter)"/>
    <w:basedOn w:val="Normalny"/>
    <w:pPr>
      <w:numPr>
        <w:ilvl w:val="5"/>
        <w:numId w:val="43"/>
      </w:numPr>
    </w:pPr>
  </w:style>
  <w:style w:type="paragraph" w:customStyle="1" w:styleId="Point3letter">
    <w:name w:val="Point 3 (letter)"/>
    <w:basedOn w:val="Normalny"/>
    <w:pPr>
      <w:numPr>
        <w:ilvl w:val="7"/>
        <w:numId w:val="43"/>
      </w:numPr>
    </w:pPr>
  </w:style>
  <w:style w:type="paragraph" w:customStyle="1" w:styleId="Point4letter">
    <w:name w:val="Point 4 (letter)"/>
    <w:basedOn w:val="Normalny"/>
    <w:pPr>
      <w:numPr>
        <w:ilvl w:val="8"/>
        <w:numId w:val="43"/>
      </w:numPr>
    </w:pPr>
  </w:style>
  <w:style w:type="paragraph" w:customStyle="1" w:styleId="Bullet0">
    <w:name w:val="Bullet 0"/>
    <w:basedOn w:val="Normalny"/>
    <w:pPr>
      <w:numPr>
        <w:numId w:val="44"/>
      </w:numPr>
    </w:pPr>
  </w:style>
  <w:style w:type="paragraph" w:customStyle="1" w:styleId="Bullet1">
    <w:name w:val="Bullet 1"/>
    <w:basedOn w:val="Normalny"/>
    <w:pPr>
      <w:numPr>
        <w:numId w:val="45"/>
      </w:numPr>
    </w:pPr>
  </w:style>
  <w:style w:type="paragraph" w:customStyle="1" w:styleId="Bullet2">
    <w:name w:val="Bullet 2"/>
    <w:basedOn w:val="Normalny"/>
    <w:pPr>
      <w:numPr>
        <w:numId w:val="46"/>
      </w:numPr>
    </w:pPr>
  </w:style>
  <w:style w:type="paragraph" w:customStyle="1" w:styleId="Bullet3">
    <w:name w:val="Bullet 3"/>
    <w:basedOn w:val="Normalny"/>
    <w:pPr>
      <w:numPr>
        <w:numId w:val="47"/>
      </w:numPr>
    </w:pPr>
  </w:style>
  <w:style w:type="paragraph" w:customStyle="1" w:styleId="Bullet4">
    <w:name w:val="Bullet 4"/>
    <w:basedOn w:val="Normalny"/>
    <w:pPr>
      <w:numPr>
        <w:numId w:val="48"/>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ny"/>
    <w:pPr>
      <w:spacing w:before="0" w:after="0" w:line="276" w:lineRule="auto"/>
      <w:ind w:left="5103"/>
      <w:jc w:val="left"/>
    </w:pPr>
    <w:rPr>
      <w:sz w:val="28"/>
    </w:rPr>
  </w:style>
  <w:style w:type="paragraph" w:customStyle="1" w:styleId="DateMarking">
    <w:name w:val="DateMarking"/>
    <w:basedOn w:val="Normalny"/>
    <w:pPr>
      <w:spacing w:before="0" w:after="0" w:line="276" w:lineRule="auto"/>
      <w:ind w:left="5103"/>
      <w:jc w:val="left"/>
    </w:pPr>
    <w:rPr>
      <w:i/>
      <w:sz w:val="28"/>
    </w:rPr>
  </w:style>
  <w:style w:type="paragraph" w:customStyle="1" w:styleId="ReleasableTo">
    <w:name w:val="ReleasableTo"/>
    <w:basedOn w:val="Normalny"/>
    <w:pPr>
      <w:spacing w:before="0" w:after="0" w:line="276" w:lineRule="auto"/>
      <w:ind w:left="5103"/>
      <w:jc w:val="left"/>
    </w:pPr>
    <w:rPr>
      <w:i/>
      <w:sz w:val="28"/>
    </w:r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49"/>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IntrtEEE"/>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rsid w:val="00E664ED"/>
    <w:pPr>
      <w:spacing w:before="360" w:after="24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rsid w:val="00E664ED"/>
    <w:pPr>
      <w:spacing w:after="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Normalny"/>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Rfrencecroise"/>
    <w:rsid w:val="00E664ED"/>
    <w:pPr>
      <w:spacing w:before="360" w:after="240"/>
      <w:jc w:val="center"/>
    </w:pPr>
  </w:style>
  <w:style w:type="paragraph" w:styleId="Nagwek">
    <w:name w:val="header"/>
    <w:basedOn w:val="Normalny"/>
    <w:link w:val="NagwekZnak"/>
    <w:uiPriority w:val="99"/>
    <w:unhideWhenUsed/>
    <w:rsid w:val="00F93B7D"/>
    <w:pPr>
      <w:tabs>
        <w:tab w:val="center" w:pos="4535"/>
        <w:tab w:val="right" w:pos="9071"/>
      </w:tabs>
      <w:spacing w:before="0"/>
    </w:pPr>
  </w:style>
  <w:style w:type="paragraph" w:customStyle="1" w:styleId="HeaderLandscape">
    <w:name w:val="HeaderLandscape"/>
    <w:basedOn w:val="Normalny"/>
    <w:rsid w:val="00F93B7D"/>
    <w:pPr>
      <w:tabs>
        <w:tab w:val="center" w:pos="7285"/>
        <w:tab w:val="right" w:pos="14003"/>
      </w:tabs>
      <w:spacing w:before="0"/>
    </w:pPr>
  </w:style>
  <w:style w:type="paragraph" w:styleId="Stopka">
    <w:name w:val="footer"/>
    <w:basedOn w:val="Normalny"/>
    <w:link w:val="StopkaZnak"/>
    <w:uiPriority w:val="99"/>
    <w:unhideWhenUsed/>
    <w:rsid w:val="00F93B7D"/>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F93B7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dec/2015/1814/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D06AD-DE94-4A92-AB6D-4975F0A1CF8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1F0EFC03-7E8C-419E-9B7D-BB172308E13F}">
  <ds:schemaRefs>
    <ds:schemaRef ds:uri="http://schemas.openxmlformats.org/officeDocument/2006/bibliography"/>
  </ds:schemaRefs>
</ds:datastoreItem>
</file>

<file path=customXml/itemProps3.xml><?xml version="1.0" encoding="utf-8"?>
<ds:datastoreItem xmlns:ds="http://schemas.openxmlformats.org/officeDocument/2006/customXml" ds:itemID="{5A69D522-0FA0-4F2D-B201-B6C852192776}">
  <ds:schemaRefs>
    <ds:schemaRef ds:uri="http://schemas.microsoft.com/sharepoint/v3/contenttype/forms"/>
  </ds:schemaRefs>
</ds:datastoreItem>
</file>

<file path=customXml/itemProps4.xml><?xml version="1.0" encoding="utf-8"?>
<ds:datastoreItem xmlns:ds="http://schemas.openxmlformats.org/officeDocument/2006/customXml" ds:itemID="{B93472D6-3E26-4347-A160-25E6D7A8C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Template>
  <TotalTime>4</TotalTime>
  <Pages>25</Pages>
  <Words>6411</Words>
  <Characters>38466</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44788</CharactersWithSpaces>
  <SharedDoc>false</SharedDoc>
  <HLinks>
    <vt:vector size="270" baseType="variant">
      <vt:variant>
        <vt:i4>1310777</vt:i4>
      </vt:variant>
      <vt:variant>
        <vt:i4>260</vt:i4>
      </vt:variant>
      <vt:variant>
        <vt:i4>0</vt:i4>
      </vt:variant>
      <vt:variant>
        <vt:i4>5</vt:i4>
      </vt:variant>
      <vt:variant>
        <vt:lpwstr/>
      </vt:variant>
      <vt:variant>
        <vt:lpwstr>_Toc211526813</vt:lpwstr>
      </vt:variant>
      <vt:variant>
        <vt:i4>1310777</vt:i4>
      </vt:variant>
      <vt:variant>
        <vt:i4>254</vt:i4>
      </vt:variant>
      <vt:variant>
        <vt:i4>0</vt:i4>
      </vt:variant>
      <vt:variant>
        <vt:i4>5</vt:i4>
      </vt:variant>
      <vt:variant>
        <vt:lpwstr/>
      </vt:variant>
      <vt:variant>
        <vt:lpwstr>_Toc211526812</vt:lpwstr>
      </vt:variant>
      <vt:variant>
        <vt:i4>1310777</vt:i4>
      </vt:variant>
      <vt:variant>
        <vt:i4>248</vt:i4>
      </vt:variant>
      <vt:variant>
        <vt:i4>0</vt:i4>
      </vt:variant>
      <vt:variant>
        <vt:i4>5</vt:i4>
      </vt:variant>
      <vt:variant>
        <vt:lpwstr/>
      </vt:variant>
      <vt:variant>
        <vt:lpwstr>_Toc211526811</vt:lpwstr>
      </vt:variant>
      <vt:variant>
        <vt:i4>1310777</vt:i4>
      </vt:variant>
      <vt:variant>
        <vt:i4>242</vt:i4>
      </vt:variant>
      <vt:variant>
        <vt:i4>0</vt:i4>
      </vt:variant>
      <vt:variant>
        <vt:i4>5</vt:i4>
      </vt:variant>
      <vt:variant>
        <vt:lpwstr/>
      </vt:variant>
      <vt:variant>
        <vt:lpwstr>_Toc211526810</vt:lpwstr>
      </vt:variant>
      <vt:variant>
        <vt:i4>1376313</vt:i4>
      </vt:variant>
      <vt:variant>
        <vt:i4>236</vt:i4>
      </vt:variant>
      <vt:variant>
        <vt:i4>0</vt:i4>
      </vt:variant>
      <vt:variant>
        <vt:i4>5</vt:i4>
      </vt:variant>
      <vt:variant>
        <vt:lpwstr/>
      </vt:variant>
      <vt:variant>
        <vt:lpwstr>_Toc211526809</vt:lpwstr>
      </vt:variant>
      <vt:variant>
        <vt:i4>1376313</vt:i4>
      </vt:variant>
      <vt:variant>
        <vt:i4>230</vt:i4>
      </vt:variant>
      <vt:variant>
        <vt:i4>0</vt:i4>
      </vt:variant>
      <vt:variant>
        <vt:i4>5</vt:i4>
      </vt:variant>
      <vt:variant>
        <vt:lpwstr/>
      </vt:variant>
      <vt:variant>
        <vt:lpwstr>_Toc211526808</vt:lpwstr>
      </vt:variant>
      <vt:variant>
        <vt:i4>1376313</vt:i4>
      </vt:variant>
      <vt:variant>
        <vt:i4>224</vt:i4>
      </vt:variant>
      <vt:variant>
        <vt:i4>0</vt:i4>
      </vt:variant>
      <vt:variant>
        <vt:i4>5</vt:i4>
      </vt:variant>
      <vt:variant>
        <vt:lpwstr/>
      </vt:variant>
      <vt:variant>
        <vt:lpwstr>_Toc211526807</vt:lpwstr>
      </vt:variant>
      <vt:variant>
        <vt:i4>1376313</vt:i4>
      </vt:variant>
      <vt:variant>
        <vt:i4>218</vt:i4>
      </vt:variant>
      <vt:variant>
        <vt:i4>0</vt:i4>
      </vt:variant>
      <vt:variant>
        <vt:i4>5</vt:i4>
      </vt:variant>
      <vt:variant>
        <vt:lpwstr/>
      </vt:variant>
      <vt:variant>
        <vt:lpwstr>_Toc211526806</vt:lpwstr>
      </vt:variant>
      <vt:variant>
        <vt:i4>1376313</vt:i4>
      </vt:variant>
      <vt:variant>
        <vt:i4>212</vt:i4>
      </vt:variant>
      <vt:variant>
        <vt:i4>0</vt:i4>
      </vt:variant>
      <vt:variant>
        <vt:i4>5</vt:i4>
      </vt:variant>
      <vt:variant>
        <vt:lpwstr/>
      </vt:variant>
      <vt:variant>
        <vt:lpwstr>_Toc211526805</vt:lpwstr>
      </vt:variant>
      <vt:variant>
        <vt:i4>1376313</vt:i4>
      </vt:variant>
      <vt:variant>
        <vt:i4>206</vt:i4>
      </vt:variant>
      <vt:variant>
        <vt:i4>0</vt:i4>
      </vt:variant>
      <vt:variant>
        <vt:i4>5</vt:i4>
      </vt:variant>
      <vt:variant>
        <vt:lpwstr/>
      </vt:variant>
      <vt:variant>
        <vt:lpwstr>_Toc211526804</vt:lpwstr>
      </vt:variant>
      <vt:variant>
        <vt:i4>1376313</vt:i4>
      </vt:variant>
      <vt:variant>
        <vt:i4>200</vt:i4>
      </vt:variant>
      <vt:variant>
        <vt:i4>0</vt:i4>
      </vt:variant>
      <vt:variant>
        <vt:i4>5</vt:i4>
      </vt:variant>
      <vt:variant>
        <vt:lpwstr/>
      </vt:variant>
      <vt:variant>
        <vt:lpwstr>_Toc211526803</vt:lpwstr>
      </vt:variant>
      <vt:variant>
        <vt:i4>1376313</vt:i4>
      </vt:variant>
      <vt:variant>
        <vt:i4>194</vt:i4>
      </vt:variant>
      <vt:variant>
        <vt:i4>0</vt:i4>
      </vt:variant>
      <vt:variant>
        <vt:i4>5</vt:i4>
      </vt:variant>
      <vt:variant>
        <vt:lpwstr/>
      </vt:variant>
      <vt:variant>
        <vt:lpwstr>_Toc211526802</vt:lpwstr>
      </vt:variant>
      <vt:variant>
        <vt:i4>1376313</vt:i4>
      </vt:variant>
      <vt:variant>
        <vt:i4>188</vt:i4>
      </vt:variant>
      <vt:variant>
        <vt:i4>0</vt:i4>
      </vt:variant>
      <vt:variant>
        <vt:i4>5</vt:i4>
      </vt:variant>
      <vt:variant>
        <vt:lpwstr/>
      </vt:variant>
      <vt:variant>
        <vt:lpwstr>_Toc211526801</vt:lpwstr>
      </vt:variant>
      <vt:variant>
        <vt:i4>1376313</vt:i4>
      </vt:variant>
      <vt:variant>
        <vt:i4>182</vt:i4>
      </vt:variant>
      <vt:variant>
        <vt:i4>0</vt:i4>
      </vt:variant>
      <vt:variant>
        <vt:i4>5</vt:i4>
      </vt:variant>
      <vt:variant>
        <vt:lpwstr/>
      </vt:variant>
      <vt:variant>
        <vt:lpwstr>_Toc211526800</vt:lpwstr>
      </vt:variant>
      <vt:variant>
        <vt:i4>1835062</vt:i4>
      </vt:variant>
      <vt:variant>
        <vt:i4>176</vt:i4>
      </vt:variant>
      <vt:variant>
        <vt:i4>0</vt:i4>
      </vt:variant>
      <vt:variant>
        <vt:i4>5</vt:i4>
      </vt:variant>
      <vt:variant>
        <vt:lpwstr/>
      </vt:variant>
      <vt:variant>
        <vt:lpwstr>_Toc211526799</vt:lpwstr>
      </vt:variant>
      <vt:variant>
        <vt:i4>1835062</vt:i4>
      </vt:variant>
      <vt:variant>
        <vt:i4>170</vt:i4>
      </vt:variant>
      <vt:variant>
        <vt:i4>0</vt:i4>
      </vt:variant>
      <vt:variant>
        <vt:i4>5</vt:i4>
      </vt:variant>
      <vt:variant>
        <vt:lpwstr/>
      </vt:variant>
      <vt:variant>
        <vt:lpwstr>_Toc211526798</vt:lpwstr>
      </vt:variant>
      <vt:variant>
        <vt:i4>1835062</vt:i4>
      </vt:variant>
      <vt:variant>
        <vt:i4>164</vt:i4>
      </vt:variant>
      <vt:variant>
        <vt:i4>0</vt:i4>
      </vt:variant>
      <vt:variant>
        <vt:i4>5</vt:i4>
      </vt:variant>
      <vt:variant>
        <vt:lpwstr/>
      </vt:variant>
      <vt:variant>
        <vt:lpwstr>_Toc211526797</vt:lpwstr>
      </vt:variant>
      <vt:variant>
        <vt:i4>1835062</vt:i4>
      </vt:variant>
      <vt:variant>
        <vt:i4>158</vt:i4>
      </vt:variant>
      <vt:variant>
        <vt:i4>0</vt:i4>
      </vt:variant>
      <vt:variant>
        <vt:i4>5</vt:i4>
      </vt:variant>
      <vt:variant>
        <vt:lpwstr/>
      </vt:variant>
      <vt:variant>
        <vt:lpwstr>_Toc211526796</vt:lpwstr>
      </vt:variant>
      <vt:variant>
        <vt:i4>1835062</vt:i4>
      </vt:variant>
      <vt:variant>
        <vt:i4>152</vt:i4>
      </vt:variant>
      <vt:variant>
        <vt:i4>0</vt:i4>
      </vt:variant>
      <vt:variant>
        <vt:i4>5</vt:i4>
      </vt:variant>
      <vt:variant>
        <vt:lpwstr/>
      </vt:variant>
      <vt:variant>
        <vt:lpwstr>_Toc211526795</vt:lpwstr>
      </vt:variant>
      <vt:variant>
        <vt:i4>1835062</vt:i4>
      </vt:variant>
      <vt:variant>
        <vt:i4>146</vt:i4>
      </vt:variant>
      <vt:variant>
        <vt:i4>0</vt:i4>
      </vt:variant>
      <vt:variant>
        <vt:i4>5</vt:i4>
      </vt:variant>
      <vt:variant>
        <vt:lpwstr/>
      </vt:variant>
      <vt:variant>
        <vt:lpwstr>_Toc211526794</vt:lpwstr>
      </vt:variant>
      <vt:variant>
        <vt:i4>1835062</vt:i4>
      </vt:variant>
      <vt:variant>
        <vt:i4>140</vt:i4>
      </vt:variant>
      <vt:variant>
        <vt:i4>0</vt:i4>
      </vt:variant>
      <vt:variant>
        <vt:i4>5</vt:i4>
      </vt:variant>
      <vt:variant>
        <vt:lpwstr/>
      </vt:variant>
      <vt:variant>
        <vt:lpwstr>_Toc211526793</vt:lpwstr>
      </vt:variant>
      <vt:variant>
        <vt:i4>1835062</vt:i4>
      </vt:variant>
      <vt:variant>
        <vt:i4>134</vt:i4>
      </vt:variant>
      <vt:variant>
        <vt:i4>0</vt:i4>
      </vt:variant>
      <vt:variant>
        <vt:i4>5</vt:i4>
      </vt:variant>
      <vt:variant>
        <vt:lpwstr/>
      </vt:variant>
      <vt:variant>
        <vt:lpwstr>_Toc211526792</vt:lpwstr>
      </vt:variant>
      <vt:variant>
        <vt:i4>1835062</vt:i4>
      </vt:variant>
      <vt:variant>
        <vt:i4>128</vt:i4>
      </vt:variant>
      <vt:variant>
        <vt:i4>0</vt:i4>
      </vt:variant>
      <vt:variant>
        <vt:i4>5</vt:i4>
      </vt:variant>
      <vt:variant>
        <vt:lpwstr/>
      </vt:variant>
      <vt:variant>
        <vt:lpwstr>_Toc211526791</vt:lpwstr>
      </vt:variant>
      <vt:variant>
        <vt:i4>1835062</vt:i4>
      </vt:variant>
      <vt:variant>
        <vt:i4>122</vt:i4>
      </vt:variant>
      <vt:variant>
        <vt:i4>0</vt:i4>
      </vt:variant>
      <vt:variant>
        <vt:i4>5</vt:i4>
      </vt:variant>
      <vt:variant>
        <vt:lpwstr/>
      </vt:variant>
      <vt:variant>
        <vt:lpwstr>_Toc211526790</vt:lpwstr>
      </vt:variant>
      <vt:variant>
        <vt:i4>1900598</vt:i4>
      </vt:variant>
      <vt:variant>
        <vt:i4>116</vt:i4>
      </vt:variant>
      <vt:variant>
        <vt:i4>0</vt:i4>
      </vt:variant>
      <vt:variant>
        <vt:i4>5</vt:i4>
      </vt:variant>
      <vt:variant>
        <vt:lpwstr/>
      </vt:variant>
      <vt:variant>
        <vt:lpwstr>_Toc211526789</vt:lpwstr>
      </vt:variant>
      <vt:variant>
        <vt:i4>1900598</vt:i4>
      </vt:variant>
      <vt:variant>
        <vt:i4>110</vt:i4>
      </vt:variant>
      <vt:variant>
        <vt:i4>0</vt:i4>
      </vt:variant>
      <vt:variant>
        <vt:i4>5</vt:i4>
      </vt:variant>
      <vt:variant>
        <vt:lpwstr/>
      </vt:variant>
      <vt:variant>
        <vt:lpwstr>_Toc211526788</vt:lpwstr>
      </vt:variant>
      <vt:variant>
        <vt:i4>1900598</vt:i4>
      </vt:variant>
      <vt:variant>
        <vt:i4>104</vt:i4>
      </vt:variant>
      <vt:variant>
        <vt:i4>0</vt:i4>
      </vt:variant>
      <vt:variant>
        <vt:i4>5</vt:i4>
      </vt:variant>
      <vt:variant>
        <vt:lpwstr/>
      </vt:variant>
      <vt:variant>
        <vt:lpwstr>_Toc211526787</vt:lpwstr>
      </vt:variant>
      <vt:variant>
        <vt:i4>1900598</vt:i4>
      </vt:variant>
      <vt:variant>
        <vt:i4>98</vt:i4>
      </vt:variant>
      <vt:variant>
        <vt:i4>0</vt:i4>
      </vt:variant>
      <vt:variant>
        <vt:i4>5</vt:i4>
      </vt:variant>
      <vt:variant>
        <vt:lpwstr/>
      </vt:variant>
      <vt:variant>
        <vt:lpwstr>_Toc211526786</vt:lpwstr>
      </vt:variant>
      <vt:variant>
        <vt:i4>1900598</vt:i4>
      </vt:variant>
      <vt:variant>
        <vt:i4>92</vt:i4>
      </vt:variant>
      <vt:variant>
        <vt:i4>0</vt:i4>
      </vt:variant>
      <vt:variant>
        <vt:i4>5</vt:i4>
      </vt:variant>
      <vt:variant>
        <vt:lpwstr/>
      </vt:variant>
      <vt:variant>
        <vt:lpwstr>_Toc211526785</vt:lpwstr>
      </vt:variant>
      <vt:variant>
        <vt:i4>1900598</vt:i4>
      </vt:variant>
      <vt:variant>
        <vt:i4>86</vt:i4>
      </vt:variant>
      <vt:variant>
        <vt:i4>0</vt:i4>
      </vt:variant>
      <vt:variant>
        <vt:i4>5</vt:i4>
      </vt:variant>
      <vt:variant>
        <vt:lpwstr/>
      </vt:variant>
      <vt:variant>
        <vt:lpwstr>_Toc211526784</vt:lpwstr>
      </vt:variant>
      <vt:variant>
        <vt:i4>1900598</vt:i4>
      </vt:variant>
      <vt:variant>
        <vt:i4>80</vt:i4>
      </vt:variant>
      <vt:variant>
        <vt:i4>0</vt:i4>
      </vt:variant>
      <vt:variant>
        <vt:i4>5</vt:i4>
      </vt:variant>
      <vt:variant>
        <vt:lpwstr/>
      </vt:variant>
      <vt:variant>
        <vt:lpwstr>_Toc211526783</vt:lpwstr>
      </vt:variant>
      <vt:variant>
        <vt:i4>1900598</vt:i4>
      </vt:variant>
      <vt:variant>
        <vt:i4>74</vt:i4>
      </vt:variant>
      <vt:variant>
        <vt:i4>0</vt:i4>
      </vt:variant>
      <vt:variant>
        <vt:i4>5</vt:i4>
      </vt:variant>
      <vt:variant>
        <vt:lpwstr/>
      </vt:variant>
      <vt:variant>
        <vt:lpwstr>_Toc211526782</vt:lpwstr>
      </vt:variant>
      <vt:variant>
        <vt:i4>1900598</vt:i4>
      </vt:variant>
      <vt:variant>
        <vt:i4>68</vt:i4>
      </vt:variant>
      <vt:variant>
        <vt:i4>0</vt:i4>
      </vt:variant>
      <vt:variant>
        <vt:i4>5</vt:i4>
      </vt:variant>
      <vt:variant>
        <vt:lpwstr/>
      </vt:variant>
      <vt:variant>
        <vt:lpwstr>_Toc211526781</vt:lpwstr>
      </vt:variant>
      <vt:variant>
        <vt:i4>1900598</vt:i4>
      </vt:variant>
      <vt:variant>
        <vt:i4>62</vt:i4>
      </vt:variant>
      <vt:variant>
        <vt:i4>0</vt:i4>
      </vt:variant>
      <vt:variant>
        <vt:i4>5</vt:i4>
      </vt:variant>
      <vt:variant>
        <vt:lpwstr/>
      </vt:variant>
      <vt:variant>
        <vt:lpwstr>_Toc211526780</vt:lpwstr>
      </vt:variant>
      <vt:variant>
        <vt:i4>1179702</vt:i4>
      </vt:variant>
      <vt:variant>
        <vt:i4>56</vt:i4>
      </vt:variant>
      <vt:variant>
        <vt:i4>0</vt:i4>
      </vt:variant>
      <vt:variant>
        <vt:i4>5</vt:i4>
      </vt:variant>
      <vt:variant>
        <vt:lpwstr/>
      </vt:variant>
      <vt:variant>
        <vt:lpwstr>_Toc211526779</vt:lpwstr>
      </vt:variant>
      <vt:variant>
        <vt:i4>1179702</vt:i4>
      </vt:variant>
      <vt:variant>
        <vt:i4>50</vt:i4>
      </vt:variant>
      <vt:variant>
        <vt:i4>0</vt:i4>
      </vt:variant>
      <vt:variant>
        <vt:i4>5</vt:i4>
      </vt:variant>
      <vt:variant>
        <vt:lpwstr/>
      </vt:variant>
      <vt:variant>
        <vt:lpwstr>_Toc211526778</vt:lpwstr>
      </vt:variant>
      <vt:variant>
        <vt:i4>1179702</vt:i4>
      </vt:variant>
      <vt:variant>
        <vt:i4>44</vt:i4>
      </vt:variant>
      <vt:variant>
        <vt:i4>0</vt:i4>
      </vt:variant>
      <vt:variant>
        <vt:i4>5</vt:i4>
      </vt:variant>
      <vt:variant>
        <vt:lpwstr/>
      </vt:variant>
      <vt:variant>
        <vt:lpwstr>_Toc211526777</vt:lpwstr>
      </vt:variant>
      <vt:variant>
        <vt:i4>1179702</vt:i4>
      </vt:variant>
      <vt:variant>
        <vt:i4>38</vt:i4>
      </vt:variant>
      <vt:variant>
        <vt:i4>0</vt:i4>
      </vt:variant>
      <vt:variant>
        <vt:i4>5</vt:i4>
      </vt:variant>
      <vt:variant>
        <vt:lpwstr/>
      </vt:variant>
      <vt:variant>
        <vt:lpwstr>_Toc211526776</vt:lpwstr>
      </vt:variant>
      <vt:variant>
        <vt:i4>1179702</vt:i4>
      </vt:variant>
      <vt:variant>
        <vt:i4>32</vt:i4>
      </vt:variant>
      <vt:variant>
        <vt:i4>0</vt:i4>
      </vt:variant>
      <vt:variant>
        <vt:i4>5</vt:i4>
      </vt:variant>
      <vt:variant>
        <vt:lpwstr/>
      </vt:variant>
      <vt:variant>
        <vt:lpwstr>_Toc211526775</vt:lpwstr>
      </vt:variant>
      <vt:variant>
        <vt:i4>1179702</vt:i4>
      </vt:variant>
      <vt:variant>
        <vt:i4>26</vt:i4>
      </vt:variant>
      <vt:variant>
        <vt:i4>0</vt:i4>
      </vt:variant>
      <vt:variant>
        <vt:i4>5</vt:i4>
      </vt:variant>
      <vt:variant>
        <vt:lpwstr/>
      </vt:variant>
      <vt:variant>
        <vt:lpwstr>_Toc211526774</vt:lpwstr>
      </vt:variant>
      <vt:variant>
        <vt:i4>1179702</vt:i4>
      </vt:variant>
      <vt:variant>
        <vt:i4>20</vt:i4>
      </vt:variant>
      <vt:variant>
        <vt:i4>0</vt:i4>
      </vt:variant>
      <vt:variant>
        <vt:i4>5</vt:i4>
      </vt:variant>
      <vt:variant>
        <vt:lpwstr/>
      </vt:variant>
      <vt:variant>
        <vt:lpwstr>_Toc211526773</vt:lpwstr>
      </vt:variant>
      <vt:variant>
        <vt:i4>1179702</vt:i4>
      </vt:variant>
      <vt:variant>
        <vt:i4>14</vt:i4>
      </vt:variant>
      <vt:variant>
        <vt:i4>0</vt:i4>
      </vt:variant>
      <vt:variant>
        <vt:i4>5</vt:i4>
      </vt:variant>
      <vt:variant>
        <vt:lpwstr/>
      </vt:variant>
      <vt:variant>
        <vt:lpwstr>_Toc211526772</vt:lpwstr>
      </vt:variant>
      <vt:variant>
        <vt:i4>1179702</vt:i4>
      </vt:variant>
      <vt:variant>
        <vt:i4>8</vt:i4>
      </vt:variant>
      <vt:variant>
        <vt:i4>0</vt:i4>
      </vt:variant>
      <vt:variant>
        <vt:i4>5</vt:i4>
      </vt:variant>
      <vt:variant>
        <vt:lpwstr/>
      </vt:variant>
      <vt:variant>
        <vt:lpwstr>_Toc211526771</vt:lpwstr>
      </vt:variant>
      <vt:variant>
        <vt:i4>1179702</vt:i4>
      </vt:variant>
      <vt:variant>
        <vt:i4>2</vt:i4>
      </vt:variant>
      <vt:variant>
        <vt:i4>0</vt:i4>
      </vt:variant>
      <vt:variant>
        <vt:i4>5</vt:i4>
      </vt:variant>
      <vt:variant>
        <vt:lpwstr/>
      </vt:variant>
      <vt:variant>
        <vt:lpwstr>_Toc211526770</vt:lpwstr>
      </vt:variant>
      <vt:variant>
        <vt:i4>7143537</vt:i4>
      </vt:variant>
      <vt:variant>
        <vt:i4>0</vt:i4>
      </vt:variant>
      <vt:variant>
        <vt:i4>0</vt:i4>
      </vt:variant>
      <vt:variant>
        <vt:i4>5</vt:i4>
      </vt:variant>
      <vt:variant>
        <vt:lpwstr>http://data.europa.eu/eli/dec/2015/1814/oj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Nahajska Anna</dc:creator>
  <cp:keywords/>
  <dc:description/>
  <cp:lastModifiedBy>Nahajska Anna</cp:lastModifiedBy>
  <cp:revision>2</cp:revision>
  <cp:lastPrinted>2025-11-12T09:10:00Z</cp:lastPrinted>
  <dcterms:created xsi:type="dcterms:W3CDTF">2025-12-03T14:42:00Z</dcterms:created>
  <dcterms:modified xsi:type="dcterms:W3CDTF">2025-12-03T14:42:00Z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2025-10-15T09:51:44Z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87e3a65a-8b57-481e-8f31-3f3fe21e7411</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0x010100BAD999D84E12C74482EA5120F5227F6F00217DECAAC21D6B43958DFE68658C192E</vt:lpwstr>
  </property>
  <property fmtid="{D5CDD505-2E9C-101B-9397-08002B2CF9AE}" pid="19" name="MediaServiceImageTags">
    <vt:lpwstr/>
  </property>
  <property fmtid="{D5CDD505-2E9C-101B-9397-08002B2CF9AE}" pid="20" name="DQCStatus">
    <vt:lpwstr>Green (DQC version 03)</vt:lpwstr>
  </property>
</Properties>
</file>