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_rels/chart1.xml.rels" ContentType="application/vnd.openxmlformats-package.relationships+xml"/>
  <Override PartName="/word/charts/_rels/chart2.xml.rels" ContentType="application/vnd.openxmlformats-package.relationships+xml"/>
  <Override PartName="/word/settings.xml" ContentType="application/vnd.openxmlformats-officedocument.wordprocessingml.settings+xml"/>
  <Override PartName="/word/embeddings/Arkusz_programu_Microsoft_Excel2.xlsx" ContentType="application/vnd.openxmlformats-officedocument.spreadsheetml.sheet"/>
  <Override PartName="/word/embeddings/Arkusz_programu_Microsoft_Excel1.xlsx" ContentType="application/vnd.openxmlformats-officedocument.spreadsheetml.sheet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rPr>
          <w:b/>
          <w:b/>
          <w:bCs/>
        </w:rPr>
      </w:pPr>
      <w:r>
        <w:rPr>
          <w:b/>
          <w:bCs/>
        </w:rPr>
        <w:t>Zestawienie statystyczne zdarzeń Komendy Powiatowej PSP w Sępólnie Krajeńskim          za okres od 01 stycznia 2024 do 31 grudnia 2024 roku</w:t>
      </w:r>
    </w:p>
    <w:p>
      <w:pPr>
        <w:pStyle w:val="Tytu"/>
        <w:jc w:val="both"/>
        <w:rPr>
          <w:color w:val="00B050"/>
        </w:rPr>
      </w:pPr>
      <w:r>
        <w:rPr>
          <w:color w:val="00B050"/>
        </w:rPr>
      </w:r>
    </w:p>
    <w:p>
      <w:pPr>
        <w:pStyle w:val="Tytu"/>
        <w:jc w:val="both"/>
        <w:rPr>
          <w:color w:val="00B050"/>
        </w:rPr>
      </w:pPr>
      <w:r>
        <w:rPr>
          <w:color w:val="00B050"/>
        </w:rPr>
      </w:r>
    </w:p>
    <w:p>
      <w:pPr>
        <w:pStyle w:val="Tytu"/>
        <w:jc w:val="both"/>
        <w:rPr/>
      </w:pPr>
      <w:r>
        <w:rPr/>
        <w:t>Ogółem zdarzeń:</w:t>
        <w:tab/>
      </w:r>
    </w:p>
    <w:p>
      <w:pPr>
        <w:pStyle w:val="Tytu"/>
        <w:rPr>
          <w:b/>
          <w:b/>
          <w:bCs/>
        </w:rPr>
      </w:pPr>
      <w:r>
        <w:rPr>
          <w:b/>
          <w:bCs/>
        </w:rPr>
        <w:t>Powiat sępoleński – 866</w:t>
      </w:r>
    </w:p>
    <w:p>
      <w:pPr>
        <w:pStyle w:val="Tytu"/>
        <w:rPr/>
      </w:pPr>
      <w:r>
        <w:rPr/>
      </w:r>
    </w:p>
    <w:p>
      <w:pPr>
        <w:pStyle w:val="Tytu"/>
        <w:spacing w:lineRule="auto" w:line="276"/>
        <w:jc w:val="left"/>
        <w:rPr/>
      </w:pPr>
      <w:r>
        <w:rPr/>
        <w:t xml:space="preserve">w tym: </w:t>
        <w:tab/>
        <w:t>pożary – 78 (9,01%)</w:t>
      </w:r>
    </w:p>
    <w:p>
      <w:pPr>
        <w:pStyle w:val="Tytu"/>
        <w:spacing w:lineRule="auto" w:line="276"/>
        <w:jc w:val="left"/>
        <w:rPr/>
      </w:pPr>
      <w:r>
        <w:rPr/>
        <w:tab/>
        <w:tab/>
        <w:t>miejscowe zagrożenia – 755 (87,18%)</w:t>
      </w:r>
    </w:p>
    <w:p>
      <w:pPr>
        <w:pStyle w:val="Tytu"/>
        <w:spacing w:lineRule="auto" w:line="276"/>
        <w:jc w:val="left"/>
        <w:rPr/>
      </w:pPr>
      <w:r>
        <w:rPr/>
        <w:tab/>
        <w:tab/>
        <w:t>alarmy fałszywe – 33 (3,81%)</w:t>
      </w:r>
    </w:p>
    <w:p>
      <w:pPr>
        <w:pStyle w:val="Tytu"/>
        <w:spacing w:lineRule="auto" w:line="276"/>
        <w:jc w:val="left"/>
        <w:rPr/>
      </w:pPr>
      <w:r>
        <w:rPr/>
      </w:r>
    </w:p>
    <w:p>
      <w:pPr>
        <w:pStyle w:val="Tytu"/>
        <w:rPr/>
      </w:pPr>
      <w:r>
        <w:rPr/>
      </w:r>
    </w:p>
    <w:p>
      <w:pPr>
        <w:pStyle w:val="Tytu"/>
        <w:rPr>
          <w:b/>
          <w:b/>
          <w:bCs/>
          <w:color w:val="0000FF"/>
        </w:rPr>
      </w:pPr>
      <w:r>
        <w:rPr/>
        <w:drawing>
          <wp:inline distT="0" distB="0" distL="0" distR="0">
            <wp:extent cx="5485130" cy="3551555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Tytu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Tytu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Tytu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Tytu"/>
        <w:rPr>
          <w:b/>
          <w:b/>
          <w:bCs/>
        </w:rPr>
      </w:pPr>
      <w:r>
        <w:rPr>
          <w:b/>
          <w:bCs/>
        </w:rPr>
        <w:t>Gmina Sępólno Krajeńskie – 371 zdarzeń</w:t>
      </w:r>
    </w:p>
    <w:p>
      <w:pPr>
        <w:pStyle w:val="Tytu"/>
        <w:rPr>
          <w:b/>
          <w:b/>
          <w:bCs/>
        </w:rPr>
      </w:pPr>
      <w:r>
        <w:rPr>
          <w:b/>
          <w:bCs/>
        </w:rPr>
      </w:r>
    </w:p>
    <w:p>
      <w:pPr>
        <w:pStyle w:val="Tytu"/>
        <w:spacing w:lineRule="auto" w:line="276"/>
        <w:jc w:val="left"/>
        <w:rPr/>
      </w:pPr>
      <w:r>
        <w:rPr/>
        <w:t xml:space="preserve">w tym: </w:t>
        <w:tab/>
        <w:t>pożary – 19 (5,12 %)</w:t>
      </w:r>
    </w:p>
    <w:p>
      <w:pPr>
        <w:pStyle w:val="Tytu"/>
        <w:spacing w:lineRule="auto" w:line="276"/>
        <w:jc w:val="left"/>
        <w:rPr/>
      </w:pPr>
      <w:r>
        <w:rPr/>
        <w:tab/>
        <w:tab/>
        <w:t>miejscowe zagrożenia – 336 (90,56 %)</w:t>
      </w:r>
    </w:p>
    <w:p>
      <w:pPr>
        <w:pStyle w:val="Tytu"/>
        <w:jc w:val="both"/>
        <w:rPr/>
      </w:pPr>
      <w:r>
        <w:rPr/>
        <w:tab/>
        <w:tab/>
        <w:t>alarmy fałszywe – 16 (4,31 %)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Udział jednostek OSP z gminy Sępólno Krajeńskie w zdarzeniach</w:t>
      </w:r>
    </w:p>
    <w:tbl>
      <w:tblPr>
        <w:tblW w:w="906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513"/>
        <w:gridCol w:w="1766"/>
        <w:gridCol w:w="1767"/>
        <w:gridCol w:w="1766"/>
        <w:gridCol w:w="1250"/>
      </w:tblGrid>
      <w:tr>
        <w:trPr>
          <w:trHeight w:val="283" w:hRule="atLeast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Pożary/poza rejonem działania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Miejscowe zagrożenia/poza rejonem działania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Zabezpieczenie operacyjne rejonu/alarm fałszywy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</w:tr>
      <w:tr>
        <w:trPr>
          <w:trHeight w:val="283" w:hRule="atLeast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Sępólno Krajeńskie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38/2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</w:tr>
      <w:tr>
        <w:trPr>
          <w:trHeight w:val="283" w:hRule="atLeast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Wałdowo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41/1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</w:tr>
      <w:tr>
        <w:trPr>
          <w:trHeight w:val="283" w:hRule="atLeast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Lutowo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10/0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</w:tr>
      <w:tr>
        <w:trPr>
          <w:trHeight w:val="283" w:hRule="atLeast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Lutówko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>
        <w:trPr>
          <w:trHeight w:val="283" w:hRule="atLeast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Komierowo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24/2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>
        <w:trPr>
          <w:trHeight w:val="283" w:hRule="atLeast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Zalesie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7/0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B050"/>
        </w:rPr>
      </w:pPr>
      <w:r>
        <w:rPr>
          <w:rFonts w:cs="Times New Roman" w:ascii="Times New Roman" w:hAnsi="Times New Roman"/>
          <w:color w:val="00B050"/>
        </w:rPr>
      </w:r>
    </w:p>
    <w:p>
      <w:pPr>
        <w:pStyle w:val="Tytu"/>
        <w:rPr>
          <w:b/>
          <w:b/>
          <w:bCs/>
        </w:rPr>
      </w:pPr>
      <w:r>
        <w:rPr>
          <w:b/>
          <w:bCs/>
        </w:rPr>
        <w:t>Gmina Więcbork – 263 zdarzeń</w:t>
      </w:r>
    </w:p>
    <w:p>
      <w:pPr>
        <w:pStyle w:val="Tytu"/>
        <w:rPr>
          <w:b/>
          <w:b/>
          <w:bCs/>
        </w:rPr>
      </w:pPr>
      <w:r>
        <w:rPr>
          <w:b/>
          <w:bCs/>
        </w:rPr>
      </w:r>
    </w:p>
    <w:p>
      <w:pPr>
        <w:pStyle w:val="Tytu"/>
        <w:spacing w:lineRule="auto" w:line="276"/>
        <w:jc w:val="left"/>
        <w:rPr/>
      </w:pPr>
      <w:r>
        <w:rPr/>
        <w:t xml:space="preserve">w tym: </w:t>
        <w:tab/>
        <w:t>pożary – 31 (11,78 %)</w:t>
      </w:r>
    </w:p>
    <w:p>
      <w:pPr>
        <w:pStyle w:val="Tytu"/>
        <w:spacing w:lineRule="auto" w:line="276"/>
        <w:jc w:val="left"/>
        <w:rPr/>
      </w:pPr>
      <w:r>
        <w:rPr/>
        <w:tab/>
        <w:tab/>
        <w:t>miejscowe zagrożenia – 223 (84,79 %)</w:t>
      </w:r>
    </w:p>
    <w:p>
      <w:pPr>
        <w:pStyle w:val="Tytu"/>
        <w:jc w:val="both"/>
        <w:rPr/>
      </w:pPr>
      <w:r>
        <w:rPr/>
        <w:tab/>
        <w:tab/>
        <w:t>alarmy fałszywe – 9 (3,42 %)</w:t>
      </w:r>
    </w:p>
    <w:p>
      <w:pPr>
        <w:pStyle w:val="Tytu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Udział jednostek OSP z gminy Więcbork w zdarzeniach</w:t>
      </w:r>
    </w:p>
    <w:tbl>
      <w:tblPr>
        <w:tblW w:w="906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471"/>
        <w:gridCol w:w="1726"/>
        <w:gridCol w:w="1727"/>
        <w:gridCol w:w="1726"/>
        <w:gridCol w:w="1411"/>
      </w:tblGrid>
      <w:tr>
        <w:trPr/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Pożary/poza rejonem działania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Miejscowe zagrożenia/poza rejonem działania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Zabezpieczenie operacyjne rejonu / alarm fałszywy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</w:tr>
      <w:tr>
        <w:trPr/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Więcbork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sz w:val="24"/>
                <w:szCs w:val="24"/>
              </w:rPr>
              <w:t>187</w:t>
            </w:r>
          </w:p>
        </w:tc>
      </w:tr>
      <w:tr>
        <w:trPr/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Sypniewo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</w:p>
        </w:tc>
      </w:tr>
      <w:tr>
        <w:trPr/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 xml:space="preserve">OSP Suchorączek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Runowo Kraj.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Pęperzyn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Zakrzewek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Lubcza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Zabartowo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 xml:space="preserve">OSP Jastrzębiec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</w:tbl>
    <w:p>
      <w:pPr>
        <w:pStyle w:val="Tytu"/>
        <w:rPr>
          <w:b/>
          <w:b/>
          <w:bCs/>
        </w:rPr>
      </w:pPr>
      <w:r>
        <w:rPr>
          <w:b/>
          <w:bCs/>
        </w:rPr>
      </w:r>
    </w:p>
    <w:p>
      <w:pPr>
        <w:pStyle w:val="Tytu"/>
        <w:rPr>
          <w:b/>
          <w:b/>
          <w:bCs/>
        </w:rPr>
      </w:pPr>
      <w:r>
        <w:rPr>
          <w:b/>
          <w:bCs/>
        </w:rPr>
      </w:r>
    </w:p>
    <w:p>
      <w:pPr>
        <w:pStyle w:val="Tytu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Tytu"/>
        <w:rPr>
          <w:b/>
          <w:b/>
          <w:bCs/>
        </w:rPr>
      </w:pPr>
      <w:r>
        <w:rPr>
          <w:b/>
          <w:bCs/>
        </w:rPr>
        <w:t>Gmina Kamień Krajeński –154 zdarzeń</w:t>
      </w:r>
    </w:p>
    <w:p>
      <w:pPr>
        <w:pStyle w:val="Tytu"/>
        <w:rPr>
          <w:b/>
          <w:b/>
          <w:bCs/>
        </w:rPr>
      </w:pPr>
      <w:r>
        <w:rPr>
          <w:b/>
          <w:bCs/>
        </w:rPr>
      </w:r>
    </w:p>
    <w:p>
      <w:pPr>
        <w:pStyle w:val="Tytu"/>
        <w:spacing w:lineRule="auto" w:line="276"/>
        <w:jc w:val="left"/>
        <w:rPr/>
      </w:pPr>
      <w:r>
        <w:rPr/>
        <w:t xml:space="preserve">w tym: </w:t>
        <w:tab/>
        <w:t>pożary – 16 (10,38 %)</w:t>
      </w:r>
    </w:p>
    <w:p>
      <w:pPr>
        <w:pStyle w:val="Tytu"/>
        <w:spacing w:lineRule="auto" w:line="276"/>
        <w:jc w:val="left"/>
        <w:rPr/>
      </w:pPr>
      <w:r>
        <w:rPr/>
        <w:tab/>
        <w:tab/>
        <w:t>miejscowe zagrożenia – 133 (86,36 %)</w:t>
      </w:r>
    </w:p>
    <w:p>
      <w:pPr>
        <w:pStyle w:val="Tytu"/>
        <w:jc w:val="both"/>
        <w:rPr/>
      </w:pPr>
      <w:r>
        <w:rPr/>
        <w:tab/>
        <w:tab/>
        <w:t>alarmy fałszywe – 5 (3,24 %)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Udział jednostek OSP z gminy Kamień Krajeński w zdarzeniach</w:t>
      </w:r>
    </w:p>
    <w:tbl>
      <w:tblPr>
        <w:tblW w:w="912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9"/>
        <w:gridCol w:w="1660"/>
        <w:gridCol w:w="1719"/>
        <w:gridCol w:w="1661"/>
        <w:gridCol w:w="1561"/>
      </w:tblGrid>
      <w:tr>
        <w:trPr>
          <w:trHeight w:val="283" w:hRule="atLeast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Pożary/poza rejonem działania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Miejscowe zagrożenia/poza rejonem działania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Zabezpieczenie operacyjne rejonu / alarm fałszywy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</w:tr>
      <w:tr>
        <w:trPr>
          <w:trHeight w:val="283" w:hRule="atLeast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Kamień Krajeński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</w:tr>
      <w:tr>
        <w:trPr>
          <w:trHeight w:val="283" w:hRule="atLeast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Mała Cerkwica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>
        <w:trPr>
          <w:trHeight w:val="283" w:hRule="atLeast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Płocicz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>
        <w:trPr>
          <w:trHeight w:val="283" w:hRule="atLeast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Orzełek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>
        <w:trPr>
          <w:trHeight w:val="283" w:hRule="atLeast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Radzim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283" w:hRule="atLeast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Dąbrowa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283" w:hRule="atLeast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 xml:space="preserve">OSP Dąbrówka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283" w:hRule="atLeast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Duża Cerkwica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283" w:hRule="atLeast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Witkowo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>
      <w:pPr>
        <w:pStyle w:val="Tytu"/>
        <w:jc w:val="left"/>
        <w:rPr/>
      </w:pPr>
      <w:r>
        <w:rPr/>
      </w:r>
    </w:p>
    <w:p>
      <w:pPr>
        <w:pStyle w:val="Tytu"/>
        <w:jc w:val="left"/>
        <w:rPr/>
      </w:pPr>
      <w:r>
        <w:rPr/>
      </w:r>
    </w:p>
    <w:p>
      <w:pPr>
        <w:pStyle w:val="Tytu"/>
        <w:jc w:val="left"/>
        <w:rPr>
          <w:b/>
          <w:b/>
          <w:bCs/>
        </w:rPr>
      </w:pPr>
      <w:r>
        <w:rPr>
          <w:b/>
          <w:bCs/>
        </w:rPr>
        <w:t>Gmina Sośno – 78 zdarzeń</w:t>
      </w:r>
    </w:p>
    <w:p>
      <w:pPr>
        <w:pStyle w:val="Tytu"/>
        <w:rPr>
          <w:b/>
          <w:b/>
          <w:bCs/>
        </w:rPr>
      </w:pPr>
      <w:r>
        <w:rPr>
          <w:b/>
          <w:bCs/>
        </w:rPr>
      </w:r>
    </w:p>
    <w:p>
      <w:pPr>
        <w:pStyle w:val="Tytu"/>
        <w:spacing w:lineRule="auto" w:line="276"/>
        <w:jc w:val="left"/>
        <w:rPr/>
      </w:pPr>
      <w:r>
        <w:rPr/>
        <w:t xml:space="preserve">w tym: </w:t>
        <w:tab/>
        <w:t>pożary – 12 (15,38 %)</w:t>
      </w:r>
    </w:p>
    <w:p>
      <w:pPr>
        <w:pStyle w:val="Tytu"/>
        <w:spacing w:lineRule="auto" w:line="276"/>
        <w:jc w:val="left"/>
        <w:rPr/>
      </w:pPr>
      <w:r>
        <w:rPr/>
        <w:tab/>
        <w:tab/>
        <w:t>miejscowe zagrożenia – 63 (80,76 %)</w:t>
      </w:r>
    </w:p>
    <w:p>
      <w:pPr>
        <w:pStyle w:val="Tytu"/>
        <w:jc w:val="both"/>
        <w:rPr/>
      </w:pPr>
      <w:r>
        <w:rPr/>
        <w:tab/>
        <w:tab/>
        <w:t>alarmy fałszywe – 3 (3,84 %)</w:t>
      </w:r>
    </w:p>
    <w:p>
      <w:pPr>
        <w:pStyle w:val="Tytu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Udział jednostek OSP z gminy Sośno w zdarzeniach</w:t>
      </w:r>
    </w:p>
    <w:tbl>
      <w:tblPr>
        <w:tblW w:w="906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09"/>
        <w:gridCol w:w="1646"/>
        <w:gridCol w:w="1719"/>
        <w:gridCol w:w="1653"/>
        <w:gridCol w:w="1540"/>
      </w:tblGrid>
      <w:tr>
        <w:trPr>
          <w:trHeight w:val="283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Pożary/poza rejonem działania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Miejscowe zagrożenia/poza rejonem działania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Zabezpieczenie operacyjne rejonu / alarm fałszywy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</w:tr>
      <w:tr>
        <w:trPr>
          <w:trHeight w:val="283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Sośno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</w:tr>
      <w:tr>
        <w:trPr>
          <w:trHeight w:val="283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Wąwelno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283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Wielowicz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283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Sitno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>
          <w:trHeight w:val="283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Rogalin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283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Dębiny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283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Dziedno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283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OSP Mierucin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lang w:val="en-US"/>
              </w:rPr>
            </w:pPr>
            <w:r>
              <w:rPr>
                <w:lang w:val="en-US"/>
              </w:rPr>
              <w:t>OSP Toninek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>
      <w:pPr>
        <w:pStyle w:val="Tytu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Tretekstu"/>
        <w:tabs>
          <w:tab w:val="clear" w:pos="708"/>
          <w:tab w:val="left" w:pos="456" w:leader="none"/>
        </w:tabs>
        <w:spacing w:lineRule="auto" w:line="360"/>
        <w:rPr>
          <w:sz w:val="24"/>
          <w:szCs w:val="24"/>
          <w:lang w:eastAsia="ar-SA"/>
        </w:rPr>
      </w:pPr>
      <w:r>
        <w:rPr/>
        <w:drawing>
          <wp:inline distT="0" distB="0" distL="0" distR="0">
            <wp:extent cx="5759450" cy="4657090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Tretekstu"/>
        <w:tabs>
          <w:tab w:val="clear" w:pos="708"/>
          <w:tab w:val="left" w:pos="456" w:leader="none"/>
        </w:tabs>
        <w:spacing w:lineRule="auto" w:line="360"/>
        <w:rPr>
          <w:b/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</w:r>
    </w:p>
    <w:p>
      <w:pPr>
        <w:pStyle w:val="Tretekstu"/>
        <w:tabs>
          <w:tab w:val="clear" w:pos="708"/>
          <w:tab w:val="left" w:pos="456" w:leader="none"/>
        </w:tabs>
        <w:spacing w:lineRule="auto" w:line="36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Tretekstu"/>
        <w:tabs>
          <w:tab w:val="clear" w:pos="708"/>
          <w:tab w:val="left" w:pos="456" w:leader="none"/>
        </w:tabs>
        <w:spacing w:lineRule="auto" w:line="36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Tretekstu"/>
        <w:tabs>
          <w:tab w:val="clear" w:pos="708"/>
          <w:tab w:val="left" w:pos="456" w:leader="none"/>
        </w:tabs>
        <w:spacing w:lineRule="auto" w:line="36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Tretekstu"/>
        <w:tabs>
          <w:tab w:val="clear" w:pos="708"/>
          <w:tab w:val="left" w:pos="456" w:leader="none"/>
        </w:tabs>
        <w:spacing w:lineRule="auto" w:line="36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50c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9"/>
    <w:qFormat/>
    <w:rsid w:val="001a50c1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Calibri" w:cs="Times New Roman"/>
      <w:b/>
      <w:bCs/>
      <w:sz w:val="20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9"/>
    <w:qFormat/>
    <w:rsid w:val="001a50c1"/>
    <w:rPr>
      <w:rFonts w:ascii="Times New Roman" w:hAnsi="Times New Roman" w:eastAsia="Calibri" w:cs="Times New Roman"/>
      <w:b/>
      <w:bCs/>
      <w:sz w:val="20"/>
      <w:szCs w:val="20"/>
      <w:lang w:eastAsia="pl-PL"/>
    </w:rPr>
  </w:style>
  <w:style w:type="character" w:styleId="TytuZnak" w:customStyle="1">
    <w:name w:val="Tytuł Znak"/>
    <w:basedOn w:val="DefaultParagraphFont"/>
    <w:link w:val="Tytu"/>
    <w:uiPriority w:val="99"/>
    <w:qFormat/>
    <w:rsid w:val="001a50c1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1a50c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a50c1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rsid w:val="001a50c1"/>
    <w:pPr>
      <w:spacing w:lineRule="auto" w:line="240" w:before="0" w:after="0"/>
      <w:jc w:val="both"/>
    </w:pPr>
    <w:rPr>
      <w:rFonts w:ascii="Times New Roman" w:hAnsi="Times New Roman" w:eastAsia="Calibri" w:cs="Times New Roman"/>
      <w:sz w:val="20"/>
      <w:szCs w:val="20"/>
      <w:lang w:eastAsia="pl-PL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uiPriority w:val="99"/>
    <w:qFormat/>
    <w:rsid w:val="001a50c1"/>
    <w:pPr>
      <w:spacing w:lineRule="auto" w:line="240" w:before="0" w:after="0"/>
      <w:jc w:val="center"/>
    </w:pPr>
    <w:rPr>
      <w:rFonts w:ascii="Times New Roman" w:hAnsi="Times New Roman" w:eastAsia="Calibri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a50c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Arkusz_programu_Microsoft_Excel1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Arkusz_programu_Microsoft_Excel2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600" spc="-1" strike="noStrike">
                <a:solidFill>
                  <a:srgbClr val="595959"/>
                </a:solidFill>
                <a:latin typeface="Calibri"/>
              </a:defRPr>
            </a:pPr>
            <a:r>
              <a:rPr b="1" sz="1600" spc="-1" strike="noStrike">
                <a:solidFill>
                  <a:srgbClr val="595959"/>
                </a:solidFill>
                <a:latin typeface="Calibri"/>
              </a:rPr>
              <a:t>Zestawienie procentowe Ilości zdarzeń w powiecie sępoleńskim w okresie od 01.01.2024 do 31.12.2024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Ilość zdarzeń  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explosion val="23"/>
          <c:dPt>
            <c:idx val="0"/>
            <c:explosion val="25"/>
            <c:spPr>
              <a:solidFill>
                <a:srgbClr val="4f81bd"/>
              </a:solidFill>
              <a:ln>
                <a:noFill/>
              </a:ln>
            </c:spPr>
          </c:dPt>
          <c:dPt>
            <c:idx val="1"/>
            <c:explosion val="23"/>
            <c:spPr>
              <a:solidFill>
                <a:srgbClr val="c0504d"/>
              </a:solidFill>
              <a:ln>
                <a:noFill/>
              </a:ln>
            </c:spPr>
          </c:dPt>
          <c:dPt>
            <c:idx val="2"/>
            <c:explosion val="23"/>
            <c:spPr>
              <a:solidFill>
                <a:srgbClr val="9bbb59"/>
              </a:solidFill>
              <a:ln>
                <a:noFill/>
              </a:ln>
            </c:spPr>
          </c:dPt>
          <c:dPt>
            <c:idx val="3"/>
            <c:explosion val="23"/>
            <c:spPr>
              <a:solidFill>
                <a:srgbClr val="8064a2"/>
              </a:solidFill>
              <a:ln>
                <a:noFill/>
              </a:ln>
            </c:spPr>
          </c:dPt>
          <c:dLbls>
            <c:numFmt formatCode="General" sourceLinked="1"/>
            <c:dLbl>
              <c:idx val="0"/>
              <c:txPr>
                <a:bodyPr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</c:dLbl>
            <c:dLbl>
              <c:idx val="1"/>
              <c:txPr>
                <a:bodyPr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</c:dLbl>
            <c:dLbl>
              <c:idx val="2"/>
              <c:txPr>
                <a:bodyPr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</c:dLbl>
            <c:dLbl>
              <c:idx val="3"/>
              <c:txPr>
                <a:bodyPr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</c:dLbl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Miejscowe zagrożenia 87,18 %</c:v>
                </c:pt>
                <c:pt idx="1">
                  <c:v>Pożary 9,01%</c:v>
                </c:pt>
                <c:pt idx="2">
                  <c:v>Alarmy  fałszywe 3,81 %</c:v>
                </c:pt>
                <c:pt idx="3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755</c:v>
                </c:pt>
                <c:pt idx="1">
                  <c:v>78</c:v>
                </c:pt>
                <c:pt idx="2">
                  <c:v>33</c:v>
                </c:pt>
                <c:pt idx="3">
                  <c:v/>
                </c:pt>
              </c:numCache>
            </c:numRef>
          </c:val>
        </c:ser>
      </c:pie3DChart>
    </c:plotArea>
    <c:plotVisOnly val="1"/>
    <c:dispBlanksAs val="zero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600" spc="-1" strike="noStrike">
                <a:solidFill>
                  <a:srgbClr val="1f497d"/>
                </a:solidFill>
                <a:latin typeface="Calibri"/>
              </a:defRPr>
            </a:pPr>
            <a:r>
              <a:rPr b="1" sz="1600" spc="-1" strike="noStrike">
                <a:solidFill>
                  <a:srgbClr val="1f497d"/>
                </a:solidFill>
                <a:latin typeface="Calibri"/>
              </a:rPr>
              <a:t>Występowanie zdarzeń w miesiącach w powiecie sępoleńskim za okres 01.01.2024 do 31.12.2024
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Pożary</c:v>
                </c:pt>
              </c:strCache>
            </c:strRef>
          </c:tx>
          <c:spPr>
            <a:gradFill>
              <a:gsLst>
                <a:gs pos="0">
                  <a:srgbClr val="9c2f2c"/>
                </a:gs>
                <a:gs pos="100000">
                  <a:srgbClr val="cb3d39"/>
                </a:gs>
              </a:gsLst>
              <a:lin ang="16200000"/>
            </a:gra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900" spc="-1" strike="noStrike">
                    <a:solidFill>
                      <a:srgbClr val="1f497d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 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2"/>
                <c:pt idx="0">
                  <c:v>12</c:v>
                </c:pt>
                <c:pt idx="1">
                  <c:v>5</c:v>
                </c:pt>
                <c:pt idx="2">
                  <c:v>3</c:v>
                </c:pt>
                <c:pt idx="3">
                  <c:v>5</c:v>
                </c:pt>
                <c:pt idx="4">
                  <c:v>6</c:v>
                </c:pt>
                <c:pt idx="5">
                  <c:v>8</c:v>
                </c:pt>
                <c:pt idx="6">
                  <c:v>13</c:v>
                </c:pt>
                <c:pt idx="7">
                  <c:v>4</c:v>
                </c:pt>
                <c:pt idx="8">
                  <c:v>2</c:v>
                </c:pt>
                <c:pt idx="9">
                  <c:v>7</c:v>
                </c:pt>
                <c:pt idx="10">
                  <c:v>2</c:v>
                </c:pt>
                <c:pt idx="11">
                  <c:v>11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Miejscowe zagrożenia</c:v>
                </c:pt>
              </c:strCache>
            </c:strRef>
          </c:tx>
          <c:spPr>
            <a:gradFill>
              <a:gsLst>
                <a:gs pos="0">
                  <a:srgbClr val="5e437f"/>
                </a:gs>
                <a:gs pos="100000">
                  <a:srgbClr val="7b57a5"/>
                </a:gs>
              </a:gsLst>
              <a:lin ang="16200000"/>
            </a:gra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900" spc="-1" strike="noStrike">
                    <a:solidFill>
                      <a:srgbClr val="1f497d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 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2"/>
                <c:pt idx="0">
                  <c:v>45</c:v>
                </c:pt>
                <c:pt idx="1">
                  <c:v>60</c:v>
                </c:pt>
                <c:pt idx="2">
                  <c:v>37</c:v>
                </c:pt>
                <c:pt idx="3">
                  <c:v>30</c:v>
                </c:pt>
                <c:pt idx="4">
                  <c:v>51</c:v>
                </c:pt>
                <c:pt idx="5">
                  <c:v>87</c:v>
                </c:pt>
                <c:pt idx="6">
                  <c:v>258</c:v>
                </c:pt>
                <c:pt idx="7">
                  <c:v>53</c:v>
                </c:pt>
                <c:pt idx="8">
                  <c:v>54</c:v>
                </c:pt>
                <c:pt idx="9">
                  <c:v>34</c:v>
                </c:pt>
                <c:pt idx="10">
                  <c:v>24</c:v>
                </c:pt>
                <c:pt idx="11">
                  <c:v>22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Alarm fałszywy</c:v>
                </c:pt>
              </c:strCache>
            </c:strRef>
          </c:tx>
          <c:spPr>
            <a:gradFill>
              <a:gsLst>
                <a:gs pos="0">
                  <a:srgbClr val="cc6d20"/>
                </a:gs>
                <a:gs pos="100000">
                  <a:srgbClr val="ff9033"/>
                </a:gs>
              </a:gsLst>
              <a:lin ang="16200000"/>
            </a:gra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900" spc="-1" strike="noStrike">
                    <a:solidFill>
                      <a:srgbClr val="1f497d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 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12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6</c:v>
                </c:pt>
                <c:pt idx="6">
                  <c:v>3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  <c:pt idx="10">
                  <c:v>3</c:v>
                </c:pt>
                <c:pt idx="11">
                  <c:v>5</c:v>
                </c:pt>
              </c:numCache>
            </c:numRef>
          </c:val>
        </c:ser>
        <c:gapWidth val="114"/>
        <c:overlap val="0"/>
        <c:axId val="2690777"/>
        <c:axId val="20579338"/>
      </c:barChart>
      <c:catAx>
        <c:axId val="2690777"/>
        <c:scaling>
          <c:orientation val="minMax"/>
        </c:scaling>
        <c:delete val="0"/>
        <c:axPos val="b"/>
        <c:numFmt formatCode="D/MM/YYYY" sourceLinked="1"/>
        <c:majorTickMark val="none"/>
        <c:minorTickMark val="none"/>
        <c:tickLblPos val="nextTo"/>
        <c:spPr>
          <a:ln w="9360">
            <a:solidFill>
              <a:srgbClr val="d4e3f4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1f497d"/>
                </a:solidFill>
                <a:latin typeface="Calibri"/>
              </a:defRPr>
            </a:pPr>
          </a:p>
        </c:txPr>
        <c:crossAx val="20579338"/>
        <c:crosses val="autoZero"/>
        <c:auto val="1"/>
        <c:lblAlgn val="ctr"/>
        <c:lblOffset val="100"/>
      </c:catAx>
      <c:valAx>
        <c:axId val="20579338"/>
        <c:scaling>
          <c:orientation val="minMax"/>
        </c:scaling>
        <c:delete val="0"/>
        <c:axPos val="l"/>
        <c:majorGridlines>
          <c:spPr>
            <a:ln w="9360">
              <a:solidFill>
                <a:srgbClr val="d4e3f4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1f497d"/>
                </a:solidFill>
                <a:latin typeface="Calibri"/>
              </a:defRPr>
            </a:pPr>
          </a:p>
        </c:txPr>
        <c:crossAx val="2690777"/>
        <c:crosses val="autoZero"/>
        <c:majorUnit val="20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1f497d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4e3f4"/>
      </a:solidFill>
      <a:round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LibreOffice/6.1.4.2$Windows_x86 LibreOffice_project/9d0f32d1f0b509096fd65e0d4bec26ddd1938fd3</Application>
  <Pages>4</Pages>
  <Words>415</Words>
  <Characters>1951</Characters>
  <CharactersWithSpaces>2219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2025-01-03T08:01:00Z</dcterms:created>
  <dc:creator>Tomek</dc:creator>
  <dc:description/>
  <dc:language>pl-PL</dc:language>
  <cp:lastModifiedBy/>
  <dcterms:modified xsi:type="dcterms:W3CDTF">2025-01-03T09:33:26Z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