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32" w:rsidRPr="003076BB" w:rsidRDefault="00922632" w:rsidP="00922632">
      <w:pPr>
        <w:jc w:val="center"/>
        <w:rPr>
          <w:rFonts w:ascii="Calibri" w:hAnsi="Calibri" w:cs="Calibri"/>
          <w:b/>
          <w:szCs w:val="24"/>
          <w:u w:val="single"/>
        </w:rPr>
      </w:pPr>
      <w:r w:rsidRPr="003076BB">
        <w:rPr>
          <w:rFonts w:ascii="Calibri" w:hAnsi="Calibri" w:cs="Calibri"/>
          <w:b/>
          <w:szCs w:val="24"/>
          <w:u w:val="single"/>
        </w:rPr>
        <w:t>Załącznik do zawiadomienia o przetargu nr PS4.683</w:t>
      </w:r>
      <w:r w:rsidR="003076BB">
        <w:rPr>
          <w:rFonts w:ascii="Calibri" w:hAnsi="Calibri" w:cs="Calibri"/>
          <w:b/>
          <w:szCs w:val="24"/>
          <w:u w:val="single"/>
        </w:rPr>
        <w:t>8</w:t>
      </w:r>
      <w:r w:rsidRPr="003076BB">
        <w:rPr>
          <w:rFonts w:ascii="Calibri" w:hAnsi="Calibri" w:cs="Calibri"/>
          <w:b/>
          <w:szCs w:val="24"/>
          <w:u w:val="single"/>
        </w:rPr>
        <w:t>.</w:t>
      </w:r>
      <w:r w:rsidR="009E0AE1" w:rsidRPr="003076BB">
        <w:rPr>
          <w:rFonts w:ascii="Calibri" w:hAnsi="Calibri" w:cs="Calibri"/>
          <w:b/>
          <w:szCs w:val="24"/>
          <w:u w:val="single"/>
        </w:rPr>
        <w:t>1</w:t>
      </w:r>
      <w:r w:rsidRPr="003076BB">
        <w:rPr>
          <w:rFonts w:ascii="Calibri" w:hAnsi="Calibri" w:cs="Calibri"/>
          <w:b/>
          <w:szCs w:val="24"/>
          <w:u w:val="single"/>
        </w:rPr>
        <w:t>.20</w:t>
      </w:r>
      <w:r w:rsidR="003076BB">
        <w:rPr>
          <w:rFonts w:ascii="Calibri" w:hAnsi="Calibri" w:cs="Calibri"/>
          <w:b/>
          <w:szCs w:val="24"/>
          <w:u w:val="single"/>
        </w:rPr>
        <w:t>21</w:t>
      </w:r>
    </w:p>
    <w:p w:rsidR="00922632" w:rsidRPr="003076BB" w:rsidRDefault="001D0741" w:rsidP="00922632">
      <w:pPr>
        <w:jc w:val="center"/>
        <w:rPr>
          <w:rFonts w:ascii="Calibri" w:hAnsi="Calibri" w:cs="Calibri"/>
          <w:b/>
          <w:szCs w:val="24"/>
          <w:u w:val="single"/>
        </w:rPr>
      </w:pPr>
      <w:r w:rsidRPr="003076BB">
        <w:rPr>
          <w:rFonts w:ascii="Calibri" w:hAnsi="Calibri" w:cs="Calibri"/>
          <w:b/>
          <w:szCs w:val="24"/>
          <w:u w:val="single"/>
        </w:rPr>
        <w:t>z dnia</w:t>
      </w:r>
      <w:r w:rsidR="00E40FD0" w:rsidRPr="003076BB">
        <w:rPr>
          <w:rFonts w:ascii="Calibri" w:hAnsi="Calibri" w:cs="Calibri"/>
          <w:b/>
          <w:szCs w:val="24"/>
          <w:u w:val="single"/>
        </w:rPr>
        <w:t xml:space="preserve"> </w:t>
      </w:r>
      <w:r w:rsidR="004E7BEA" w:rsidRPr="003076BB">
        <w:rPr>
          <w:rFonts w:ascii="Calibri" w:hAnsi="Calibri" w:cs="Calibri"/>
          <w:b/>
          <w:szCs w:val="24"/>
          <w:u w:val="single"/>
        </w:rPr>
        <w:t>2</w:t>
      </w:r>
      <w:r w:rsidR="003076BB">
        <w:rPr>
          <w:rFonts w:ascii="Calibri" w:hAnsi="Calibri" w:cs="Calibri"/>
          <w:b/>
          <w:szCs w:val="24"/>
          <w:u w:val="single"/>
        </w:rPr>
        <w:t>1</w:t>
      </w:r>
      <w:r w:rsidR="00BC2415" w:rsidRPr="003076BB">
        <w:rPr>
          <w:rFonts w:ascii="Calibri" w:hAnsi="Calibri" w:cs="Calibri"/>
          <w:b/>
          <w:szCs w:val="24"/>
          <w:u w:val="single"/>
        </w:rPr>
        <w:t xml:space="preserve"> lipca</w:t>
      </w:r>
      <w:r w:rsidR="003076BB">
        <w:rPr>
          <w:rFonts w:ascii="Calibri" w:hAnsi="Calibri" w:cs="Calibri"/>
          <w:b/>
          <w:szCs w:val="24"/>
          <w:u w:val="single"/>
        </w:rPr>
        <w:t xml:space="preserve"> 2021</w:t>
      </w:r>
      <w:r w:rsidR="00922632" w:rsidRPr="003076BB">
        <w:rPr>
          <w:rFonts w:ascii="Calibri" w:hAnsi="Calibri" w:cs="Calibri"/>
          <w:b/>
          <w:szCs w:val="24"/>
          <w:u w:val="single"/>
        </w:rPr>
        <w:t xml:space="preserve"> r.</w:t>
      </w:r>
    </w:p>
    <w:p w:rsidR="00922632" w:rsidRPr="003076BB" w:rsidRDefault="00922632" w:rsidP="007563FA">
      <w:pPr>
        <w:spacing w:before="120"/>
        <w:jc w:val="center"/>
        <w:rPr>
          <w:rFonts w:ascii="Calibri" w:hAnsi="Calibri" w:cs="Calibri"/>
          <w:b/>
          <w:szCs w:val="24"/>
        </w:rPr>
      </w:pPr>
      <w:r w:rsidRPr="003076BB">
        <w:rPr>
          <w:rFonts w:ascii="Calibri" w:hAnsi="Calibri" w:cs="Calibri"/>
          <w:b/>
          <w:szCs w:val="24"/>
        </w:rPr>
        <w:t>Kryteria i sposób oceny ofert przetargowych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1. Atrakcyjność proponowanej lokalizacji kasyna gry: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lokalizacja budynku: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1 pkt – w centrum miasta,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1 pkt – przy ruchliwym ciągu komunikacyjnym,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obrębie lub bezpośrednim sąsiedztwie centrum rozrywki;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standard budynku: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5 pkt – hotel kategorii cztery albo pięć gwiazdek,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4 pkt – budynek zabytkowy,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3 pkt – budynek nowy,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3 pkt – hotel kategorii trzy gwiazdki.</w:t>
      </w:r>
      <w:r w:rsidR="00123D92" w:rsidRPr="003076BB">
        <w:rPr>
          <w:rFonts w:ascii="Calibri" w:hAnsi="Calibri" w:cs="Calibri"/>
          <w:szCs w:val="24"/>
        </w:rPr>
        <w:t xml:space="preserve"> 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2. Planowany termin rozpoczęcia działalności kasyna gry: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 3 pkt – w przypadku zadeklarowania przez podmiot bądź podmioty ubiegające się o udzielenie koncesji terminu rozpoczęcia działalności nieprzekraczającego 3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2) 2 pkt – w przypadku zadeklarowania przez podmiot bądź podmioty ubiegające się o udzielenie koncesji terminu rozpoczęcia działalności wynoszącego ponad 3 miesiące i nieprzekraczającego </w:t>
      </w:r>
      <w:r w:rsidRPr="003076BB">
        <w:rPr>
          <w:rFonts w:ascii="Calibri" w:hAnsi="Calibri" w:cs="Calibri"/>
          <w:szCs w:val="24"/>
        </w:rPr>
        <w:br/>
        <w:t>6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1 pkt – w przypadku zadeklarowania przez podmiot bądź podmioty ubiegające się o udzielenie koncesji terminu rozpoczęcia działalności wynoszącego ponad 6 miesięcy i nieprzekraczającego </w:t>
      </w:r>
      <w:r w:rsidRPr="003076BB">
        <w:rPr>
          <w:rFonts w:ascii="Calibri" w:hAnsi="Calibri" w:cs="Calibri"/>
          <w:szCs w:val="24"/>
        </w:rPr>
        <w:br/>
        <w:t>12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 0 pkt – w przypadku zadeklarowania przez podmiot bądź podmioty ubiegające się o udzielenie koncesji terminu rozpoczęcia działalności wynoszącego ponad 12 miesięcy od dnia udzielenia koncesji.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3. Planowane godziny otwarcia kasyna gry: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1) </w:t>
      </w:r>
      <w:r w:rsidRPr="003076BB">
        <w:rPr>
          <w:rFonts w:ascii="Calibri" w:hAnsi="Calibri" w:cs="Calibri"/>
          <w:szCs w:val="24"/>
        </w:rPr>
        <w:tab/>
        <w:t>1 pkt – w przypadku gdy obiekt będzie otwarty dłużej niż 12 godzin na dobę;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 xml:space="preserve"> 0,5 pkt – w przypadku gdy obiekt będzie otwarty od 8 do 12 godzin na dobę;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</w:t>
      </w:r>
      <w:r w:rsidRPr="003076BB">
        <w:rPr>
          <w:rFonts w:ascii="Calibri" w:hAnsi="Calibri" w:cs="Calibri"/>
          <w:szCs w:val="24"/>
        </w:rPr>
        <w:tab/>
        <w:t>0 pkt – w przypadku gdy obiekt będzie otwarty krócej niż 8 godzin na dobę.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3a. Deklarowana podstawa opodatkowania podatkiem od gier, jaką podmiot ubiegający się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 xml:space="preserve">o udzielenie koncesji planuje osiągnąć w działalności prowadzonej na podstawie koncesji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>w kasynie gry, którego dotyczy złożona oferta: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1) 3 pkt – w przypadku zadeklarowania najwyższej podstawy opodatkowania podatkiem od gier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2) 2 pkt – w przypadku zadeklarowania drugiej pod względem wysokości podstawy opodatkowania podatkiem od gier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wysokości podstawy opodatkowania podatkiem od gier przez podmiot bądź podmioty ubiegające się o udzielenie koncesji.</w:t>
      </w:r>
    </w:p>
    <w:p w:rsidR="00922632" w:rsidRPr="003076BB" w:rsidRDefault="00922632" w:rsidP="00922632">
      <w:pPr>
        <w:pStyle w:val="Default"/>
        <w:rPr>
          <w:rFonts w:ascii="Calibri" w:hAnsi="Calibri" w:cs="Calibri"/>
          <w:color w:val="auto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3b. Wielkość powierzchni kasyna gry przeznaczonej bezpośrednio na prowadzenie gier hazardowych: </w:t>
      </w:r>
    </w:p>
    <w:p w:rsidR="00931D6E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 xml:space="preserve">1) 3 pkt – w przypadku zadeklarowania największej powierzchni przeznaczonej bezpośrednio </w:t>
      </w:r>
      <w:r w:rsidR="00015E1D"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na prowadzenie gier hazardowych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 xml:space="preserve">2) 2 pkt – w przypadku zadeklarowania drugiej pod względem wielkości powierzchni przeznaczonej bezpośrednio na prowadzenie gier hazardowych przez podmiot bądź podmioty ubiegające się </w:t>
      </w:r>
      <w:r w:rsidR="00015E1D"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wielkości powierzchni przeznaczonej bezpośrednio na prowadzenie gier hazardowych przez podmiot bądź podmioty ubiegające się o udzielenie koncesji.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4. Terminowość rozpoczynania dotychczasowej działalności po uzyskaniu koncesji lub zezwolenia w wyniku przetargu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 xml:space="preserve">3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>w tym okresie koncesję lub zezwolenie w wyniku przetargu i rozpoczął działalność w terminie zadeklarowanym w ofercie, z zastrzeżeniem, że w przypadku podmiotu, który w tym okresie uzyskał więcej niż jedną koncesję lub zezwolenie, liczba punktów mieści się w przedziale od 0 do 3, odpowiednio: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3 pkt – w przypadku otwarcia w zadeklarowanym terminie od 100 % do 75 %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2 pkt – w przypadku otwarcia w zadeklarowanym terminie poniżej 75 % do 50 %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przypadku otwarcia w zadeklarowanym terminie poniżej 50 % do 25 %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0 pkt – w przypadku otwarcia w zadeklarowanym terminie poniżej 25 % ośrodków;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podmiotu ubiegającego się o udzielenie koncesji lub zezwolenia, który: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dotychczas nie uzyskał koncesji lub zezwolenia w wyniku przetargu, w tym dotychczas nie przystępował do przetargu,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uzyskał koncesję lub zezwolenie w wyniku przetargu w innym okresie,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nie może być poddany ocenie ze względu na fakt, że deklarowany termin rozpoczęcia działalności jeszcze nie upłynął;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 xml:space="preserve">0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 xml:space="preserve">w tym okresie koncesję lub zezwolenie w wyniku przetargu, lecz nie rozpoczął działalności </w:t>
      </w:r>
      <w:r w:rsidRPr="003076BB">
        <w:rPr>
          <w:rFonts w:ascii="Calibri" w:hAnsi="Calibri" w:cs="Calibri"/>
          <w:szCs w:val="24"/>
        </w:rPr>
        <w:br/>
        <w:t>w zadeklarowanym w ofercie terminie.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 xml:space="preserve">5. Zgodność wysokości podstawy opodatkowania podatkiem od gier uprzednio deklarowanej przez podmiot, który uzyskał koncesję lub zezwolenie w wyniku przetargu, z realnie uzyskaną </w:t>
      </w:r>
      <w:r w:rsidR="00E619C0">
        <w:rPr>
          <w:rFonts w:ascii="Calibri" w:hAnsi="Calibri" w:cs="Calibri"/>
          <w:b/>
          <w:bCs/>
          <w:szCs w:val="24"/>
        </w:rPr>
        <w:br/>
      </w:r>
      <w:r w:rsidRPr="003076BB">
        <w:rPr>
          <w:rFonts w:ascii="Calibri" w:hAnsi="Calibri" w:cs="Calibri"/>
          <w:b/>
          <w:bCs/>
          <w:szCs w:val="24"/>
        </w:rPr>
        <w:t>w działalności prowadzonej na podstawie takiej koncesji lub zezwolenia, biorąc pod uwagę koncesje i zezwolenia uzyskane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4 pkt – w przypadku gdy zgodność pomiędzy deklarowaną a realnie uzyskaną podstawą opodatkowania występuje w przedziale powyżej 75 % do 100%,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gdy zgodność pomiędzy deklarowaną a realnie uzyskaną podstawą opodatkowania występuje w przedziale od 50 % do 75 %,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2 pkt – w przypadku podmiotów, które dotychczas nie przystępowały do przetargu lub uzyskały koncesję lub zezwolenie w wyniku przetargu w innym okresie, lub w stosunku do których nie jest możliwe zweryfikowanie deklarowanej wysokości podstawy opodatkowania ze względu na zbyt krótki okres sprawozdawczości,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</w:t>
      </w:r>
      <w:r w:rsidRPr="003076BB">
        <w:rPr>
          <w:rFonts w:ascii="Calibri" w:hAnsi="Calibri" w:cs="Calibri"/>
          <w:szCs w:val="24"/>
        </w:rPr>
        <w:tab/>
        <w:t>0 pkt – w przypadku gdy zgodność pomiędzy deklarowaną a realnie uzyskaną podstawą opodatkowania podatkiem od gier wynosi poniżej 50 %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- przy czym w przypadku podmiotu, który w okresie ostatnich trzech lat kalendarzowych poprzedzających rok, w którym zostało ogłoszone zawiadomienie o przetargu, uzyskał więcej </w:t>
      </w:r>
      <w:r w:rsidR="00E619C0">
        <w:rPr>
          <w:rFonts w:ascii="Calibri" w:hAnsi="Calibri" w:cs="Calibri"/>
          <w:szCs w:val="24"/>
        </w:rPr>
        <w:br/>
      </w:r>
      <w:r w:rsidRPr="003076BB">
        <w:rPr>
          <w:rFonts w:ascii="Calibri" w:hAnsi="Calibri" w:cs="Calibri"/>
          <w:szCs w:val="24"/>
        </w:rPr>
        <w:t>niż jedną koncesję lub zezwolenie w wyniku przetargu, bierze się pod uwagę średnią kwot podstawy opodatkowania deklarowanych i uzyskanych.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6. Przypadki cofnięcia koncesji, zezwolenia lub innego zezwolenia w zakresie gier hazardowych lub wezwania przez organ udzielający takiej koncesji lub zezwoleń do usunięcia stwierdzonych uchybień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podmiotu: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któremu w tym okresie nie cofnięto koncesji, zezwolenia lub innego zezwolenia w zakresie gier hazardowych ani do którego nie skierowano w tym okresie wezwania do usunięcia stwierdzonych uchybień,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który nie prowadził w tym okresie działalności w zakresie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podmiotu, do którego w tym okresie skierowano wezwanie do usunięcia stwierdzonych uchybień bądź któremu cofnięto koncesję, zezwolenie lub inne zezwolenie w zakresie gier hazardowych.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7. Uchybienia w dotychczas prowadzonej działalności w zakresie gier hazardowych, potwierdzone przez organ udzielający koncesji, zezwolenia lub innego zezwolenia w zakresie gier hazardowych lub organ właściwy w sprawach kontroli w okresie ostatnich trzech lat kalendarzowych poprzedzających rok, w którym z</w:t>
      </w:r>
      <w:r w:rsidR="00EA1EFE" w:rsidRPr="003076BB">
        <w:rPr>
          <w:rFonts w:ascii="Calibri" w:hAnsi="Calibri" w:cs="Calibri"/>
          <w:b/>
          <w:bCs/>
          <w:szCs w:val="24"/>
        </w:rPr>
        <w:t xml:space="preserve">ostało ogłoszone zawiadomienie </w:t>
      </w:r>
      <w:r w:rsidRPr="003076BB">
        <w:rPr>
          <w:rFonts w:ascii="Calibri" w:hAnsi="Calibri" w:cs="Calibri"/>
          <w:b/>
          <w:bCs/>
          <w:szCs w:val="24"/>
        </w:rPr>
        <w:t>o przetargu: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nie stwierdzono uchybień, które w tym okresie zostały potwierdzone, oraz w przypadku podmiotów, które w tym okresie nie prowadziły działalności w zakresie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stwierdzono uchybienia, które w tym okresie zostały potwierdzone.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8. Rentowność (wynik netto w każdym z ostatnich trzech lat działalności):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wyniku dodatniego;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1 pkt – w przypadku podmiotów, co do których nie można ustalić wyniku netto w trzech ostatnich latach działalności;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0 pkt – w przypadku wyniku ujemnego.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3076BB">
        <w:rPr>
          <w:rFonts w:ascii="Calibri" w:hAnsi="Calibri" w:cs="Calibri"/>
          <w:b/>
          <w:color w:val="auto"/>
          <w:sz w:val="24"/>
          <w:szCs w:val="24"/>
        </w:rPr>
        <w:t>9. Doświadczenie na rynku gier hazardowych: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podmiot posiada doświadczenie na rynku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podmiot nie posiada doświadczenia na rynku gier hazardowych.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10. Stwierdzone przez organ udzielający koncesji lub zezwolenia lub organ właściwy w sprawach kontroli niedotrzymanie warunków deklarowanych w ofercie, w zakresie kryteriów oceny ofert, o których mowa w ust. 1 pkt 1, 3 i 3b przez podmiot, który uzyskał koncesję lub zezwolenie </w:t>
      </w:r>
      <w:r w:rsidR="00E07B38"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 xml:space="preserve">w wyniku przetargu, w okresie trzech lat od uzyskania koncesji lub zezwolenia, przy czym stwierdzone niedotrzymanie warunków deklarowanych w ofercie bierze się pod uwagę </w:t>
      </w:r>
      <w:r w:rsidR="00E07B38"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>w przetargach ogłoszonych w okresie sześciu lat od uzyskania koncesji lub zezwolenia: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1) 2 pkt – w przypadku gdy nie stwierdzono niedotrzymania warunków deklarowanych w ofercie przez podmiot bądź podmioty ubiegające się o udzielenie koncesji lub zezwolenia;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2) 1 pkt – w przypadku podmiotów, które dotychczas nie uzyskały koncesji lub zezwolenia w wyniku przetargu, w tym dotychczas nie przystępowały do przetargu, lub uzyskały koncesję lub zezwolenie w wyniku przetargu w innym okresie;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  <w:szCs w:val="24"/>
        </w:rPr>
      </w:pPr>
      <w:r w:rsidRPr="003076BB">
        <w:rPr>
          <w:rFonts w:ascii="Calibri" w:hAnsi="Calibri" w:cs="Calibri"/>
          <w:bCs/>
          <w:color w:val="auto"/>
          <w:sz w:val="24"/>
        </w:rPr>
        <w:t xml:space="preserve">3) 0 pkt – w przypadku gdy stwierdzono co najmniej jeden przypadek niedotrzymania warunków deklarowanych w ofercie przez podmiot bądź podmioty ubiegające się o udzielenie koncesji </w:t>
      </w:r>
      <w:r w:rsidR="00E07B38">
        <w:rPr>
          <w:rFonts w:ascii="Calibri" w:hAnsi="Calibri" w:cs="Calibri"/>
          <w:bCs/>
          <w:color w:val="auto"/>
          <w:sz w:val="24"/>
        </w:rPr>
        <w:br/>
      </w:r>
      <w:r w:rsidRPr="003076BB">
        <w:rPr>
          <w:rFonts w:ascii="Calibri" w:hAnsi="Calibri" w:cs="Calibri"/>
          <w:bCs/>
          <w:color w:val="auto"/>
          <w:sz w:val="24"/>
        </w:rPr>
        <w:t xml:space="preserve">lub </w:t>
      </w:r>
      <w:r w:rsidRPr="003076BB">
        <w:rPr>
          <w:rFonts w:ascii="Calibri" w:hAnsi="Calibri" w:cs="Calibri"/>
          <w:bCs/>
          <w:color w:val="auto"/>
          <w:sz w:val="24"/>
          <w:szCs w:val="24"/>
        </w:rPr>
        <w:t>zezwolenia</w:t>
      </w:r>
      <w:r w:rsidRPr="003076BB">
        <w:rPr>
          <w:rFonts w:ascii="Calibri" w:hAnsi="Calibri" w:cs="Calibri"/>
          <w:color w:val="auto"/>
          <w:sz w:val="24"/>
          <w:szCs w:val="24"/>
        </w:rPr>
        <w:t>.</w:t>
      </w:r>
    </w:p>
    <w:sectPr w:rsidR="00922632" w:rsidRPr="003076BB" w:rsidSect="008C19F8">
      <w:footerReference w:type="default" r:id="rId7"/>
      <w:pgSz w:w="11906" w:h="16838"/>
      <w:pgMar w:top="993" w:right="1134" w:bottom="993" w:left="1134" w:header="709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EC" w:rsidRDefault="00AC0FEC">
      <w:r>
        <w:separator/>
      </w:r>
    </w:p>
  </w:endnote>
  <w:endnote w:type="continuationSeparator" w:id="0">
    <w:p w:rsidR="00AC0FEC" w:rsidRDefault="00AC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F3" w:rsidRPr="00C06CE5" w:rsidRDefault="00922632">
    <w:pPr>
      <w:pStyle w:val="Stopka"/>
      <w:jc w:val="center"/>
      <w:rPr>
        <w:rFonts w:ascii="Times New Roman" w:hAnsi="Times New Roman"/>
      </w:rPr>
    </w:pPr>
    <w:r w:rsidRPr="00C06CE5">
      <w:rPr>
        <w:rFonts w:ascii="Times New Roman" w:hAnsi="Times New Roman"/>
      </w:rPr>
      <w:fldChar w:fldCharType="begin"/>
    </w:r>
    <w:r w:rsidRPr="00C06CE5">
      <w:rPr>
        <w:rFonts w:ascii="Times New Roman" w:hAnsi="Times New Roman"/>
      </w:rPr>
      <w:instrText xml:space="preserve">\PAGE </w:instrText>
    </w:r>
    <w:r w:rsidRPr="00C06CE5">
      <w:rPr>
        <w:rFonts w:ascii="Times New Roman" w:hAnsi="Times New Roman"/>
      </w:rPr>
      <w:fldChar w:fldCharType="separate"/>
    </w:r>
    <w:r w:rsidR="001C3120">
      <w:rPr>
        <w:rFonts w:ascii="Times New Roman" w:hAnsi="Times New Roman"/>
        <w:noProof/>
      </w:rPr>
      <w:t>3</w:t>
    </w:r>
    <w:r w:rsidRPr="00C06CE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EC" w:rsidRDefault="00AC0FEC">
      <w:r>
        <w:separator/>
      </w:r>
    </w:p>
  </w:footnote>
  <w:footnote w:type="continuationSeparator" w:id="0">
    <w:p w:rsidR="00AC0FEC" w:rsidRDefault="00AC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7EF3"/>
    <w:multiLevelType w:val="hybridMultilevel"/>
    <w:tmpl w:val="00AC2332"/>
    <w:lvl w:ilvl="0" w:tplc="79E4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32"/>
    <w:rsid w:val="0000552A"/>
    <w:rsid w:val="00015E1D"/>
    <w:rsid w:val="000704A6"/>
    <w:rsid w:val="000B4767"/>
    <w:rsid w:val="000E447E"/>
    <w:rsid w:val="00120F8C"/>
    <w:rsid w:val="00123281"/>
    <w:rsid w:val="00123D92"/>
    <w:rsid w:val="001C3120"/>
    <w:rsid w:val="001D0741"/>
    <w:rsid w:val="00207411"/>
    <w:rsid w:val="002173ED"/>
    <w:rsid w:val="00275A4D"/>
    <w:rsid w:val="002A0C41"/>
    <w:rsid w:val="002A31E7"/>
    <w:rsid w:val="003076BB"/>
    <w:rsid w:val="003331E5"/>
    <w:rsid w:val="00444F23"/>
    <w:rsid w:val="004E7BEA"/>
    <w:rsid w:val="006A6A66"/>
    <w:rsid w:val="00732C6F"/>
    <w:rsid w:val="007563FA"/>
    <w:rsid w:val="007601E0"/>
    <w:rsid w:val="007F7CEC"/>
    <w:rsid w:val="008C4DFC"/>
    <w:rsid w:val="00922632"/>
    <w:rsid w:val="00931D6E"/>
    <w:rsid w:val="009738EC"/>
    <w:rsid w:val="009E0AE1"/>
    <w:rsid w:val="00A01C33"/>
    <w:rsid w:val="00A026C4"/>
    <w:rsid w:val="00A97789"/>
    <w:rsid w:val="00AA26A5"/>
    <w:rsid w:val="00AC0FEC"/>
    <w:rsid w:val="00B33DB3"/>
    <w:rsid w:val="00B54091"/>
    <w:rsid w:val="00BC2415"/>
    <w:rsid w:val="00CA2441"/>
    <w:rsid w:val="00CF5CE4"/>
    <w:rsid w:val="00D02971"/>
    <w:rsid w:val="00D47C3A"/>
    <w:rsid w:val="00D53814"/>
    <w:rsid w:val="00D61C49"/>
    <w:rsid w:val="00E07B38"/>
    <w:rsid w:val="00E252E0"/>
    <w:rsid w:val="00E40FD0"/>
    <w:rsid w:val="00E619C0"/>
    <w:rsid w:val="00EA1EFE"/>
    <w:rsid w:val="00F04B0B"/>
    <w:rsid w:val="00FA29F3"/>
    <w:rsid w:val="00FB1216"/>
    <w:rsid w:val="00FC0580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F2C33-4D7F-41E7-B202-8278460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2632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922632"/>
    <w:rPr>
      <w:rFonts w:ascii="Arial PL" w:eastAsia="Times New Roman" w:hAnsi="Arial P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22632"/>
    <w:pPr>
      <w:overflowPunct/>
      <w:autoSpaceDE/>
      <w:autoSpaceDN/>
      <w:adjustRightInd/>
      <w:textAlignment w:val="auto"/>
    </w:pPr>
    <w:rPr>
      <w:rFonts w:ascii="Verdana" w:eastAsia="Arial Unicode MS" w:hAnsi="Verdana" w:cs="Arial Unicode MS"/>
      <w:color w:val="000000"/>
      <w:sz w:val="13"/>
      <w:szCs w:val="13"/>
    </w:rPr>
  </w:style>
  <w:style w:type="paragraph" w:customStyle="1" w:styleId="Default">
    <w:name w:val="Default"/>
    <w:rsid w:val="00922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2263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1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Budnicka Larysa</dc:creator>
  <cp:lastModifiedBy>Klimaszewska Ewa</cp:lastModifiedBy>
  <cp:revision>3</cp:revision>
  <cp:lastPrinted>2021-07-21T06:42:00Z</cp:lastPrinted>
  <dcterms:created xsi:type="dcterms:W3CDTF">2021-07-15T12:18:00Z</dcterms:created>
  <dcterms:modified xsi:type="dcterms:W3CDTF">2021-07-16T11:44:00Z</dcterms:modified>
</cp:coreProperties>
</file>