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8507" w14:textId="26E4B000" w:rsidR="00171160" w:rsidRDefault="00CA3DA2" w:rsidP="007972CE">
      <w:pPr>
        <w:spacing w:after="0" w:line="240" w:lineRule="auto"/>
        <w:jc w:val="center"/>
        <w:rPr>
          <w:b/>
          <w:bCs/>
          <w:lang w:val="pl-PL"/>
        </w:rPr>
      </w:pPr>
      <w:r>
        <w:rPr>
          <w:b/>
          <w:bCs/>
          <w:lang w:val="pl-PL"/>
        </w:rPr>
        <w:t xml:space="preserve">Opinia </w:t>
      </w:r>
      <w:r w:rsidR="00171160">
        <w:rPr>
          <w:b/>
          <w:bCs/>
          <w:lang w:val="pl-PL"/>
        </w:rPr>
        <w:t>Komisji Kodyfikacyjnej Prawa Karnego</w:t>
      </w:r>
    </w:p>
    <w:p w14:paraId="09B47932" w14:textId="038F7C36" w:rsidR="007972CE" w:rsidRDefault="007972CE" w:rsidP="007972CE">
      <w:pPr>
        <w:spacing w:after="0" w:line="240" w:lineRule="auto"/>
        <w:jc w:val="center"/>
        <w:rPr>
          <w:b/>
          <w:bCs/>
          <w:lang w:val="pl-PL"/>
        </w:rPr>
      </w:pPr>
      <w:r w:rsidRPr="001F5F37">
        <w:rPr>
          <w:b/>
          <w:bCs/>
          <w:lang w:val="pl-PL"/>
        </w:rPr>
        <w:t>do projektu nowelizacji Kodeksu post</w:t>
      </w:r>
      <w:r w:rsidR="0096531F">
        <w:rPr>
          <w:b/>
          <w:bCs/>
          <w:lang w:val="pl-PL"/>
        </w:rPr>
        <w:t>ę</w:t>
      </w:r>
      <w:r w:rsidRPr="001F5F37">
        <w:rPr>
          <w:b/>
          <w:bCs/>
          <w:lang w:val="pl-PL"/>
        </w:rPr>
        <w:t xml:space="preserve">powania karnego </w:t>
      </w:r>
    </w:p>
    <w:p w14:paraId="4F121CC4" w14:textId="4D0D1391" w:rsidR="007972CE" w:rsidRPr="001F5F37" w:rsidRDefault="007972CE" w:rsidP="007972CE">
      <w:pPr>
        <w:spacing w:after="0" w:line="240" w:lineRule="auto"/>
        <w:jc w:val="center"/>
        <w:rPr>
          <w:b/>
          <w:bCs/>
          <w:lang w:val="pl-PL"/>
        </w:rPr>
      </w:pPr>
      <w:r w:rsidRPr="001F5F37">
        <w:rPr>
          <w:b/>
          <w:bCs/>
          <w:lang w:val="pl-PL"/>
        </w:rPr>
        <w:t>w</w:t>
      </w:r>
      <w:r>
        <w:rPr>
          <w:b/>
          <w:bCs/>
          <w:lang w:val="pl-PL"/>
        </w:rPr>
        <w:t>ykonującej</w:t>
      </w:r>
      <w:r w:rsidRPr="001F5F37">
        <w:rPr>
          <w:b/>
          <w:bCs/>
          <w:lang w:val="pl-PL"/>
        </w:rPr>
        <w:t xml:space="preserve"> wyrok TSUE z dnia 30 kwietnia 2024 r. C – 178/22.</w:t>
      </w:r>
    </w:p>
    <w:p w14:paraId="04E66951" w14:textId="77777777" w:rsidR="007972CE" w:rsidRDefault="007972CE" w:rsidP="007972CE">
      <w:pPr>
        <w:jc w:val="both"/>
        <w:rPr>
          <w:lang w:val="pl-PL"/>
        </w:rPr>
      </w:pPr>
    </w:p>
    <w:p w14:paraId="1663014D" w14:textId="77777777" w:rsidR="007972CE" w:rsidRPr="00123CD7" w:rsidRDefault="007972CE" w:rsidP="007972CE">
      <w:pPr>
        <w:jc w:val="both"/>
        <w:rPr>
          <w:b/>
          <w:bCs/>
          <w:lang w:val="pl-PL"/>
        </w:rPr>
      </w:pPr>
      <w:r w:rsidRPr="00123CD7">
        <w:rPr>
          <w:b/>
          <w:bCs/>
          <w:lang w:val="pl-PL"/>
        </w:rPr>
        <w:t>I. Wprowadzenie – co wynika z wyroku TS?</w:t>
      </w:r>
    </w:p>
    <w:p w14:paraId="6F359547" w14:textId="77777777" w:rsidR="007972CE" w:rsidRDefault="007972CE" w:rsidP="007972CE">
      <w:pPr>
        <w:jc w:val="both"/>
        <w:rPr>
          <w:lang w:val="pl-PL"/>
        </w:rPr>
      </w:pPr>
      <w:r>
        <w:rPr>
          <w:lang w:val="pl-PL"/>
        </w:rPr>
        <w:t xml:space="preserve">1. W pierwszej kolejności należy określić, jakiej kategorii danych teleinformatycznych dotyczy ww. wyrok. Pytanie pochodziło od </w:t>
      </w:r>
      <w:r w:rsidRPr="00A207C4">
        <w:rPr>
          <w:lang w:val="pl-PL"/>
        </w:rPr>
        <w:t xml:space="preserve">sędziego prowadzącego postępowanie przygotowawcze sądu w </w:t>
      </w:r>
      <w:proofErr w:type="spellStart"/>
      <w:r w:rsidRPr="00A207C4">
        <w:rPr>
          <w:lang w:val="pl-PL"/>
        </w:rPr>
        <w:t>Bolzano</w:t>
      </w:r>
      <w:proofErr w:type="spellEnd"/>
      <w:r w:rsidRPr="00A207C4">
        <w:rPr>
          <w:lang w:val="pl-PL"/>
        </w:rPr>
        <w:t xml:space="preserve"> </w:t>
      </w:r>
      <w:r>
        <w:rPr>
          <w:lang w:val="pl-PL"/>
        </w:rPr>
        <w:t>(</w:t>
      </w:r>
      <w:r w:rsidRPr="00A207C4">
        <w:rPr>
          <w:lang w:val="pl-PL"/>
        </w:rPr>
        <w:t xml:space="preserve">Włochy), </w:t>
      </w:r>
      <w:r>
        <w:rPr>
          <w:lang w:val="pl-PL"/>
        </w:rPr>
        <w:t xml:space="preserve">od którego zażądano, aby </w:t>
      </w:r>
      <w:r w:rsidRPr="00A207C4">
        <w:rPr>
          <w:lang w:val="pl-PL"/>
        </w:rPr>
        <w:t xml:space="preserve">udzielił zgody na dostęp do danych osobowych zatrzymywanych przez dostawców usług łączności elektronicznej w celu ustalenia sprawców dwóch kwalifikowanych kradzieży telefonów komórkowych. </w:t>
      </w:r>
      <w:r>
        <w:rPr>
          <w:lang w:val="pl-PL"/>
        </w:rPr>
        <w:t xml:space="preserve">Pytanie sądu krajowego i wyrok TS odnosił się konkretnie do danych o ruchu lub lokalizacji, które pozwalają na </w:t>
      </w:r>
      <w:r w:rsidRPr="001F5F37">
        <w:rPr>
          <w:lang w:val="pl-PL"/>
        </w:rPr>
        <w:t>wyciągnięcie precyzyjnych wniosków dotyczących życia prywatnego użytkownika środka łączności elektronicznej</w:t>
      </w:r>
      <w:r>
        <w:rPr>
          <w:lang w:val="pl-PL"/>
        </w:rPr>
        <w:t xml:space="preserve">. Z omawianego wyroku TS </w:t>
      </w:r>
      <w:r w:rsidRPr="001F5F37">
        <w:rPr>
          <w:b/>
          <w:bCs/>
          <w:lang w:val="pl-PL"/>
        </w:rPr>
        <w:t xml:space="preserve">nie </w:t>
      </w:r>
      <w:r>
        <w:rPr>
          <w:b/>
          <w:bCs/>
          <w:lang w:val="pl-PL"/>
        </w:rPr>
        <w:t>należy zatem wyciągać wniosków co do pozyskiwania danych jedynie</w:t>
      </w:r>
      <w:r w:rsidRPr="001F5F37">
        <w:rPr>
          <w:b/>
          <w:bCs/>
          <w:lang w:val="pl-PL"/>
        </w:rPr>
        <w:t xml:space="preserve"> identyfikujących abonenta ww. usług</w:t>
      </w:r>
      <w:r>
        <w:rPr>
          <w:lang w:val="pl-PL"/>
        </w:rPr>
        <w:t xml:space="preserve">. </w:t>
      </w:r>
    </w:p>
    <w:p w14:paraId="75ACA85F" w14:textId="1A8E2D48" w:rsidR="007972CE" w:rsidRPr="007A56EA" w:rsidRDefault="007972CE" w:rsidP="007972CE">
      <w:pPr>
        <w:jc w:val="both"/>
        <w:rPr>
          <w:b/>
          <w:bCs/>
          <w:lang w:val="pl-PL"/>
        </w:rPr>
      </w:pPr>
      <w:r>
        <w:rPr>
          <w:lang w:val="pl-PL"/>
        </w:rPr>
        <w:t xml:space="preserve">2. Po drugie, należy uwzględnić kontekst wydania tego wyroku. Sąd włoski pytał w istocie o zgodność z prawem unijnym prawa włoskiego, które już wprowadziło próg ustawowego zagrożenia karą co najmniej 3 lat pozbawienia wolności (górna jej granica) jako wyznaczający dopuszczalność pozyskiwania i wykorzystania w procesie karnym danych o ruchu lub lokalizacji. Według prawa włoskiego oprócz przestępstw zagrożonych co najmniej taką karą, ww. dane można było pozyskiwać także w postępowaniu o groźby karalne oraz nękanie lub niepokojenie za pomocą telefonu. Sąd włoski pytał w istocie, czy prawo krajowe jest proporcjonalne, czyli czy kradzież telefonów, zagrożona karą do 3 lat pozbawienia wolności jest „poważnym przestępstwem” w </w:t>
      </w:r>
      <w:proofErr w:type="gramStart"/>
      <w:r>
        <w:rPr>
          <w:lang w:val="pl-PL"/>
        </w:rPr>
        <w:t>postępowaniu</w:t>
      </w:r>
      <w:proofErr w:type="gramEnd"/>
      <w:r>
        <w:rPr>
          <w:lang w:val="pl-PL"/>
        </w:rPr>
        <w:t xml:space="preserve"> o które takie dane telekomunikacyjne mogą być pozyskiwane. Powołał się przy tym na wcześniejsze orzeczenie TS, z dnia 2 marca 2021 r. (sprawa </w:t>
      </w:r>
      <w:proofErr w:type="spellStart"/>
      <w:r w:rsidRPr="007A56EA">
        <w:rPr>
          <w:i/>
          <w:iCs/>
          <w:lang w:val="pl-PL"/>
        </w:rPr>
        <w:t>Prokuratuur</w:t>
      </w:r>
      <w:proofErr w:type="spellEnd"/>
      <w:r>
        <w:rPr>
          <w:lang w:val="pl-PL"/>
        </w:rPr>
        <w:t xml:space="preserve"> (w</w:t>
      </w:r>
      <w:r w:rsidRPr="004B7862">
        <w:rPr>
          <w:lang w:val="pl-PL"/>
        </w:rPr>
        <w:t>arunki dostępu do danych dotyczących łączności elektronicznej), C</w:t>
      </w:r>
      <w:r w:rsidRPr="004B7862">
        <w:rPr>
          <w:lang w:val="pl-PL"/>
        </w:rPr>
        <w:noBreakHyphen/>
        <w:t>746/18, EU:C:2021:152</w:t>
      </w:r>
      <w:r>
        <w:rPr>
          <w:lang w:val="pl-PL"/>
        </w:rPr>
        <w:t xml:space="preserve">)), w którego punkcie 45 TS stwierdził, że ww. dane mogą być pozyskiwane </w:t>
      </w:r>
      <w:r w:rsidRPr="00675256">
        <w:rPr>
          <w:lang w:val="pl-PL"/>
        </w:rPr>
        <w:t>jedynie w przypadku ścigania poważnych przestępstw, takich jak poważne zagrożenia bezpieczeństwa publicznego, rozumianego jako bezpieczeństwo państwa, i inne formy poważnej przestępczości.</w:t>
      </w:r>
      <w:r>
        <w:rPr>
          <w:lang w:val="pl-PL"/>
        </w:rPr>
        <w:t xml:space="preserve"> W ocenie sądu pytającego przestępstwo kradzieży telefonów nie należy do „poważnej przestępczości”. TS wyraźnie stwierdził, że </w:t>
      </w:r>
      <w:r w:rsidRPr="007A56EA">
        <w:rPr>
          <w:b/>
          <w:bCs/>
          <w:lang w:val="pl-PL"/>
        </w:rPr>
        <w:t>to do państw członkowskich należy zdefiniowanie „poważnych przestępstw” do celów stosowania art. 15 ust. 1 dyrektywy 2002/58, ale jednocześnie przypomniał, że dokonane przez państwa członkowskie określenie „poważnych przestępstw” musi spełniać wymogi wynikające z owego art. 15 ust. 1 w związku z art. 7, 8 i 11 oraz art. 52 ust. 1 Karty Praw Podstawowych UE.</w:t>
      </w:r>
      <w:r>
        <w:rPr>
          <w:b/>
          <w:bCs/>
          <w:lang w:val="pl-PL"/>
        </w:rPr>
        <w:t xml:space="preserve"> Dostęp nie może stać się regułą, nie należy zatem wypaczać rozumienia pojęcia „poważne przestępstwa”.</w:t>
      </w:r>
    </w:p>
    <w:p w14:paraId="7BC42DC8" w14:textId="77777777" w:rsidR="007972CE" w:rsidRDefault="007972CE" w:rsidP="007972CE">
      <w:pPr>
        <w:jc w:val="both"/>
        <w:rPr>
          <w:lang w:val="pl-PL"/>
        </w:rPr>
      </w:pPr>
      <w:r>
        <w:rPr>
          <w:lang w:val="pl-PL"/>
        </w:rPr>
        <w:t xml:space="preserve">3. Co do organu uprawnionego w prawie krajowym do wyrażania zgody na pozyskanie ww. danych, TS w zasadzie odwołał się do swojego stanowiska wyrażonego w sprawie </w:t>
      </w:r>
      <w:proofErr w:type="spellStart"/>
      <w:r w:rsidRPr="007A56EA">
        <w:rPr>
          <w:i/>
          <w:iCs/>
          <w:lang w:val="pl-PL"/>
        </w:rPr>
        <w:t>Prokuratuur</w:t>
      </w:r>
      <w:proofErr w:type="spellEnd"/>
      <w:r>
        <w:rPr>
          <w:lang w:val="pl-PL"/>
        </w:rPr>
        <w:t xml:space="preserve"> i stwierdził: „… </w:t>
      </w:r>
      <w:r w:rsidRPr="007A56EA">
        <w:rPr>
          <w:lang w:val="pl-PL"/>
        </w:rPr>
        <w:t>ważne jest, aby dostęp właściwych organów krajowych do zatrzymanych danych był, z wyjątkiem należycie uzasadnionych pilnych przypadków, uzależniony od uprzedniej kontroli sądu lub niezależnego organu administracyjnego</w:t>
      </w:r>
      <w:r>
        <w:rPr>
          <w:lang w:val="pl-PL"/>
        </w:rPr>
        <w:t>”</w:t>
      </w:r>
      <w:r w:rsidRPr="007A56EA">
        <w:rPr>
          <w:lang w:val="pl-PL"/>
        </w:rPr>
        <w:t xml:space="preserve"> [pkt 48–51</w:t>
      </w:r>
      <w:r>
        <w:rPr>
          <w:lang w:val="pl-PL"/>
        </w:rPr>
        <w:t xml:space="preserve"> wyroku w sprawie </w:t>
      </w:r>
      <w:proofErr w:type="spellStart"/>
      <w:r w:rsidRPr="007A56EA">
        <w:rPr>
          <w:i/>
          <w:iCs/>
          <w:lang w:val="pl-PL"/>
        </w:rPr>
        <w:t>Prokuratuur</w:t>
      </w:r>
      <w:proofErr w:type="spellEnd"/>
      <w:r w:rsidRPr="007A56EA">
        <w:rPr>
          <w:lang w:val="pl-PL"/>
        </w:rPr>
        <w:t>].</w:t>
      </w:r>
      <w:r w:rsidRPr="00675256">
        <w:rPr>
          <w:lang w:val="pl-PL"/>
        </w:rPr>
        <w:t xml:space="preserve"> </w:t>
      </w:r>
      <w:r>
        <w:rPr>
          <w:lang w:val="pl-PL"/>
        </w:rPr>
        <w:t xml:space="preserve"> </w:t>
      </w:r>
    </w:p>
    <w:p w14:paraId="301D59CD" w14:textId="77777777" w:rsidR="007972CE" w:rsidRDefault="007972CE" w:rsidP="007972CE">
      <w:pPr>
        <w:jc w:val="both"/>
        <w:rPr>
          <w:lang w:val="pl-PL"/>
        </w:rPr>
      </w:pPr>
      <w:r>
        <w:rPr>
          <w:lang w:val="pl-PL"/>
        </w:rPr>
        <w:t>Ostatecznie TS udzielił następującej odpowiedzi na pytanie prejudycjalne:</w:t>
      </w:r>
    </w:p>
    <w:p w14:paraId="710AE8F5" w14:textId="77777777" w:rsidR="007972CE" w:rsidRPr="008A67F4" w:rsidRDefault="007972CE" w:rsidP="007972CE">
      <w:pPr>
        <w:jc w:val="both"/>
        <w:rPr>
          <w:lang w:val="pl-PL"/>
        </w:rPr>
      </w:pPr>
      <w:r w:rsidRPr="008A67F4">
        <w:rPr>
          <w:lang w:val="pl-PL"/>
        </w:rPr>
        <w:t xml:space="preserve">Artykuł 15 ust. 1 dyrektywy 2002/58/WE </w:t>
      </w:r>
      <w:r>
        <w:rPr>
          <w:lang w:val="pl-PL"/>
        </w:rPr>
        <w:t xml:space="preserve">[…] </w:t>
      </w:r>
      <w:r w:rsidRPr="008A67F4">
        <w:rPr>
          <w:lang w:val="pl-PL"/>
        </w:rPr>
        <w:t>w związku z art. 7, 8 i 11 oraz art. 52 ust. 1 K</w:t>
      </w:r>
      <w:r>
        <w:rPr>
          <w:lang w:val="pl-PL"/>
        </w:rPr>
        <w:t xml:space="preserve">PP </w:t>
      </w:r>
      <w:r w:rsidRPr="008A67F4">
        <w:rPr>
          <w:lang w:val="pl-PL"/>
        </w:rPr>
        <w:t xml:space="preserve">należy interpretować w ten sposób, że </w:t>
      </w:r>
      <w:r w:rsidRPr="008A67F4">
        <w:rPr>
          <w:b/>
          <w:bCs/>
          <w:lang w:val="pl-PL"/>
        </w:rPr>
        <w:t>nie stoi on na przeszkodzie</w:t>
      </w:r>
      <w:r w:rsidRPr="008A67F4">
        <w:rPr>
          <w:lang w:val="pl-PL"/>
        </w:rPr>
        <w:t xml:space="preserve"> przepisowi krajowemu zobowiązującemu sąd krajowy orzekający w ramach uprzedniej kontroli dokonywanej po przedstawieniu przez właściwy organ </w:t>
      </w:r>
      <w:r w:rsidRPr="008A67F4">
        <w:rPr>
          <w:lang w:val="pl-PL"/>
        </w:rPr>
        <w:lastRenderedPageBreak/>
        <w:t xml:space="preserve">krajowy w ramach karnego postępowania przygotowawczego uzasadnionego wniosku o dostęp do zbioru </w:t>
      </w:r>
      <w:r w:rsidRPr="008A67F4">
        <w:rPr>
          <w:b/>
          <w:bCs/>
          <w:lang w:val="pl-PL"/>
        </w:rPr>
        <w:t>danych o ruchu lub danych o lokalizacji</w:t>
      </w:r>
      <w:r w:rsidRPr="008A67F4">
        <w:rPr>
          <w:lang w:val="pl-PL"/>
        </w:rPr>
        <w:t xml:space="preserve"> </w:t>
      </w:r>
      <w:r w:rsidRPr="008A67F4">
        <w:rPr>
          <w:b/>
          <w:bCs/>
          <w:lang w:val="pl-PL"/>
        </w:rPr>
        <w:t>mogących pozwolić na wyciągnięcie precyzyjnych wniosków dotyczących życia prywatnego</w:t>
      </w:r>
      <w:r w:rsidRPr="008A67F4">
        <w:rPr>
          <w:lang w:val="pl-PL"/>
        </w:rPr>
        <w:t xml:space="preserve"> użytkownika środka łączności elektronicznej, które to dane są zatrzymywane przez dostawców usług łączności elektronicznej, do wydania zgody na udzielenie tego dostępu, </w:t>
      </w:r>
      <w:r w:rsidRPr="008A67F4">
        <w:rPr>
          <w:b/>
          <w:bCs/>
          <w:lang w:val="pl-PL"/>
        </w:rPr>
        <w:t>jeżeli zażądano go do celów dochodzenia przestępstw zagrożonych w prawie krajowym karą pozbawienia wolności, której górna granica ustawowego zagrożenia wynosi nie mniej niż trzy lata, z zastrzeżeniem, że istnieją wystarczające przesłanki popełnienia takich przestępstw i że dane te są istotne dla ustalenia okoliczności faktycznych</w:t>
      </w:r>
      <w:r w:rsidRPr="008A67F4">
        <w:rPr>
          <w:lang w:val="pl-PL"/>
        </w:rPr>
        <w:t xml:space="preserve">, pod warunkiem jednak, iż </w:t>
      </w:r>
      <w:r w:rsidRPr="008A67F4">
        <w:rPr>
          <w:b/>
          <w:bCs/>
          <w:lang w:val="pl-PL"/>
        </w:rPr>
        <w:t>ów sąd jest uprawniony do odmowy udzielenia wspomnianego dostępu,</w:t>
      </w:r>
      <w:r w:rsidRPr="008A67F4">
        <w:rPr>
          <w:lang w:val="pl-PL"/>
        </w:rPr>
        <w:t xml:space="preserve"> jeżeli jest on wnioskowany w ramach dochodzenia dotyczącego przestępstwa, które w sposób oczywisty jest przestępstwem mniejszej wagi w świetle warunków społecznych panujących w danym państwie.</w:t>
      </w:r>
    </w:p>
    <w:p w14:paraId="4A97F6E4" w14:textId="77777777" w:rsidR="007972CE" w:rsidRDefault="007972CE" w:rsidP="007972CE">
      <w:pPr>
        <w:rPr>
          <w:b/>
          <w:bCs/>
          <w:lang w:val="pl-PL"/>
        </w:rPr>
      </w:pPr>
    </w:p>
    <w:p w14:paraId="42E75448" w14:textId="77777777" w:rsidR="007972CE" w:rsidRPr="00123CD7" w:rsidRDefault="007972CE" w:rsidP="007972CE">
      <w:pPr>
        <w:rPr>
          <w:b/>
          <w:bCs/>
          <w:lang w:val="pl-PL"/>
        </w:rPr>
      </w:pPr>
      <w:r w:rsidRPr="00123CD7">
        <w:rPr>
          <w:b/>
          <w:bCs/>
          <w:lang w:val="pl-PL"/>
        </w:rPr>
        <w:t>II. Wykonanie wyroku TS – propozycje Ministerstwa Sprawiedliwości</w:t>
      </w:r>
    </w:p>
    <w:p w14:paraId="3F9924A0" w14:textId="77777777" w:rsidR="007972CE" w:rsidRDefault="007972CE" w:rsidP="007972CE">
      <w:pPr>
        <w:rPr>
          <w:lang w:val="pl-PL"/>
        </w:rPr>
      </w:pPr>
      <w:r>
        <w:rPr>
          <w:lang w:val="pl-PL"/>
        </w:rPr>
        <w:t xml:space="preserve">W ocenie Ministerstwa Sprawiedliwości w celu wykonania tego wyroku konieczna jest zmiana art. 218 i 218a k.p.k. </w:t>
      </w:r>
    </w:p>
    <w:p w14:paraId="711ED920" w14:textId="77777777" w:rsidR="007972CE" w:rsidRDefault="007972CE" w:rsidP="007972CE">
      <w:pPr>
        <w:rPr>
          <w:lang w:val="pl-PL"/>
        </w:rPr>
      </w:pPr>
      <w:r>
        <w:rPr>
          <w:lang w:val="pl-PL"/>
        </w:rPr>
        <w:t>MS proponuje następujące brzmienie tych przepisów:</w:t>
      </w:r>
    </w:p>
    <w:p w14:paraId="477C9A02" w14:textId="77777777" w:rsidR="007972CE" w:rsidRPr="00704011" w:rsidRDefault="007972CE" w:rsidP="007972CE">
      <w:pPr>
        <w:spacing w:after="120" w:line="240" w:lineRule="auto"/>
        <w:jc w:val="both"/>
        <w:rPr>
          <w:rFonts w:cstheme="minorHAnsi"/>
          <w:b/>
          <w:bCs/>
          <w:u w:val="single"/>
          <w:lang w:val="pl-PL"/>
        </w:rPr>
      </w:pPr>
      <w:r w:rsidRPr="00704011">
        <w:rPr>
          <w:rFonts w:cstheme="minorHAnsi"/>
          <w:b/>
          <w:bCs/>
          <w:u w:val="single"/>
          <w:lang w:val="pl-PL"/>
        </w:rPr>
        <w:t>Art. 218 przez dodanie § 1a – 1c</w:t>
      </w:r>
    </w:p>
    <w:p w14:paraId="122D2276" w14:textId="77777777" w:rsidR="007972CE" w:rsidRPr="00704011" w:rsidRDefault="007972CE" w:rsidP="007972CE">
      <w:pPr>
        <w:spacing w:after="120" w:line="240" w:lineRule="auto"/>
        <w:jc w:val="both"/>
        <w:rPr>
          <w:rFonts w:cstheme="minorHAnsi"/>
          <w:lang w:val="pl-PL"/>
        </w:rPr>
      </w:pPr>
      <w:r w:rsidRPr="00704011">
        <w:rPr>
          <w:rFonts w:cstheme="minorHAnsi"/>
          <w:b/>
          <w:bCs/>
          <w:lang w:val="pl-PL"/>
        </w:rPr>
        <w:t>§ 1.</w:t>
      </w:r>
      <w:r w:rsidRPr="00704011">
        <w:rPr>
          <w:rFonts w:cstheme="minorHAnsi"/>
          <w:lang w:val="pl-PL"/>
        </w:rPr>
        <w:t xml:space="preserve"> </w:t>
      </w:r>
      <w:r w:rsidRPr="00704011">
        <w:rPr>
          <w:rFonts w:cstheme="minorHAnsi"/>
          <w:lang w:val="pl-PL"/>
        </w:rPr>
        <w:tab/>
        <w:t>Urzędy, instytucje i podmioty prowadzące działalność w dziedzinie poczty lub działalność telekomunikacyjną, urzędy celno-skarbowe oraz instytucje i przedsiębiorstwa transportowe obowiązane są wydać sądowi lub prokuratorowi, na żądanie zawarte w postanowieniu, korespondencję i przesyłki oraz dane, o których mowa w art. 180c i art. 180d ustawy z dnia 16 lipca 2004 r. - Prawo telekomunikacyjne (Dz. U. z 2022 r. poz. 1648, 1933 i 2581 oraz z 2023 r. poz. 1394, 1703 i 2005), jeżeli mają znaczenie dla toczącego się postępowania. Tylko sąd lub prokurator mają prawo je otwierać lub zarządzić ich otwarcie.</w:t>
      </w:r>
    </w:p>
    <w:p w14:paraId="688FB346" w14:textId="77777777" w:rsidR="007972CE" w:rsidRPr="00F70E56" w:rsidRDefault="007972CE" w:rsidP="007972CE">
      <w:pPr>
        <w:spacing w:after="120" w:line="240" w:lineRule="auto"/>
        <w:jc w:val="both"/>
        <w:rPr>
          <w:rFonts w:cstheme="minorHAnsi"/>
          <w:color w:val="000000"/>
          <w:lang w:val="pl-PL"/>
        </w:rPr>
      </w:pPr>
      <w:r w:rsidRPr="00F70E56">
        <w:rPr>
          <w:rFonts w:cstheme="minorHAnsi"/>
          <w:b/>
          <w:bCs/>
          <w:lang w:val="pl-PL"/>
        </w:rPr>
        <w:t>§ 1a.</w:t>
      </w:r>
      <w:r w:rsidRPr="00F70E56">
        <w:rPr>
          <w:rFonts w:cstheme="minorHAnsi"/>
          <w:lang w:val="pl-PL"/>
        </w:rPr>
        <w:t xml:space="preserve"> </w:t>
      </w:r>
      <w:r w:rsidRPr="00F70E56">
        <w:rPr>
          <w:rFonts w:cstheme="minorHAnsi"/>
          <w:color w:val="000000"/>
          <w:lang w:val="pl-PL"/>
        </w:rPr>
        <w:t>Po wszczęciu postępowania, sąd na wniosek prokuratora może wyrazić zgodę na wydanie prokuratorowi danych, o których mowa w art. 180c i art. 180d ustawy z dnia 16 lipca 2004 r. - Prawo telekomunikacyjne (Dz. U. z 2022 r. poz. 1648, 1933 i 2581 oraz z 2023 r. poz. 1394, 1703 i 2005). Postanowienie w tym zakresie wydaje sąd rejonowy, w którego okręgu prowadzi się postępowanie.</w:t>
      </w:r>
    </w:p>
    <w:p w14:paraId="6BDD7D49" w14:textId="77777777" w:rsidR="007972CE" w:rsidRPr="00F70E56" w:rsidRDefault="007972CE" w:rsidP="007972CE">
      <w:pPr>
        <w:tabs>
          <w:tab w:val="left" w:pos="180"/>
        </w:tabs>
        <w:spacing w:after="120" w:line="240" w:lineRule="auto"/>
        <w:jc w:val="both"/>
        <w:rPr>
          <w:rFonts w:cstheme="minorHAnsi"/>
          <w:color w:val="000000"/>
          <w:lang w:val="pl-PL"/>
        </w:rPr>
      </w:pPr>
      <w:r w:rsidRPr="00F70E56">
        <w:rPr>
          <w:rFonts w:cstheme="minorHAnsi"/>
          <w:b/>
          <w:bCs/>
          <w:color w:val="000000"/>
          <w:lang w:val="pl-PL"/>
        </w:rPr>
        <w:t>§ 1b</w:t>
      </w:r>
      <w:r w:rsidRPr="00F70E56">
        <w:rPr>
          <w:rFonts w:cstheme="minorHAnsi"/>
          <w:color w:val="000000"/>
          <w:lang w:val="pl-PL"/>
        </w:rPr>
        <w:t xml:space="preserve">. W przypadkach niecierpiących zwłoki, prokurator może żądać wydania danych, o których mowa w art. 180c i art. 180d ustawy z dnia 16 lipca 2004 r. - Prawo telekomunikacyjne (Dz. U. z 2022 r. poz. 1648, 1933 i 2581 oraz z 2023 r. poz. 1394, 1703 i 2005). Jest on zobowiązany zwrócić się w terminie 3 dni do sądu z wnioskiem o zatwierdzenie postanowienia. Sąd wydaje postanowienie w przedmiocie wniosku w terminie 5 dni na posiedzeniu bez udziału stron. W razie niezatwierdzenia postanowienia prokuratora sąd w postanowieniu wydanym w przedmiocie wniosku zarządza zwrot danych, o których mowa w §1a. Zaskarżenie postanowienia wstrzymuje jego wykonanie. </w:t>
      </w:r>
    </w:p>
    <w:p w14:paraId="2B1C5933" w14:textId="77777777" w:rsidR="007972CE" w:rsidRPr="00704011" w:rsidRDefault="007972CE" w:rsidP="007972CE">
      <w:pPr>
        <w:spacing w:after="120" w:line="240" w:lineRule="auto"/>
        <w:jc w:val="both"/>
        <w:rPr>
          <w:rFonts w:cstheme="minorHAnsi"/>
          <w:color w:val="000000"/>
          <w:lang w:val="pl-PL"/>
        </w:rPr>
      </w:pPr>
      <w:r w:rsidRPr="00F70E56">
        <w:rPr>
          <w:rFonts w:cstheme="minorHAnsi"/>
          <w:b/>
          <w:bCs/>
          <w:color w:val="000000"/>
          <w:lang w:val="pl-PL"/>
        </w:rPr>
        <w:t>§ 1 c.</w:t>
      </w:r>
      <w:r w:rsidRPr="00F70E56">
        <w:rPr>
          <w:rFonts w:cstheme="minorHAnsi"/>
          <w:color w:val="000000"/>
          <w:lang w:val="pl-PL"/>
        </w:rPr>
        <w:t xml:space="preserve"> Wydanie danych, o których mowa w art. 180c i art. 180d ustawy z dnia 16 lipca 2004 r. - Prawo telekomunikacyjne (Dz. U. z 2022 r. poz. 1648, 1933 i 2581 oraz z 2023 r. poz. 1394, 1703 i 2005) jest dopuszczalne tylko wtedy, gdy</w:t>
      </w:r>
      <w:r w:rsidRPr="00F70E56">
        <w:rPr>
          <w:lang w:val="pl-PL"/>
        </w:rPr>
        <w:t xml:space="preserve"> istnieje </w:t>
      </w:r>
      <w:r w:rsidRPr="00F70E56">
        <w:rPr>
          <w:rFonts w:cstheme="minorHAnsi"/>
          <w:color w:val="000000"/>
          <w:lang w:val="pl-PL"/>
        </w:rPr>
        <w:t xml:space="preserve">prawdopodobieństwo popełnienia przestępstwa zagrożonego karą pozbawienia której górna granica wynosi co najmniej 3 lata (alternatywnie </w:t>
      </w:r>
      <w:r w:rsidRPr="00F70E56">
        <w:rPr>
          <w:rFonts w:cstheme="minorHAnsi"/>
          <w:i/>
          <w:iCs/>
          <w:color w:val="000000"/>
          <w:lang w:val="pl-PL"/>
        </w:rPr>
        <w:t>ciężkiego przestępstwa – Zgodnie z wyrokiem TSUE pojęcie poważnej przestępczości należy do wykładni prawa krajowego</w:t>
      </w:r>
      <w:r w:rsidRPr="00F70E56">
        <w:rPr>
          <w:rFonts w:cstheme="minorHAnsi"/>
          <w:color w:val="000000"/>
          <w:lang w:val="pl-PL"/>
        </w:rPr>
        <w:t>).</w:t>
      </w:r>
    </w:p>
    <w:p w14:paraId="7996C0C8" w14:textId="77777777" w:rsidR="007972CE" w:rsidRPr="00704011" w:rsidRDefault="007972CE" w:rsidP="007972CE">
      <w:pPr>
        <w:spacing w:after="120" w:line="240" w:lineRule="auto"/>
        <w:jc w:val="both"/>
        <w:rPr>
          <w:rFonts w:cstheme="minorHAnsi"/>
          <w:color w:val="000000"/>
          <w:lang w:val="pl-PL"/>
        </w:rPr>
      </w:pPr>
      <w:r w:rsidRPr="00704011">
        <w:rPr>
          <w:rFonts w:cstheme="minorHAnsi"/>
          <w:b/>
          <w:bCs/>
          <w:color w:val="000000"/>
          <w:lang w:val="pl-PL"/>
        </w:rPr>
        <w:t>§ 2.</w:t>
      </w:r>
      <w:r w:rsidRPr="00704011">
        <w:rPr>
          <w:rFonts w:cstheme="minorHAnsi"/>
          <w:color w:val="000000"/>
          <w:lang w:val="pl-PL"/>
        </w:rPr>
        <w:t xml:space="preserve"> </w:t>
      </w:r>
      <w:r w:rsidRPr="00704011">
        <w:rPr>
          <w:rFonts w:cstheme="minorHAnsi"/>
          <w:color w:val="000000"/>
          <w:lang w:val="pl-PL"/>
        </w:rPr>
        <w:tab/>
        <w:t xml:space="preserve">Postanowienie, o którym mowa w § 1, doręcza się adresatom korespondencji oraz abonentowi telefonu lub nadawcy, którego wykaz połączeń lub innych przekazów informacji został wydany. Doręczenie </w:t>
      </w:r>
      <w:r w:rsidRPr="00704011">
        <w:rPr>
          <w:rFonts w:cstheme="minorHAnsi"/>
          <w:color w:val="000000"/>
          <w:lang w:val="pl-PL"/>
        </w:rPr>
        <w:lastRenderedPageBreak/>
        <w:t>postanowienia może być odroczone na czas oznaczony, niezbędny ze względu na dobro sprawy, lecz nie później niż do czasu prawomocnego zakończenia postępowania.</w:t>
      </w:r>
    </w:p>
    <w:p w14:paraId="276EAEE5" w14:textId="77777777" w:rsidR="007972CE" w:rsidRPr="00704011" w:rsidRDefault="007972CE" w:rsidP="007972CE">
      <w:pPr>
        <w:spacing w:after="120" w:line="240" w:lineRule="auto"/>
        <w:jc w:val="both"/>
        <w:rPr>
          <w:rFonts w:cstheme="minorHAnsi"/>
          <w:color w:val="000000"/>
          <w:lang w:val="pl-PL"/>
        </w:rPr>
      </w:pPr>
      <w:r w:rsidRPr="00704011">
        <w:rPr>
          <w:rFonts w:cstheme="minorHAnsi"/>
          <w:color w:val="000000"/>
          <w:lang w:val="pl-PL"/>
        </w:rPr>
        <w:t xml:space="preserve">§ 3. </w:t>
      </w:r>
      <w:r w:rsidRPr="00704011">
        <w:rPr>
          <w:rFonts w:cstheme="minorHAnsi"/>
          <w:color w:val="000000"/>
          <w:lang w:val="pl-PL"/>
        </w:rPr>
        <w:tab/>
        <w:t>Pozbawioną znaczenia dla postępowania karnego korespondencję i przesyłki należy niezwłocznie zwrócić właściwym urzędom, instytucjom lub przedsiębiorstwom wymienionym w § 1.</w:t>
      </w:r>
    </w:p>
    <w:p w14:paraId="5C3852F1" w14:textId="77777777" w:rsidR="007972CE" w:rsidRPr="00704011" w:rsidRDefault="007972CE" w:rsidP="007972CE">
      <w:pPr>
        <w:tabs>
          <w:tab w:val="left" w:pos="1665"/>
        </w:tabs>
        <w:spacing w:after="120" w:line="240" w:lineRule="auto"/>
        <w:jc w:val="both"/>
        <w:rPr>
          <w:rFonts w:cstheme="minorHAnsi"/>
          <w:b/>
          <w:bCs/>
          <w:color w:val="000000"/>
          <w:u w:val="single"/>
          <w:lang w:val="pl-PL"/>
        </w:rPr>
      </w:pPr>
      <w:r w:rsidRPr="00704011">
        <w:rPr>
          <w:rFonts w:cstheme="minorHAnsi"/>
          <w:b/>
          <w:bCs/>
          <w:color w:val="000000"/>
          <w:u w:val="single"/>
          <w:lang w:val="pl-PL"/>
        </w:rPr>
        <w:t xml:space="preserve">Art. 218a </w:t>
      </w:r>
      <w:r w:rsidRPr="00704011">
        <w:rPr>
          <w:rFonts w:cstheme="minorHAnsi"/>
          <w:b/>
          <w:bCs/>
          <w:u w:val="single"/>
          <w:lang w:val="pl-PL"/>
        </w:rPr>
        <w:t>przez dodanie § 1a – 1c</w:t>
      </w:r>
    </w:p>
    <w:p w14:paraId="77D2D9E3" w14:textId="77777777" w:rsidR="007972CE" w:rsidRPr="00704011" w:rsidRDefault="007972CE" w:rsidP="007972CE">
      <w:pPr>
        <w:tabs>
          <w:tab w:val="left" w:pos="1665"/>
        </w:tabs>
        <w:spacing w:after="120" w:line="240" w:lineRule="auto"/>
        <w:jc w:val="both"/>
        <w:rPr>
          <w:rFonts w:cstheme="minorHAnsi"/>
          <w:color w:val="000000"/>
          <w:lang w:val="pl-PL"/>
        </w:rPr>
      </w:pPr>
      <w:r w:rsidRPr="00704011">
        <w:rPr>
          <w:rFonts w:cstheme="minorHAnsi"/>
          <w:color w:val="000000"/>
          <w:lang w:val="pl-PL"/>
        </w:rPr>
        <w:t>§ 1. Urzędy, instytucje i podmioty prowadzące działalność telekomunikacyjną lub świadczące usługi drogą elektroniczną oraz dostawcy usług cyfrowych obowiązani są niezwłocznie zabezpieczyć, na żądanie sądu lub prokuratora zawarte w postanowieniu, na czas określony, nieprzekraczający jednak 90 dni, dane informatyczne przechowywane w urządzeniach zawierających te dane na nośniku lub w systemie informatycznym. W sprawach o przestępstwa określone w art. 200b, art. 202 § 3, 4, 4a, 4b lub art. 255a Kodeksu karnego oraz w rozdziale 7 ustawy z dnia 29 lipca 2005 r. o przeciwdziałaniu narkomanii (Dz. U. z 2023 r. poz. 1939) zabezpieczenie może być połączone z obowiązkiem uniemożliwienia dostępu do tych danych. Przepis art. 218 § 2 zdanie drugie stosuje się odpowiednio.</w:t>
      </w:r>
    </w:p>
    <w:p w14:paraId="6EFDE0B5" w14:textId="77777777" w:rsidR="007972CE" w:rsidRPr="00F70E56" w:rsidRDefault="007972CE" w:rsidP="007972CE">
      <w:pPr>
        <w:tabs>
          <w:tab w:val="left" w:pos="1665"/>
        </w:tabs>
        <w:spacing w:after="120" w:line="240" w:lineRule="auto"/>
        <w:jc w:val="both"/>
        <w:rPr>
          <w:rFonts w:cstheme="minorHAnsi"/>
          <w:color w:val="000000"/>
          <w:lang w:val="pl-PL"/>
        </w:rPr>
      </w:pPr>
      <w:r w:rsidRPr="00F70E56">
        <w:rPr>
          <w:rFonts w:cstheme="minorHAnsi"/>
          <w:b/>
          <w:bCs/>
          <w:color w:val="000000"/>
          <w:lang w:val="pl-PL"/>
        </w:rPr>
        <w:t xml:space="preserve">§ 1a. </w:t>
      </w:r>
      <w:r w:rsidRPr="00F70E56">
        <w:rPr>
          <w:rFonts w:cstheme="minorHAnsi"/>
          <w:color w:val="000000"/>
          <w:lang w:val="pl-PL"/>
        </w:rPr>
        <w:t>Po wszczęciu postępowania, sąd na wniosek prokuratora może wyrazić zgodę na zabezpieczenie danych informatycznych, o których mowa w §1. Postanowienie w tym zakresie stosuje sąd rejonowy, w którego okręgu prowadzi się postępowanie.</w:t>
      </w:r>
    </w:p>
    <w:p w14:paraId="1CA27AB7" w14:textId="77777777" w:rsidR="007972CE" w:rsidRPr="00F70E56" w:rsidRDefault="007972CE" w:rsidP="007972CE">
      <w:pPr>
        <w:spacing w:after="120" w:line="240" w:lineRule="auto"/>
        <w:jc w:val="both"/>
        <w:rPr>
          <w:rFonts w:cstheme="minorHAnsi"/>
          <w:color w:val="000000"/>
          <w:lang w:val="pl-PL"/>
        </w:rPr>
      </w:pPr>
      <w:r w:rsidRPr="00F70E56">
        <w:rPr>
          <w:rFonts w:cstheme="minorHAnsi"/>
          <w:b/>
          <w:bCs/>
          <w:color w:val="000000"/>
          <w:lang w:val="pl-PL"/>
        </w:rPr>
        <w:t>§ 1b.</w:t>
      </w:r>
      <w:r w:rsidRPr="00F70E56">
        <w:rPr>
          <w:rFonts w:cstheme="minorHAnsi"/>
          <w:color w:val="000000"/>
          <w:lang w:val="pl-PL"/>
        </w:rPr>
        <w:t xml:space="preserve"> W przypadkach niecierpiących zwłoki zabezpieczenie danych informatycznych, o których mowa w §1 może zarządzić prokurator. Jest on zobowiązany zwrócić się w terminie 3 dni do sądu z wnioskiem o zatwierdzenie postanowienia. Sąd wydaje postanowienie w przedmiocie wniosku w terminie 5 dni na posiedzeniu bez udziału stron. W razie niezatwierdzenia postanowienia prokuratora sąd w postanowieniu wydanym w przedmiocie wniosku zarządza zwolnienie spod zabezpieczenia danych informatycznych, o których mowa w §1. Zaskarżenie postanowienia wstrzymuje jego wykonanie.</w:t>
      </w:r>
    </w:p>
    <w:p w14:paraId="204A74CE" w14:textId="77777777" w:rsidR="007972CE" w:rsidRPr="00704011" w:rsidRDefault="007972CE" w:rsidP="007972CE">
      <w:pPr>
        <w:spacing w:after="120" w:line="240" w:lineRule="auto"/>
        <w:jc w:val="both"/>
        <w:rPr>
          <w:rFonts w:cstheme="minorHAnsi"/>
          <w:color w:val="000000" w:themeColor="text1"/>
          <w:lang w:val="pl-PL"/>
        </w:rPr>
      </w:pPr>
      <w:r w:rsidRPr="00F70E56">
        <w:rPr>
          <w:rFonts w:cstheme="minorHAnsi"/>
          <w:b/>
          <w:bCs/>
          <w:color w:val="000000" w:themeColor="text1"/>
          <w:lang w:val="pl-PL"/>
        </w:rPr>
        <w:t>§ 1c</w:t>
      </w:r>
      <w:r w:rsidRPr="00F70E56">
        <w:rPr>
          <w:rFonts w:cstheme="minorHAnsi"/>
          <w:color w:val="000000" w:themeColor="text1"/>
          <w:lang w:val="pl-PL"/>
        </w:rPr>
        <w:t xml:space="preserve">. Zabezpieczenie danych informatycznych, o których mowa w §1 jest dopuszczalne tylko wtedy, gdy </w:t>
      </w:r>
      <w:r w:rsidRPr="00F70E56">
        <w:rPr>
          <w:color w:val="000000" w:themeColor="text1"/>
          <w:lang w:val="pl-PL"/>
        </w:rPr>
        <w:t xml:space="preserve">istnieje </w:t>
      </w:r>
      <w:r w:rsidRPr="00F70E56">
        <w:rPr>
          <w:rFonts w:cstheme="minorHAnsi"/>
          <w:color w:val="000000" w:themeColor="text1"/>
          <w:lang w:val="pl-PL"/>
        </w:rPr>
        <w:t xml:space="preserve">prawdopodobieństwo popełnienia przestępstwa zagrożonego karą pozbawienia, której górna granica wynosi co najmniej 3 lata </w:t>
      </w:r>
      <w:r w:rsidRPr="00F70E56">
        <w:rPr>
          <w:rFonts w:cstheme="minorHAnsi"/>
          <w:color w:val="000000"/>
          <w:lang w:val="pl-PL"/>
        </w:rPr>
        <w:t xml:space="preserve">(alternatywnie </w:t>
      </w:r>
      <w:r w:rsidRPr="00F70E56">
        <w:rPr>
          <w:rFonts w:cstheme="minorHAnsi"/>
          <w:i/>
          <w:iCs/>
          <w:color w:val="000000"/>
          <w:lang w:val="pl-PL"/>
        </w:rPr>
        <w:t>ciężkiego przestępstwa – Zgodnie z wyrokiem TSUE pojęcie poważnej przestępczości należy do wykładni prawa krajowego</w:t>
      </w:r>
      <w:r w:rsidRPr="00F70E56">
        <w:rPr>
          <w:rFonts w:cstheme="minorHAnsi"/>
          <w:color w:val="000000"/>
          <w:lang w:val="pl-PL"/>
        </w:rPr>
        <w:t>).</w:t>
      </w:r>
    </w:p>
    <w:p w14:paraId="636FD0C2" w14:textId="77777777" w:rsidR="007972CE" w:rsidRPr="00704011" w:rsidRDefault="007972CE" w:rsidP="007972CE">
      <w:pPr>
        <w:spacing w:after="120" w:line="240" w:lineRule="auto"/>
        <w:jc w:val="both"/>
        <w:rPr>
          <w:rFonts w:cstheme="minorHAnsi"/>
          <w:color w:val="000000" w:themeColor="text1"/>
          <w:lang w:val="pl-PL"/>
        </w:rPr>
      </w:pPr>
      <w:r w:rsidRPr="00704011">
        <w:rPr>
          <w:b/>
          <w:bCs/>
          <w:color w:val="000000" w:themeColor="text1"/>
          <w:lang w:val="pl-PL"/>
        </w:rPr>
        <w:t>§ 2.</w:t>
      </w:r>
      <w:r w:rsidRPr="00704011">
        <w:rPr>
          <w:color w:val="000000" w:themeColor="text1"/>
          <w:lang w:val="pl-PL"/>
        </w:rPr>
        <w:t xml:space="preserve"> </w:t>
      </w:r>
      <w:r w:rsidRPr="00704011">
        <w:rPr>
          <w:color w:val="000000" w:themeColor="text1"/>
          <w:lang w:val="pl-PL"/>
        </w:rPr>
        <w:tab/>
        <w:t>Pozbawione znaczenia dla postępowania karnego dane informatyczne, o których mowa w § 1, należy niezwłocznie zwolnić spod zabezpieczenia.</w:t>
      </w:r>
    </w:p>
    <w:p w14:paraId="53A89F15" w14:textId="77777777" w:rsidR="007972CE" w:rsidRPr="00704011" w:rsidRDefault="007972CE" w:rsidP="007972CE">
      <w:pPr>
        <w:spacing w:after="120" w:line="240" w:lineRule="auto"/>
        <w:jc w:val="both"/>
        <w:rPr>
          <w:color w:val="000000" w:themeColor="text1"/>
          <w:lang w:val="pl-PL"/>
        </w:rPr>
      </w:pPr>
      <w:r w:rsidRPr="00704011">
        <w:rPr>
          <w:b/>
          <w:bCs/>
          <w:color w:val="000000" w:themeColor="text1"/>
          <w:lang w:val="pl-PL"/>
        </w:rPr>
        <w:t>§ 3.</w:t>
      </w:r>
      <w:r w:rsidRPr="00704011">
        <w:rPr>
          <w:color w:val="000000" w:themeColor="text1"/>
          <w:lang w:val="pl-PL"/>
        </w:rPr>
        <w:t xml:space="preserve"> </w:t>
      </w:r>
      <w:r w:rsidRPr="00704011">
        <w:rPr>
          <w:color w:val="000000" w:themeColor="text1"/>
          <w:lang w:val="pl-PL"/>
        </w:rPr>
        <w:tab/>
        <w:t>Przepisy § 1 i 2 stosuje się odpowiednio do zabezpieczania treści publikowanych lub udostępnianych drogą elektroniczną, przy czym podmiotem obowiązanym do wykonania żądania sądu lub prokuratora może być również administrator treści.</w:t>
      </w:r>
    </w:p>
    <w:p w14:paraId="06EBC518" w14:textId="77777777" w:rsidR="007972CE" w:rsidRPr="00704011" w:rsidRDefault="007972CE" w:rsidP="007972CE">
      <w:pPr>
        <w:spacing w:after="120" w:line="240" w:lineRule="auto"/>
        <w:jc w:val="both"/>
        <w:rPr>
          <w:color w:val="000000" w:themeColor="text1"/>
          <w:lang w:val="pl-PL"/>
        </w:rPr>
      </w:pPr>
      <w:r w:rsidRPr="00704011">
        <w:rPr>
          <w:b/>
          <w:bCs/>
          <w:color w:val="000000" w:themeColor="text1"/>
          <w:lang w:val="pl-PL"/>
        </w:rPr>
        <w:t>§ 4.</w:t>
      </w:r>
      <w:r w:rsidRPr="00704011">
        <w:rPr>
          <w:color w:val="000000" w:themeColor="text1"/>
          <w:lang w:val="pl-PL"/>
        </w:rPr>
        <w:t xml:space="preserve"> </w:t>
      </w:r>
      <w:r w:rsidRPr="00704011">
        <w:rPr>
          <w:color w:val="000000" w:themeColor="text1"/>
          <w:lang w:val="pl-PL"/>
        </w:rPr>
        <w:tab/>
        <w:t>Jeżeli publikacja lub udostępnienie treści, o których mowa w § 3, stanowiło czyn zabroniony, o którym mowa w § 1, sąd lub prokurator może zarządzić usunięcie tych treści, nakładając obowiązek wykonania postanowienia na podmioty, o których mowa w § 1 lub 3.</w:t>
      </w:r>
    </w:p>
    <w:p w14:paraId="1DF4E2BE" w14:textId="77777777" w:rsidR="007972CE" w:rsidRDefault="007972CE" w:rsidP="007972CE">
      <w:pPr>
        <w:rPr>
          <w:lang w:val="pl-PL"/>
        </w:rPr>
      </w:pPr>
    </w:p>
    <w:p w14:paraId="56AB4F44" w14:textId="77777777" w:rsidR="007972CE" w:rsidRPr="00123CD7" w:rsidRDefault="007972CE" w:rsidP="007972CE">
      <w:pPr>
        <w:rPr>
          <w:rFonts w:cstheme="minorHAnsi"/>
          <w:b/>
          <w:bCs/>
          <w:lang w:val="pl-PL"/>
        </w:rPr>
      </w:pPr>
      <w:r w:rsidRPr="00123CD7">
        <w:rPr>
          <w:b/>
          <w:bCs/>
          <w:lang w:val="pl-PL"/>
        </w:rPr>
        <w:t xml:space="preserve">III. </w:t>
      </w:r>
      <w:r w:rsidRPr="00123CD7">
        <w:rPr>
          <w:rFonts w:cstheme="minorHAnsi"/>
          <w:b/>
          <w:bCs/>
          <w:lang w:val="pl-PL"/>
        </w:rPr>
        <w:t>Uwagi do proponowanych zmian</w:t>
      </w:r>
    </w:p>
    <w:p w14:paraId="050CBF0B" w14:textId="77777777" w:rsidR="007972CE" w:rsidRDefault="007972CE" w:rsidP="007972CE">
      <w:pPr>
        <w:jc w:val="both"/>
        <w:rPr>
          <w:rFonts w:cstheme="minorHAnsi"/>
          <w:lang w:val="pl-PL"/>
        </w:rPr>
      </w:pPr>
      <w:r>
        <w:rPr>
          <w:rFonts w:cstheme="minorHAnsi"/>
          <w:lang w:val="pl-PL"/>
        </w:rPr>
        <w:t xml:space="preserve">Ocenę proponowanych zmian powinno poprzedzić poczynienie dwóch założeń. </w:t>
      </w:r>
    </w:p>
    <w:p w14:paraId="5509CC95" w14:textId="77777777" w:rsidR="007972CE" w:rsidRDefault="007972CE" w:rsidP="007972CE">
      <w:pPr>
        <w:pStyle w:val="Akapitzlist"/>
        <w:numPr>
          <w:ilvl w:val="0"/>
          <w:numId w:val="2"/>
        </w:numPr>
        <w:jc w:val="both"/>
        <w:rPr>
          <w:rFonts w:cstheme="minorHAnsi"/>
          <w:lang w:val="pl-PL"/>
        </w:rPr>
      </w:pPr>
      <w:r w:rsidRPr="00123CD7">
        <w:rPr>
          <w:rFonts w:cstheme="minorHAnsi"/>
          <w:lang w:val="pl-PL"/>
        </w:rPr>
        <w:t xml:space="preserve">Po pierwsze, wyrok TS nie dotyczy wszystkich danych teleinformatycznych pozyskiwanych dla procesu karnego. W istocie dotyczy tylko danych lokalizacyjnych, określanych też mianem danych o ruchu. </w:t>
      </w:r>
    </w:p>
    <w:p w14:paraId="73FA43D2" w14:textId="77777777" w:rsidR="007972CE" w:rsidRPr="00091511" w:rsidRDefault="007972CE" w:rsidP="007972CE">
      <w:pPr>
        <w:pStyle w:val="Akapitzlist"/>
        <w:numPr>
          <w:ilvl w:val="0"/>
          <w:numId w:val="2"/>
        </w:numPr>
        <w:jc w:val="both"/>
        <w:rPr>
          <w:rStyle w:val="Uwydatnienie"/>
          <w:rFonts w:cstheme="minorHAnsi"/>
          <w:i w:val="0"/>
          <w:iCs w:val="0"/>
          <w:lang w:val="pl-PL"/>
        </w:rPr>
      </w:pPr>
      <w:r>
        <w:rPr>
          <w:rFonts w:cstheme="minorHAnsi"/>
          <w:lang w:val="pl-PL"/>
        </w:rPr>
        <w:lastRenderedPageBreak/>
        <w:t>Po drugie, propozycja wykonania tego wyroku powinna uwzględniać standard dostępu do danych teleinformatycznych wyznaczony przez niedawno przyjęte unijne akty prawne określane mianem „pakietu e-</w:t>
      </w:r>
      <w:proofErr w:type="spellStart"/>
      <w:r>
        <w:rPr>
          <w:rFonts w:cstheme="minorHAnsi"/>
          <w:lang w:val="pl-PL"/>
        </w:rPr>
        <w:t>evidence</w:t>
      </w:r>
      <w:proofErr w:type="spellEnd"/>
      <w:r>
        <w:rPr>
          <w:rFonts w:cstheme="minorHAnsi"/>
          <w:lang w:val="pl-PL"/>
        </w:rPr>
        <w:t xml:space="preserve">”. Pomimo, że Rozporządzenie </w:t>
      </w:r>
      <w:r w:rsidRPr="001D3A7C">
        <w:rPr>
          <w:rFonts w:cstheme="minorHAnsi"/>
          <w:color w:val="333333"/>
          <w:lang w:val="pl-PL"/>
        </w:rPr>
        <w:t>PE i Rady (UE) 2023/1543 z dnia 12 lipca 2023 r. w sprawie europejskich nakazów wydania i europejskich nakazów zabezpieczenia dowodów elektronicznych w postępowaniu karnym oraz w postępowaniu karnym wykonawczym w związku z wykonaniem kar pozbawienia wolności (</w:t>
      </w:r>
      <w:r w:rsidRPr="001D3A7C">
        <w:rPr>
          <w:rStyle w:val="Uwydatnienie"/>
          <w:rFonts w:cstheme="minorHAnsi"/>
          <w:color w:val="333333"/>
          <w:lang w:val="pl-PL"/>
        </w:rPr>
        <w:t>Dz.</w:t>
      </w:r>
      <w:r w:rsidRPr="001D3A7C">
        <w:rPr>
          <w:rStyle w:val="Uwydatnienie"/>
          <w:rFonts w:eastAsiaTheme="majorEastAsia" w:cstheme="minorHAnsi"/>
          <w:color w:val="333333"/>
          <w:lang w:val="pl-PL"/>
        </w:rPr>
        <w:t xml:space="preserve"> </w:t>
      </w:r>
      <w:r w:rsidRPr="001D3A7C">
        <w:rPr>
          <w:rStyle w:val="Uwydatnienie"/>
          <w:rFonts w:cstheme="minorHAnsi"/>
          <w:color w:val="333333"/>
          <w:lang w:val="pl-PL"/>
        </w:rPr>
        <w:t>U</w:t>
      </w:r>
      <w:r w:rsidRPr="001D3A7C">
        <w:rPr>
          <w:rStyle w:val="Uwydatnienie"/>
          <w:rFonts w:eastAsiaTheme="majorEastAsia" w:cstheme="minorHAnsi"/>
          <w:color w:val="333333"/>
          <w:lang w:val="pl-PL"/>
        </w:rPr>
        <w:t>rz</w:t>
      </w:r>
      <w:r w:rsidRPr="001D3A7C">
        <w:rPr>
          <w:rStyle w:val="Uwydatnienie"/>
          <w:rFonts w:cstheme="minorHAnsi"/>
          <w:color w:val="333333"/>
          <w:lang w:val="pl-PL"/>
        </w:rPr>
        <w:t xml:space="preserve">. L 191 z 28.7.2023, </w:t>
      </w:r>
      <w:r w:rsidRPr="001D3A7C">
        <w:rPr>
          <w:rStyle w:val="Uwydatnienie"/>
          <w:rFonts w:eastAsiaTheme="majorEastAsia" w:cstheme="minorHAnsi"/>
          <w:color w:val="333333"/>
          <w:lang w:val="pl-PL"/>
        </w:rPr>
        <w:t>s</w:t>
      </w:r>
      <w:r w:rsidRPr="001D3A7C">
        <w:rPr>
          <w:rStyle w:val="Uwydatnienie"/>
          <w:rFonts w:cstheme="minorHAnsi"/>
          <w:color w:val="333333"/>
          <w:lang w:val="pl-PL"/>
        </w:rPr>
        <w:t>. 118–180</w:t>
      </w:r>
      <w:r w:rsidRPr="001D3A7C">
        <w:rPr>
          <w:rStyle w:val="Uwydatnienie"/>
          <w:rFonts w:eastAsiaTheme="majorEastAsia" w:cstheme="minorHAnsi"/>
          <w:color w:val="333333"/>
          <w:lang w:val="pl-PL"/>
        </w:rPr>
        <w:t>; dalej: „Rozporządzenie”)</w:t>
      </w:r>
      <w:r>
        <w:rPr>
          <w:rStyle w:val="Uwydatnienie"/>
          <w:rFonts w:eastAsiaTheme="majorEastAsia" w:cstheme="minorHAnsi"/>
          <w:color w:val="333333"/>
          <w:lang w:val="pl-PL"/>
        </w:rPr>
        <w:t xml:space="preserve"> </w:t>
      </w:r>
      <w:r w:rsidRPr="00447725">
        <w:rPr>
          <w:rStyle w:val="Uwydatnienie"/>
          <w:rFonts w:eastAsiaTheme="majorEastAsia" w:cstheme="minorHAnsi"/>
          <w:i w:val="0"/>
          <w:iCs w:val="0"/>
          <w:color w:val="333333"/>
          <w:lang w:val="pl-PL"/>
        </w:rPr>
        <w:t xml:space="preserve">nie wymaga wdrożenia do krajowego systemu prawnego, bowiem powinno być bezpośrednio stosowane, to jednak należy tak ukształtować przepisy dotyczące „wewnętrznego” pozyskiwania tych danych, aby były kompatybilne z postanowieniami Rozporządzenia. </w:t>
      </w:r>
    </w:p>
    <w:p w14:paraId="0ED99736" w14:textId="5E442096" w:rsidR="00091511" w:rsidRDefault="00091511" w:rsidP="00091511">
      <w:pPr>
        <w:pStyle w:val="Akapitzlist"/>
        <w:numPr>
          <w:ilvl w:val="0"/>
          <w:numId w:val="3"/>
        </w:numPr>
        <w:spacing w:line="256" w:lineRule="auto"/>
        <w:jc w:val="both"/>
        <w:rPr>
          <w:rStyle w:val="Uwydatnienie"/>
          <w:rFonts w:cstheme="minorHAnsi"/>
          <w:i w:val="0"/>
          <w:iCs w:val="0"/>
          <w:lang w:val="pl-PL"/>
        </w:rPr>
      </w:pPr>
      <w:r w:rsidRPr="00091511">
        <w:rPr>
          <w:rStyle w:val="Uwydatnienie"/>
          <w:rFonts w:cstheme="minorHAnsi"/>
          <w:i w:val="0"/>
          <w:iCs w:val="0"/>
          <w:lang w:val="pl-PL"/>
        </w:rPr>
        <w:t>Po trzecie, przepisy</w:t>
      </w:r>
      <w:r>
        <w:rPr>
          <w:rStyle w:val="Uwydatnienie"/>
          <w:rFonts w:cstheme="minorHAnsi"/>
          <w:lang w:val="pl-PL"/>
        </w:rPr>
        <w:t xml:space="preserve"> </w:t>
      </w:r>
      <w:r>
        <w:rPr>
          <w:rFonts w:cstheme="minorHAnsi"/>
          <w:lang w:val="pl-PL"/>
        </w:rPr>
        <w:t xml:space="preserve">Rozporządzenia </w:t>
      </w:r>
      <w:r>
        <w:rPr>
          <w:rFonts w:cstheme="minorHAnsi"/>
          <w:color w:val="333333"/>
          <w:lang w:val="pl-PL"/>
        </w:rPr>
        <w:t xml:space="preserve">2023/1543 odnoszą się sytuacji, gdy właściwy organ sądowy państwa członkowskiego może w postępowaniu karnym, w tym w postępowaniu </w:t>
      </w:r>
      <w:proofErr w:type="gramStart"/>
      <w:r>
        <w:rPr>
          <w:rFonts w:cstheme="minorHAnsi"/>
          <w:color w:val="333333"/>
          <w:lang w:val="pl-PL"/>
        </w:rPr>
        <w:t>przygotowawczym,</w:t>
      </w:r>
      <w:proofErr w:type="gramEnd"/>
      <w:r>
        <w:rPr>
          <w:rFonts w:cstheme="minorHAnsi"/>
          <w:color w:val="333333"/>
          <w:lang w:val="pl-PL"/>
        </w:rPr>
        <w:t xml:space="preserve"> lub w postępowaniu karnym wykonawczym w związku z wykonaniem kary pozbawienia wolności lub środka zabezpieczającego polegającego na pozbawieniu wolności– nakazać dostarczenie danych usługodawcy oferującemu usługi w innym państwie członkowskim. Rozporządzenie 2023/1543 nie dotyczy natomiast uprawnień organów krajowych do zwracania się do usługodawców posiadających zakład lub przedstawiciela na ich terytorium. </w:t>
      </w:r>
      <w:r>
        <w:rPr>
          <w:rFonts w:cstheme="minorHAnsi"/>
          <w:lang w:val="pl-PL"/>
        </w:rPr>
        <w:t xml:space="preserve"> </w:t>
      </w:r>
    </w:p>
    <w:p w14:paraId="2B39BB3C" w14:textId="77777777" w:rsidR="00091511" w:rsidRPr="00447725" w:rsidRDefault="00091511" w:rsidP="00091511">
      <w:pPr>
        <w:pStyle w:val="Akapitzlist"/>
        <w:jc w:val="both"/>
        <w:rPr>
          <w:rStyle w:val="Uwydatnienie"/>
          <w:rFonts w:cstheme="minorHAnsi"/>
          <w:i w:val="0"/>
          <w:iCs w:val="0"/>
          <w:lang w:val="pl-PL"/>
        </w:rPr>
      </w:pPr>
    </w:p>
    <w:p w14:paraId="6308CB5E" w14:textId="77777777" w:rsidR="007972CE" w:rsidRDefault="007972CE" w:rsidP="007972CE">
      <w:pPr>
        <w:jc w:val="both"/>
        <w:rPr>
          <w:rFonts w:cstheme="minorHAnsi"/>
          <w:lang w:val="pl-PL"/>
        </w:rPr>
      </w:pPr>
      <w:r>
        <w:rPr>
          <w:rFonts w:cstheme="minorHAnsi"/>
          <w:lang w:val="pl-PL"/>
        </w:rPr>
        <w:t>Przy takich założeniach projekt nie może być zaaprobowany w przedłożonej wersji, z następujących powodów.</w:t>
      </w:r>
    </w:p>
    <w:p w14:paraId="636ECD8E" w14:textId="77777777" w:rsidR="007972CE" w:rsidRDefault="007972CE" w:rsidP="007972CE">
      <w:pPr>
        <w:jc w:val="both"/>
        <w:rPr>
          <w:rFonts w:cstheme="minorHAnsi"/>
          <w:color w:val="333333"/>
          <w:shd w:val="clear" w:color="auto" w:fill="FFFFFF"/>
          <w:lang w:val="pl-PL"/>
        </w:rPr>
      </w:pPr>
      <w:r w:rsidRPr="00201943">
        <w:rPr>
          <w:rFonts w:cstheme="minorHAnsi"/>
          <w:b/>
          <w:bCs/>
          <w:lang w:val="pl-PL"/>
        </w:rPr>
        <w:t>1.</w:t>
      </w:r>
      <w:r w:rsidRPr="00F917D8">
        <w:rPr>
          <w:rFonts w:cstheme="minorHAnsi"/>
          <w:lang w:val="pl-PL"/>
        </w:rPr>
        <w:t xml:space="preserve"> Proponowane zmiany są częściowo nieaktualne. Obecnie art. 218 § 1 k.p.k. nie odsyła już do art. 180c i art. 180d ustawy z dnia 16 lipca 2004 r. - Prawo telekomunikacyjne (Dz. U. z 2022 r. poz. 1648, 1933 i 2581 oraz z 2023 r. poz. 1394, 1703 i 2005), ale dotyczy danych, o których mowa w art. 45 </w:t>
      </w:r>
      <w:r>
        <w:rPr>
          <w:rFonts w:cstheme="minorHAnsi"/>
          <w:lang w:val="pl-PL"/>
        </w:rPr>
        <w:t xml:space="preserve">ust. 1 </w:t>
      </w:r>
      <w:r w:rsidRPr="00F917D8">
        <w:rPr>
          <w:rFonts w:cstheme="minorHAnsi"/>
          <w:lang w:val="pl-PL"/>
        </w:rPr>
        <w:t xml:space="preserve">i </w:t>
      </w:r>
      <w:r>
        <w:rPr>
          <w:rFonts w:cstheme="minorHAnsi"/>
          <w:lang w:val="pl-PL"/>
        </w:rPr>
        <w:t xml:space="preserve">art. </w:t>
      </w:r>
      <w:r w:rsidRPr="00F917D8">
        <w:rPr>
          <w:rFonts w:cstheme="minorHAnsi"/>
          <w:lang w:val="pl-PL"/>
        </w:rPr>
        <w:t xml:space="preserve">49 </w:t>
      </w:r>
      <w:r w:rsidRPr="00F917D8">
        <w:rPr>
          <w:rFonts w:cstheme="minorHAnsi"/>
          <w:color w:val="333333"/>
          <w:shd w:val="clear" w:color="auto" w:fill="FFFFFF"/>
          <w:lang w:val="pl-PL"/>
        </w:rPr>
        <w:t>ustawy z dnia 12 lipca 2024 r. - Prawo komunikacji elektronicznej (Dz. U. z 2024 r., poz. 1221</w:t>
      </w:r>
      <w:r>
        <w:rPr>
          <w:rFonts w:cstheme="minorHAnsi"/>
          <w:color w:val="333333"/>
          <w:shd w:val="clear" w:color="auto" w:fill="FFFFFF"/>
          <w:lang w:val="pl-PL"/>
        </w:rPr>
        <w:t>; dalej powoływana jako „</w:t>
      </w:r>
      <w:proofErr w:type="spellStart"/>
      <w:r>
        <w:rPr>
          <w:rFonts w:cstheme="minorHAnsi"/>
          <w:color w:val="333333"/>
          <w:shd w:val="clear" w:color="auto" w:fill="FFFFFF"/>
          <w:lang w:val="pl-PL"/>
        </w:rPr>
        <w:t>p.k.e</w:t>
      </w:r>
      <w:proofErr w:type="spellEnd"/>
      <w:r>
        <w:rPr>
          <w:rFonts w:cstheme="minorHAnsi"/>
          <w:color w:val="333333"/>
          <w:shd w:val="clear" w:color="auto" w:fill="FFFFFF"/>
          <w:lang w:val="pl-PL"/>
        </w:rPr>
        <w:t>.”</w:t>
      </w:r>
      <w:r w:rsidRPr="00F917D8">
        <w:rPr>
          <w:rFonts w:cstheme="minorHAnsi"/>
          <w:color w:val="333333"/>
          <w:shd w:val="clear" w:color="auto" w:fill="FFFFFF"/>
          <w:lang w:val="pl-PL"/>
        </w:rPr>
        <w:t>).</w:t>
      </w:r>
    </w:p>
    <w:p w14:paraId="2CD0BCD2" w14:textId="77777777" w:rsidR="007972CE" w:rsidRDefault="007972CE" w:rsidP="007972CE">
      <w:pPr>
        <w:spacing w:after="0" w:line="240" w:lineRule="auto"/>
        <w:rPr>
          <w:rFonts w:cstheme="minorHAnsi"/>
          <w:color w:val="333333"/>
          <w:shd w:val="clear" w:color="auto" w:fill="FFFFFF"/>
          <w:lang w:val="pl-PL"/>
        </w:rPr>
      </w:pPr>
      <w:r w:rsidRPr="00201943">
        <w:rPr>
          <w:rFonts w:cstheme="minorHAnsi"/>
          <w:b/>
          <w:bCs/>
          <w:color w:val="333333"/>
          <w:shd w:val="clear" w:color="auto" w:fill="FFFFFF"/>
          <w:lang w:val="pl-PL"/>
        </w:rPr>
        <w:t>2.</w:t>
      </w:r>
      <w:r w:rsidRPr="000A0BCA">
        <w:rPr>
          <w:rFonts w:cstheme="minorHAnsi"/>
          <w:color w:val="333333"/>
          <w:shd w:val="clear" w:color="auto" w:fill="FFFFFF"/>
          <w:lang w:val="pl-PL"/>
        </w:rPr>
        <w:t xml:space="preserve"> Dane, które można pozyskiwać z trybie art. 218 k.p.k. przynależą do różnej kategorii danych, o różnym stopniu intruzywności w sferę prawa do prywatności. Art. 45 ust. 1 </w:t>
      </w:r>
      <w:proofErr w:type="spellStart"/>
      <w:r w:rsidRPr="000A0BCA">
        <w:rPr>
          <w:rFonts w:cstheme="minorHAnsi"/>
          <w:color w:val="333333"/>
          <w:shd w:val="clear" w:color="auto" w:fill="FFFFFF"/>
          <w:lang w:val="pl-PL"/>
        </w:rPr>
        <w:t>p.k.e</w:t>
      </w:r>
      <w:proofErr w:type="spellEnd"/>
      <w:r w:rsidRPr="000A0BCA">
        <w:rPr>
          <w:rFonts w:cstheme="minorHAnsi"/>
          <w:color w:val="333333"/>
          <w:shd w:val="clear" w:color="auto" w:fill="FFFFFF"/>
          <w:lang w:val="pl-PL"/>
        </w:rPr>
        <w:t xml:space="preserve">. dotyczy </w:t>
      </w:r>
      <w:r w:rsidRPr="000A0BCA">
        <w:rPr>
          <w:rFonts w:cstheme="minorHAnsi"/>
          <w:b/>
          <w:bCs/>
          <w:color w:val="333333"/>
          <w:shd w:val="clear" w:color="auto" w:fill="FFFFFF"/>
          <w:lang w:val="pl-PL"/>
        </w:rPr>
        <w:t>danych o lokalizacji urządzenia końcowego</w:t>
      </w:r>
      <w:r w:rsidRPr="000A0BCA">
        <w:rPr>
          <w:rStyle w:val="Odwoanieprzypisudolnego"/>
          <w:rFonts w:cstheme="minorHAnsi"/>
          <w:color w:val="333333"/>
          <w:shd w:val="clear" w:color="auto" w:fill="FFFFFF"/>
          <w:lang w:val="pl-PL"/>
        </w:rPr>
        <w:footnoteReference w:id="1"/>
      </w:r>
      <w:r w:rsidRPr="000A0BCA">
        <w:rPr>
          <w:rFonts w:cstheme="minorHAnsi"/>
          <w:color w:val="333333"/>
          <w:shd w:val="clear" w:color="auto" w:fill="FFFFFF"/>
          <w:lang w:val="pl-PL"/>
        </w:rPr>
        <w:t>, a konkretnie danych</w:t>
      </w:r>
      <w:r>
        <w:rPr>
          <w:rFonts w:cstheme="minorHAnsi"/>
          <w:color w:val="333333"/>
          <w:shd w:val="clear" w:color="auto" w:fill="FFFFFF"/>
          <w:lang w:val="pl-PL"/>
        </w:rPr>
        <w:t>,</w:t>
      </w:r>
      <w:r w:rsidRPr="000A0BCA">
        <w:rPr>
          <w:rFonts w:cstheme="minorHAnsi"/>
          <w:color w:val="333333"/>
          <w:shd w:val="clear" w:color="auto" w:fill="FFFFFF"/>
          <w:lang w:val="pl-PL"/>
        </w:rPr>
        <w:t xml:space="preserve"> o których mowa w: </w:t>
      </w:r>
    </w:p>
    <w:p w14:paraId="5EE87DE8" w14:textId="77777777" w:rsidR="007972CE" w:rsidRPr="008931B4" w:rsidRDefault="007972CE" w:rsidP="007972CE">
      <w:pPr>
        <w:pStyle w:val="Akapitzlist"/>
        <w:numPr>
          <w:ilvl w:val="0"/>
          <w:numId w:val="1"/>
        </w:numPr>
        <w:spacing w:after="0" w:line="240" w:lineRule="auto"/>
        <w:rPr>
          <w:rFonts w:eastAsia="Times New Roman" w:cstheme="minorHAnsi"/>
          <w:kern w:val="0"/>
          <w:lang w:val="pl-PL" w:eastAsia="pl-PL"/>
          <w14:ligatures w14:val="none"/>
        </w:rPr>
      </w:pPr>
      <w:r w:rsidRPr="008931B4">
        <w:rPr>
          <w:rFonts w:eastAsia="Times New Roman" w:cstheme="minorHAnsi"/>
          <w:color w:val="333333"/>
          <w:kern w:val="0"/>
          <w:lang w:val="pl-PL" w:eastAsia="pl-PL"/>
          <w14:ligatures w14:val="none"/>
        </w:rPr>
        <w:t xml:space="preserve">art. 43 ust. 1 pkt 1 lit. a </w:t>
      </w:r>
      <w:proofErr w:type="spellStart"/>
      <w:r w:rsidRPr="008931B4">
        <w:rPr>
          <w:rFonts w:eastAsia="Times New Roman" w:cstheme="minorHAnsi"/>
          <w:color w:val="333333"/>
          <w:kern w:val="0"/>
          <w:lang w:val="pl-PL" w:eastAsia="pl-PL"/>
          <w14:ligatures w14:val="none"/>
        </w:rPr>
        <w:t>tiret</w:t>
      </w:r>
      <w:proofErr w:type="spellEnd"/>
      <w:r w:rsidRPr="008931B4">
        <w:rPr>
          <w:rFonts w:eastAsia="Times New Roman" w:cstheme="minorHAnsi"/>
          <w:color w:val="333333"/>
          <w:kern w:val="0"/>
          <w:lang w:val="pl-PL" w:eastAsia="pl-PL"/>
          <w14:ligatures w14:val="none"/>
        </w:rPr>
        <w:t xml:space="preserve"> drugie (</w:t>
      </w:r>
      <w:r w:rsidRPr="008931B4">
        <w:rPr>
          <w:rFonts w:eastAsia="Times New Roman" w:cstheme="minorHAnsi"/>
          <w:color w:val="333333"/>
          <w:kern w:val="0"/>
          <w:shd w:val="clear" w:color="auto" w:fill="FFFFFF"/>
          <w:lang w:val="pl-PL" w:eastAsia="pl-PL"/>
          <w14:ligatures w14:val="none"/>
        </w:rPr>
        <w:t>danych abonentów związanych z komunikatami elektronicznymi przesyłanymi w ramach świadczonej publicznie dostępnej usługi telekomunikacyjnej, obejmujących:</w:t>
      </w:r>
    </w:p>
    <w:p w14:paraId="18332146" w14:textId="77777777" w:rsidR="007972CE" w:rsidRPr="000A0BCA" w:rsidRDefault="007972CE" w:rsidP="007972CE">
      <w:pPr>
        <w:shd w:val="clear" w:color="auto" w:fill="FFFFFF"/>
        <w:spacing w:after="0" w:line="240" w:lineRule="auto"/>
        <w:ind w:left="720"/>
        <w:rPr>
          <w:rFonts w:eastAsia="Times New Roman" w:cstheme="minorHAnsi"/>
          <w:color w:val="333333"/>
          <w:kern w:val="0"/>
          <w:lang w:val="pl-PL" w:eastAsia="pl-PL"/>
          <w14:ligatures w14:val="none"/>
        </w:rPr>
      </w:pPr>
      <w:r w:rsidRPr="000A0BCA">
        <w:rPr>
          <w:rFonts w:eastAsia="Times New Roman" w:cstheme="minorHAnsi"/>
          <w:color w:val="333333"/>
          <w:kern w:val="0"/>
          <w:lang w:val="pl-PL" w:eastAsia="pl-PL"/>
          <w14:ligatures w14:val="none"/>
        </w:rPr>
        <w:t>- dane, o których mowa w art. 296 ust. 1</w:t>
      </w:r>
      <w:r>
        <w:rPr>
          <w:rStyle w:val="Odwoanieprzypisudolnego"/>
          <w:rFonts w:eastAsia="Times New Roman" w:cstheme="minorHAnsi"/>
          <w:color w:val="333333"/>
          <w:kern w:val="0"/>
          <w:lang w:val="pl-PL" w:eastAsia="pl-PL"/>
          <w14:ligatures w14:val="none"/>
        </w:rPr>
        <w:footnoteReference w:id="2"/>
      </w:r>
      <w:r w:rsidRPr="000A0BCA">
        <w:rPr>
          <w:rFonts w:eastAsia="Times New Roman" w:cstheme="minorHAnsi"/>
          <w:color w:val="333333"/>
          <w:kern w:val="0"/>
          <w:lang w:val="pl-PL" w:eastAsia="pl-PL"/>
          <w14:ligatures w14:val="none"/>
        </w:rPr>
        <w:t xml:space="preserve"> </w:t>
      </w:r>
    </w:p>
    <w:p w14:paraId="7C9034CC" w14:textId="77777777" w:rsidR="007972CE" w:rsidRPr="000A0BCA" w:rsidRDefault="007972CE" w:rsidP="007972CE">
      <w:pPr>
        <w:shd w:val="clear" w:color="auto" w:fill="FFFFFF"/>
        <w:spacing w:after="0" w:line="240" w:lineRule="auto"/>
        <w:ind w:left="720"/>
        <w:rPr>
          <w:rFonts w:eastAsia="Times New Roman" w:cstheme="minorHAnsi"/>
          <w:color w:val="333333"/>
          <w:kern w:val="0"/>
          <w:lang w:val="pl-PL" w:eastAsia="pl-PL"/>
          <w14:ligatures w14:val="none"/>
        </w:rPr>
      </w:pPr>
      <w:r w:rsidRPr="000A0BCA">
        <w:rPr>
          <w:rFonts w:eastAsia="Times New Roman" w:cstheme="minorHAnsi"/>
          <w:color w:val="333333"/>
          <w:kern w:val="0"/>
          <w:lang w:val="pl-PL" w:eastAsia="pl-PL"/>
          <w14:ligatures w14:val="none"/>
        </w:rPr>
        <w:lastRenderedPageBreak/>
        <w:t>- przydzielony numer, o ile został przydzielony, a w przypadku przyłączenia do stacjonarnej sieci telekomunikacyjnej także adres zakończenia sieci,</w:t>
      </w:r>
    </w:p>
    <w:p w14:paraId="4346630E" w14:textId="77777777" w:rsidR="007972CE" w:rsidRDefault="007972CE" w:rsidP="007972CE">
      <w:pPr>
        <w:shd w:val="clear" w:color="auto" w:fill="FFFFFF"/>
        <w:spacing w:after="0" w:line="240" w:lineRule="auto"/>
        <w:ind w:left="720"/>
        <w:rPr>
          <w:rFonts w:eastAsia="Times New Roman" w:cstheme="minorHAnsi"/>
          <w:color w:val="333333"/>
          <w:kern w:val="0"/>
          <w:lang w:val="pl-PL" w:eastAsia="pl-PL"/>
          <w14:ligatures w14:val="none"/>
        </w:rPr>
      </w:pPr>
      <w:r w:rsidRPr="000A0BCA">
        <w:rPr>
          <w:rFonts w:eastAsia="Times New Roman" w:cstheme="minorHAnsi"/>
          <w:color w:val="333333"/>
          <w:kern w:val="0"/>
          <w:lang w:val="pl-PL" w:eastAsia="pl-PL"/>
          <w14:ligatures w14:val="none"/>
        </w:rPr>
        <w:t>- adres korespondencyjny oraz adres wskazany na potrzeby komunikacji elektronicznej, o ile zostały przez abonenta podane</w:t>
      </w:r>
      <w:r>
        <w:rPr>
          <w:rFonts w:eastAsia="Times New Roman" w:cstheme="minorHAnsi"/>
          <w:color w:val="333333"/>
          <w:kern w:val="0"/>
          <w:lang w:val="pl-PL" w:eastAsia="pl-PL"/>
          <w14:ligatures w14:val="none"/>
        </w:rPr>
        <w:t>;</w:t>
      </w:r>
    </w:p>
    <w:p w14:paraId="7E52EE1E" w14:textId="77777777" w:rsidR="007972CE" w:rsidRPr="001719DF" w:rsidRDefault="007972CE" w:rsidP="007972CE">
      <w:pPr>
        <w:pStyle w:val="Akapitzlist"/>
        <w:numPr>
          <w:ilvl w:val="0"/>
          <w:numId w:val="1"/>
        </w:numPr>
        <w:shd w:val="clear" w:color="auto" w:fill="FFFFFF"/>
        <w:spacing w:after="0" w:line="240" w:lineRule="auto"/>
        <w:rPr>
          <w:rFonts w:eastAsia="Times New Roman" w:cstheme="minorHAnsi"/>
          <w:color w:val="333333"/>
          <w:kern w:val="0"/>
          <w:lang w:val="pl-PL" w:eastAsia="pl-PL"/>
          <w14:ligatures w14:val="none"/>
        </w:rPr>
      </w:pPr>
      <w:r w:rsidRPr="001719DF">
        <w:rPr>
          <w:rFonts w:eastAsia="Times New Roman" w:cstheme="minorHAnsi"/>
          <w:color w:val="333333"/>
          <w:kern w:val="0"/>
          <w:lang w:val="pl-PL" w:eastAsia="pl-PL"/>
          <w14:ligatures w14:val="none"/>
        </w:rPr>
        <w:t xml:space="preserve">art. 386 ust. 1 pkt 1 </w:t>
      </w:r>
      <w:proofErr w:type="spellStart"/>
      <w:r w:rsidRPr="001719DF">
        <w:rPr>
          <w:rFonts w:eastAsia="Times New Roman" w:cstheme="minorHAnsi"/>
          <w:color w:val="333333"/>
          <w:kern w:val="0"/>
          <w:lang w:val="pl-PL" w:eastAsia="pl-PL"/>
          <w14:ligatures w14:val="none"/>
        </w:rPr>
        <w:t>p.k.e</w:t>
      </w:r>
      <w:proofErr w:type="spellEnd"/>
      <w:r w:rsidRPr="001719DF">
        <w:rPr>
          <w:rFonts w:eastAsia="Times New Roman" w:cstheme="minorHAnsi"/>
          <w:color w:val="333333"/>
          <w:kern w:val="0"/>
          <w:lang w:val="pl-PL" w:eastAsia="pl-PL"/>
          <w14:ligatures w14:val="none"/>
        </w:rPr>
        <w:t>.  – dane dotyczące użytkownika;</w:t>
      </w:r>
    </w:p>
    <w:p w14:paraId="4E85F387" w14:textId="77777777" w:rsidR="007972CE" w:rsidRPr="001719DF" w:rsidRDefault="007972CE" w:rsidP="007972CE">
      <w:pPr>
        <w:pStyle w:val="Akapitzlist"/>
        <w:numPr>
          <w:ilvl w:val="0"/>
          <w:numId w:val="1"/>
        </w:numPr>
        <w:shd w:val="clear" w:color="auto" w:fill="FFFFFF"/>
        <w:spacing w:after="0" w:line="240" w:lineRule="auto"/>
        <w:jc w:val="both"/>
        <w:rPr>
          <w:rFonts w:eastAsia="Times New Roman" w:cstheme="minorHAnsi"/>
          <w:color w:val="333333"/>
          <w:kern w:val="0"/>
          <w:lang w:val="pl-PL" w:eastAsia="pl-PL"/>
          <w14:ligatures w14:val="none"/>
        </w:rPr>
      </w:pPr>
      <w:r w:rsidRPr="001719DF">
        <w:rPr>
          <w:rFonts w:eastAsia="Times New Roman" w:cstheme="minorHAnsi"/>
          <w:color w:val="333333"/>
          <w:kern w:val="0"/>
          <w:lang w:val="pl-PL" w:eastAsia="pl-PL"/>
          <w14:ligatures w14:val="none"/>
        </w:rPr>
        <w:t xml:space="preserve">art. 386 ust 1 pkt 3-5 </w:t>
      </w:r>
      <w:proofErr w:type="spellStart"/>
      <w:r w:rsidRPr="001719DF">
        <w:rPr>
          <w:rFonts w:eastAsia="Times New Roman" w:cstheme="minorHAnsi"/>
          <w:color w:val="333333"/>
          <w:kern w:val="0"/>
          <w:lang w:val="pl-PL" w:eastAsia="pl-PL"/>
          <w14:ligatures w14:val="none"/>
        </w:rPr>
        <w:t>p.k.e</w:t>
      </w:r>
      <w:proofErr w:type="spellEnd"/>
      <w:r w:rsidRPr="001719DF">
        <w:rPr>
          <w:rFonts w:eastAsia="Times New Roman" w:cstheme="minorHAnsi"/>
          <w:color w:val="333333"/>
          <w:kern w:val="0"/>
          <w:lang w:val="pl-PL" w:eastAsia="pl-PL"/>
          <w14:ligatures w14:val="none"/>
        </w:rPr>
        <w:t>. – 3) dane transmisyjne, które oznaczają dane przetwarzane do celów przekazywania komunikatów elektronicznych w sieciach telekomunikacyjnych lub naliczania opłat za usługi komunikacji elektronicznej i mogą obejmować dane lokalizacyjne, które oznaczają wszelkie dane przetwarzane w sieci telekomunikacyjnej lub w ramach usług komunikacji elektronicznej wskazujące położenie geograficzne telekomunikacyjnego urządzenia końcowego użytkownika usług komunikacji elektronicznej; 4) dane o lokalizacji, które oznaczają dane lokalizacyjne wykraczające poza dane niezbędne do transmisji komunikatu elektronicznego lub wystawienia rachunku; 5) dane o próbach uzyskania połączenia między zakończeniami sieci, w tym dane o nieudanych próbach połączeń, oznaczających połączenia między telekomunikacyjnymi urządzeniami końcowymi lub zakończeniami sieci, które zostały zestawione i nie zostały odebrane przez użytkownika końcowego lub nastąpiło przerwanie zestawianych połączeń.</w:t>
      </w:r>
    </w:p>
    <w:p w14:paraId="03DC5AFD" w14:textId="77777777" w:rsidR="007972CE" w:rsidRPr="001719DF" w:rsidRDefault="007972CE" w:rsidP="007972CE">
      <w:pPr>
        <w:pStyle w:val="Akapitzlist"/>
        <w:numPr>
          <w:ilvl w:val="0"/>
          <w:numId w:val="1"/>
        </w:numPr>
        <w:shd w:val="clear" w:color="auto" w:fill="FFFFFF"/>
        <w:spacing w:after="0" w:line="240" w:lineRule="auto"/>
        <w:jc w:val="both"/>
        <w:rPr>
          <w:rFonts w:eastAsia="Times New Roman" w:cstheme="minorHAnsi"/>
          <w:color w:val="333333"/>
          <w:kern w:val="0"/>
          <w:lang w:val="pl-PL" w:eastAsia="pl-PL"/>
          <w14:ligatures w14:val="none"/>
        </w:rPr>
      </w:pPr>
      <w:r w:rsidRPr="001719DF">
        <w:rPr>
          <w:rFonts w:eastAsia="Times New Roman" w:cstheme="minorHAnsi"/>
          <w:color w:val="333333"/>
          <w:kern w:val="0"/>
          <w:lang w:val="pl-PL" w:eastAsia="pl-PL"/>
          <w14:ligatures w14:val="none"/>
        </w:rPr>
        <w:t xml:space="preserve">art. 389 </w:t>
      </w:r>
      <w:proofErr w:type="spellStart"/>
      <w:r w:rsidRPr="001719DF">
        <w:rPr>
          <w:rFonts w:eastAsia="Times New Roman" w:cstheme="minorHAnsi"/>
          <w:color w:val="333333"/>
          <w:kern w:val="0"/>
          <w:lang w:val="pl-PL" w:eastAsia="pl-PL"/>
          <w14:ligatures w14:val="none"/>
        </w:rPr>
        <w:t>p.k.e</w:t>
      </w:r>
      <w:proofErr w:type="spellEnd"/>
      <w:r w:rsidRPr="001719DF">
        <w:rPr>
          <w:rFonts w:eastAsia="Times New Roman" w:cstheme="minorHAnsi"/>
          <w:color w:val="333333"/>
          <w:kern w:val="0"/>
          <w:lang w:val="pl-PL" w:eastAsia="pl-PL"/>
          <w14:ligatures w14:val="none"/>
        </w:rPr>
        <w:t>. – dane osobowe użytkowników końcowych;</w:t>
      </w:r>
    </w:p>
    <w:p w14:paraId="379B4053" w14:textId="77777777" w:rsidR="007972CE" w:rsidRPr="001719DF" w:rsidRDefault="007972CE" w:rsidP="007972CE">
      <w:pPr>
        <w:pStyle w:val="Akapitzlist"/>
        <w:numPr>
          <w:ilvl w:val="0"/>
          <w:numId w:val="1"/>
        </w:numPr>
        <w:shd w:val="clear" w:color="auto" w:fill="FFFFFF"/>
        <w:spacing w:after="0" w:line="240" w:lineRule="auto"/>
        <w:jc w:val="both"/>
        <w:rPr>
          <w:rFonts w:eastAsia="Times New Roman" w:cstheme="minorHAnsi"/>
          <w:color w:val="333333"/>
          <w:kern w:val="0"/>
          <w:lang w:val="pl-PL" w:eastAsia="pl-PL"/>
          <w14:ligatures w14:val="none"/>
        </w:rPr>
      </w:pPr>
      <w:r w:rsidRPr="001719DF">
        <w:rPr>
          <w:rFonts w:eastAsia="Times New Roman" w:cstheme="minorHAnsi"/>
          <w:color w:val="333333"/>
          <w:kern w:val="0"/>
          <w:lang w:val="pl-PL" w:eastAsia="pl-PL"/>
          <w14:ligatures w14:val="none"/>
        </w:rPr>
        <w:t xml:space="preserve">art. 390 ust. 2 </w:t>
      </w:r>
      <w:proofErr w:type="spellStart"/>
      <w:r w:rsidRPr="001719DF">
        <w:rPr>
          <w:rFonts w:eastAsia="Times New Roman" w:cstheme="minorHAnsi"/>
          <w:color w:val="333333"/>
          <w:kern w:val="0"/>
          <w:lang w:val="pl-PL" w:eastAsia="pl-PL"/>
          <w14:ligatures w14:val="none"/>
        </w:rPr>
        <w:t>p.k.e</w:t>
      </w:r>
      <w:proofErr w:type="spellEnd"/>
      <w:r w:rsidRPr="001719DF">
        <w:rPr>
          <w:rFonts w:eastAsia="Times New Roman" w:cstheme="minorHAnsi"/>
          <w:color w:val="333333"/>
          <w:kern w:val="0"/>
          <w:lang w:val="pl-PL" w:eastAsia="pl-PL"/>
          <w14:ligatures w14:val="none"/>
        </w:rPr>
        <w:t>. – dane dotyczące użytkownika oraz dane o wykonywanych na jego rzecz usługach pozyskane przez p</w:t>
      </w:r>
      <w:r w:rsidRPr="001719DF">
        <w:rPr>
          <w:rFonts w:cstheme="minorHAnsi"/>
          <w:color w:val="333333"/>
          <w:shd w:val="clear" w:color="auto" w:fill="FFFFFF"/>
          <w:lang w:val="pl-PL"/>
        </w:rPr>
        <w:t xml:space="preserve">rzedsiębiorcę komunikacji elektronicznej świadczącego usługę na rzecz użytkownika innego przedsiębiorcy komunikacji elektronicznej. </w:t>
      </w:r>
    </w:p>
    <w:p w14:paraId="59FF94A1" w14:textId="77777777" w:rsidR="007972CE" w:rsidRDefault="007972CE" w:rsidP="007972CE">
      <w:pPr>
        <w:spacing w:after="0" w:line="240" w:lineRule="auto"/>
        <w:jc w:val="both"/>
        <w:rPr>
          <w:rFonts w:cstheme="minorHAnsi"/>
          <w:color w:val="333333"/>
          <w:shd w:val="clear" w:color="auto" w:fill="FFFFFF"/>
          <w:lang w:val="pl-PL"/>
        </w:rPr>
      </w:pPr>
      <w:r>
        <w:rPr>
          <w:rFonts w:cstheme="minorHAnsi"/>
          <w:color w:val="333333"/>
          <w:shd w:val="clear" w:color="auto" w:fill="FFFFFF"/>
          <w:lang w:val="pl-PL"/>
        </w:rPr>
        <w:t xml:space="preserve">  </w:t>
      </w:r>
    </w:p>
    <w:p w14:paraId="3CF5D495" w14:textId="77777777" w:rsidR="007972CE" w:rsidRPr="00B506D7" w:rsidRDefault="007972CE" w:rsidP="007972CE">
      <w:pPr>
        <w:jc w:val="both"/>
        <w:rPr>
          <w:rFonts w:eastAsia="Times New Roman" w:cstheme="minorHAnsi"/>
          <w:kern w:val="0"/>
          <w:lang w:val="pl-PL" w:eastAsia="pl-PL"/>
          <w14:ligatures w14:val="none"/>
        </w:rPr>
      </w:pPr>
      <w:r w:rsidRPr="00B506D7">
        <w:rPr>
          <w:rFonts w:cstheme="minorHAnsi"/>
          <w:lang w:val="pl-PL"/>
        </w:rPr>
        <w:t xml:space="preserve">Z kolei art. 49 ust. 1 </w:t>
      </w:r>
      <w:proofErr w:type="spellStart"/>
      <w:r w:rsidRPr="00B506D7">
        <w:rPr>
          <w:rFonts w:cstheme="minorHAnsi"/>
          <w:lang w:val="pl-PL"/>
        </w:rPr>
        <w:t>p.k.e</w:t>
      </w:r>
      <w:proofErr w:type="spellEnd"/>
      <w:r w:rsidRPr="00B506D7">
        <w:rPr>
          <w:rFonts w:cstheme="minorHAnsi"/>
          <w:lang w:val="pl-PL"/>
        </w:rPr>
        <w:t xml:space="preserve">., do którego także odsyła art. 218 § 1 k.p.k., dotyczy </w:t>
      </w:r>
      <w:r>
        <w:rPr>
          <w:rFonts w:cstheme="minorHAnsi"/>
          <w:lang w:val="pl-PL"/>
        </w:rPr>
        <w:t xml:space="preserve">danych objętych obowiązkiem ich zatrzymania, przechowywania, udostępniania i ochrony. Są to </w:t>
      </w:r>
      <w:r w:rsidRPr="00B506D7">
        <w:rPr>
          <w:rFonts w:cstheme="minorHAnsi"/>
          <w:lang w:val="pl-PL"/>
        </w:rPr>
        <w:t>dan</w:t>
      </w:r>
      <w:r>
        <w:rPr>
          <w:rFonts w:cstheme="minorHAnsi"/>
          <w:lang w:val="pl-PL"/>
        </w:rPr>
        <w:t>e</w:t>
      </w:r>
      <w:r w:rsidRPr="00B506D7">
        <w:rPr>
          <w:rFonts w:cstheme="minorHAnsi"/>
          <w:lang w:val="pl-PL"/>
        </w:rPr>
        <w:t xml:space="preserve"> dotycząc</w:t>
      </w:r>
      <w:r>
        <w:rPr>
          <w:rFonts w:cstheme="minorHAnsi"/>
          <w:lang w:val="pl-PL"/>
        </w:rPr>
        <w:t>e</w:t>
      </w:r>
      <w:r w:rsidRPr="00B506D7">
        <w:rPr>
          <w:rFonts w:cstheme="minorHAnsi"/>
          <w:lang w:val="pl-PL"/>
        </w:rPr>
        <w:t xml:space="preserve"> </w:t>
      </w:r>
      <w:r w:rsidRPr="00B506D7">
        <w:rPr>
          <w:rFonts w:eastAsia="Times New Roman" w:cstheme="minorHAnsi"/>
          <w:color w:val="333333"/>
          <w:kern w:val="0"/>
          <w:shd w:val="clear" w:color="auto" w:fill="FFFFFF"/>
          <w:lang w:val="pl-PL" w:eastAsia="pl-PL"/>
          <w14:ligatures w14:val="none"/>
        </w:rPr>
        <w:t>publicznie dostępnych usług telekomunikacyjnych niezbędn</w:t>
      </w:r>
      <w:r>
        <w:rPr>
          <w:rFonts w:eastAsia="Times New Roman" w:cstheme="minorHAnsi"/>
          <w:color w:val="333333"/>
          <w:kern w:val="0"/>
          <w:shd w:val="clear" w:color="auto" w:fill="FFFFFF"/>
          <w:lang w:val="pl-PL" w:eastAsia="pl-PL"/>
          <w14:ligatures w14:val="none"/>
        </w:rPr>
        <w:t>e</w:t>
      </w:r>
      <w:r w:rsidRPr="00B506D7">
        <w:rPr>
          <w:rFonts w:eastAsia="Times New Roman" w:cstheme="minorHAnsi"/>
          <w:color w:val="333333"/>
          <w:kern w:val="0"/>
          <w:shd w:val="clear" w:color="auto" w:fill="FFFFFF"/>
          <w:lang w:val="pl-PL" w:eastAsia="pl-PL"/>
          <w14:ligatures w14:val="none"/>
        </w:rPr>
        <w:t xml:space="preserve"> do:</w:t>
      </w:r>
    </w:p>
    <w:p w14:paraId="3DE927C7" w14:textId="77777777" w:rsidR="007972CE" w:rsidRPr="00B506D7" w:rsidRDefault="007972CE" w:rsidP="007972CE">
      <w:pPr>
        <w:shd w:val="clear" w:color="auto" w:fill="FFFFFF"/>
        <w:spacing w:after="0" w:line="240" w:lineRule="auto"/>
        <w:rPr>
          <w:rFonts w:eastAsia="Times New Roman" w:cstheme="minorHAnsi"/>
          <w:color w:val="333333"/>
          <w:kern w:val="0"/>
          <w:lang w:val="pl-PL" w:eastAsia="pl-PL"/>
          <w14:ligatures w14:val="none"/>
        </w:rPr>
      </w:pPr>
      <w:r w:rsidRPr="00B506D7">
        <w:rPr>
          <w:rFonts w:eastAsia="Times New Roman" w:cstheme="minorHAnsi"/>
          <w:color w:val="333333"/>
          <w:kern w:val="0"/>
          <w:lang w:val="pl-PL" w:eastAsia="pl-PL"/>
          <w14:ligatures w14:val="none"/>
        </w:rPr>
        <w:t>1) jednoznacznego zidentyfikowania zakończenia sieci, telekomunikacyjnego urządzenia końcowego oraz użytkownika końcowego:</w:t>
      </w:r>
    </w:p>
    <w:p w14:paraId="34A7DA5B" w14:textId="77777777" w:rsidR="007972CE" w:rsidRPr="00B506D7" w:rsidRDefault="007972CE" w:rsidP="007972CE">
      <w:pPr>
        <w:shd w:val="clear" w:color="auto" w:fill="FFFFFF"/>
        <w:spacing w:after="0" w:line="240" w:lineRule="auto"/>
        <w:rPr>
          <w:rFonts w:eastAsia="Times New Roman" w:cstheme="minorHAnsi"/>
          <w:color w:val="333333"/>
          <w:kern w:val="0"/>
          <w:lang w:val="pl-PL" w:eastAsia="pl-PL"/>
          <w14:ligatures w14:val="none"/>
        </w:rPr>
      </w:pPr>
      <w:r w:rsidRPr="00B506D7">
        <w:rPr>
          <w:rFonts w:eastAsia="Times New Roman" w:cstheme="minorHAnsi"/>
          <w:color w:val="333333"/>
          <w:kern w:val="0"/>
          <w:lang w:val="pl-PL" w:eastAsia="pl-PL"/>
          <w14:ligatures w14:val="none"/>
        </w:rPr>
        <w:t>a) inicjującego połączenie,</w:t>
      </w:r>
    </w:p>
    <w:p w14:paraId="26709F77" w14:textId="77777777" w:rsidR="007972CE" w:rsidRPr="00B506D7" w:rsidRDefault="007972CE" w:rsidP="007972CE">
      <w:pPr>
        <w:shd w:val="clear" w:color="auto" w:fill="FFFFFF"/>
        <w:spacing w:after="0" w:line="240" w:lineRule="auto"/>
        <w:rPr>
          <w:rFonts w:eastAsia="Times New Roman" w:cstheme="minorHAnsi"/>
          <w:color w:val="333333"/>
          <w:kern w:val="0"/>
          <w:lang w:val="pl-PL" w:eastAsia="pl-PL"/>
          <w14:ligatures w14:val="none"/>
        </w:rPr>
      </w:pPr>
      <w:r w:rsidRPr="00B506D7">
        <w:rPr>
          <w:rFonts w:eastAsia="Times New Roman" w:cstheme="minorHAnsi"/>
          <w:color w:val="333333"/>
          <w:kern w:val="0"/>
          <w:lang w:val="pl-PL" w:eastAsia="pl-PL"/>
          <w14:ligatures w14:val="none"/>
        </w:rPr>
        <w:t>b) do którego kierowane jest połączenie;</w:t>
      </w:r>
    </w:p>
    <w:p w14:paraId="49A259DE" w14:textId="77777777" w:rsidR="007972CE" w:rsidRPr="00B506D7" w:rsidRDefault="007972CE" w:rsidP="007972CE">
      <w:pPr>
        <w:shd w:val="clear" w:color="auto" w:fill="FFFFFF"/>
        <w:spacing w:after="0" w:line="240" w:lineRule="auto"/>
        <w:rPr>
          <w:rFonts w:eastAsia="Times New Roman" w:cstheme="minorHAnsi"/>
          <w:color w:val="333333"/>
          <w:kern w:val="0"/>
          <w:lang w:val="pl-PL" w:eastAsia="pl-PL"/>
          <w14:ligatures w14:val="none"/>
        </w:rPr>
      </w:pPr>
      <w:r w:rsidRPr="00B506D7">
        <w:rPr>
          <w:rFonts w:eastAsia="Times New Roman" w:cstheme="minorHAnsi"/>
          <w:color w:val="333333"/>
          <w:kern w:val="0"/>
          <w:lang w:val="pl-PL" w:eastAsia="pl-PL"/>
          <w14:ligatures w14:val="none"/>
        </w:rPr>
        <w:t>2) określenia:</w:t>
      </w:r>
    </w:p>
    <w:p w14:paraId="745E77FB" w14:textId="77777777" w:rsidR="007972CE" w:rsidRPr="00B506D7" w:rsidRDefault="007972CE" w:rsidP="007972CE">
      <w:pPr>
        <w:shd w:val="clear" w:color="auto" w:fill="FFFFFF"/>
        <w:spacing w:after="0" w:line="240" w:lineRule="auto"/>
        <w:rPr>
          <w:rFonts w:eastAsia="Times New Roman" w:cstheme="minorHAnsi"/>
          <w:color w:val="333333"/>
          <w:kern w:val="0"/>
          <w:lang w:val="pl-PL" w:eastAsia="pl-PL"/>
          <w14:ligatures w14:val="none"/>
        </w:rPr>
      </w:pPr>
      <w:r w:rsidRPr="00B506D7">
        <w:rPr>
          <w:rFonts w:eastAsia="Times New Roman" w:cstheme="minorHAnsi"/>
          <w:color w:val="333333"/>
          <w:kern w:val="0"/>
          <w:lang w:val="pl-PL" w:eastAsia="pl-PL"/>
          <w14:ligatures w14:val="none"/>
        </w:rPr>
        <w:t>a)</w:t>
      </w:r>
      <w:r w:rsidRPr="0057206C">
        <w:rPr>
          <w:rFonts w:eastAsia="Times New Roman" w:cstheme="minorHAnsi"/>
          <w:color w:val="333333"/>
          <w:kern w:val="0"/>
          <w:lang w:val="pl-PL" w:eastAsia="pl-PL"/>
          <w14:ligatures w14:val="none"/>
        </w:rPr>
        <w:t xml:space="preserve"> </w:t>
      </w:r>
      <w:r w:rsidRPr="00B506D7">
        <w:rPr>
          <w:rFonts w:eastAsia="Times New Roman" w:cstheme="minorHAnsi"/>
          <w:color w:val="333333"/>
          <w:kern w:val="0"/>
          <w:lang w:val="pl-PL" w:eastAsia="pl-PL"/>
          <w14:ligatures w14:val="none"/>
        </w:rPr>
        <w:t>daty i godziny połączenia oraz czasu jego trwania,</w:t>
      </w:r>
    </w:p>
    <w:p w14:paraId="672DCC52" w14:textId="77777777" w:rsidR="007972CE" w:rsidRPr="00B506D7" w:rsidRDefault="007972CE" w:rsidP="007972CE">
      <w:pPr>
        <w:shd w:val="clear" w:color="auto" w:fill="FFFFFF"/>
        <w:spacing w:after="0" w:line="240" w:lineRule="auto"/>
        <w:rPr>
          <w:rFonts w:eastAsia="Times New Roman" w:cstheme="minorHAnsi"/>
          <w:color w:val="333333"/>
          <w:kern w:val="0"/>
          <w:lang w:val="pl-PL" w:eastAsia="pl-PL"/>
          <w14:ligatures w14:val="none"/>
        </w:rPr>
      </w:pPr>
      <w:r w:rsidRPr="00B506D7">
        <w:rPr>
          <w:rFonts w:eastAsia="Times New Roman" w:cstheme="minorHAnsi"/>
          <w:color w:val="333333"/>
          <w:kern w:val="0"/>
          <w:lang w:val="pl-PL" w:eastAsia="pl-PL"/>
          <w14:ligatures w14:val="none"/>
        </w:rPr>
        <w:t>b)</w:t>
      </w:r>
      <w:r w:rsidRPr="0057206C">
        <w:rPr>
          <w:rFonts w:eastAsia="Times New Roman" w:cstheme="minorHAnsi"/>
          <w:color w:val="333333"/>
          <w:kern w:val="0"/>
          <w:lang w:val="pl-PL" w:eastAsia="pl-PL"/>
          <w14:ligatures w14:val="none"/>
        </w:rPr>
        <w:t xml:space="preserve"> </w:t>
      </w:r>
      <w:r w:rsidRPr="00B506D7">
        <w:rPr>
          <w:rFonts w:eastAsia="Times New Roman" w:cstheme="minorHAnsi"/>
          <w:color w:val="333333"/>
          <w:kern w:val="0"/>
          <w:lang w:val="pl-PL" w:eastAsia="pl-PL"/>
          <w14:ligatures w14:val="none"/>
        </w:rPr>
        <w:t>rodzaju połączenia,</w:t>
      </w:r>
    </w:p>
    <w:p w14:paraId="6304549B" w14:textId="77777777" w:rsidR="007972CE" w:rsidRPr="00B506D7" w:rsidRDefault="007972CE" w:rsidP="007972CE">
      <w:pPr>
        <w:shd w:val="clear" w:color="auto" w:fill="FFFFFF"/>
        <w:spacing w:after="0" w:line="240" w:lineRule="auto"/>
        <w:rPr>
          <w:rFonts w:eastAsia="Times New Roman" w:cstheme="minorHAnsi"/>
          <w:color w:val="333333"/>
          <w:kern w:val="0"/>
          <w:lang w:val="pl-PL" w:eastAsia="pl-PL"/>
          <w14:ligatures w14:val="none"/>
        </w:rPr>
      </w:pPr>
      <w:r w:rsidRPr="00B506D7">
        <w:rPr>
          <w:rFonts w:eastAsia="Times New Roman" w:cstheme="minorHAnsi"/>
          <w:color w:val="333333"/>
          <w:kern w:val="0"/>
          <w:lang w:val="pl-PL" w:eastAsia="pl-PL"/>
          <w14:ligatures w14:val="none"/>
        </w:rPr>
        <w:t>c)</w:t>
      </w:r>
      <w:r w:rsidRPr="0057206C">
        <w:rPr>
          <w:rFonts w:eastAsia="Times New Roman" w:cstheme="minorHAnsi"/>
          <w:color w:val="333333"/>
          <w:kern w:val="0"/>
          <w:lang w:val="pl-PL" w:eastAsia="pl-PL"/>
          <w14:ligatures w14:val="none"/>
        </w:rPr>
        <w:t xml:space="preserve"> </w:t>
      </w:r>
      <w:r w:rsidRPr="00B506D7">
        <w:rPr>
          <w:rFonts w:eastAsia="Times New Roman" w:cstheme="minorHAnsi"/>
          <w:color w:val="333333"/>
          <w:kern w:val="0"/>
          <w:lang w:val="pl-PL" w:eastAsia="pl-PL"/>
          <w14:ligatures w14:val="none"/>
        </w:rPr>
        <w:t>lokalizacji telekomunikacyjnego urządzenia końcowego.</w:t>
      </w:r>
    </w:p>
    <w:p w14:paraId="382EB0F3" w14:textId="77777777" w:rsidR="007972CE" w:rsidRPr="0057206C" w:rsidRDefault="007972CE" w:rsidP="007972CE">
      <w:pPr>
        <w:jc w:val="both"/>
        <w:rPr>
          <w:rFonts w:cstheme="minorHAnsi"/>
          <w:b/>
          <w:bCs/>
          <w:lang w:val="pl-PL"/>
        </w:rPr>
      </w:pPr>
    </w:p>
    <w:p w14:paraId="724730AB" w14:textId="77777777" w:rsidR="007972CE" w:rsidRPr="0057206C" w:rsidRDefault="007972CE" w:rsidP="007972CE">
      <w:pPr>
        <w:jc w:val="both"/>
        <w:rPr>
          <w:rFonts w:cstheme="minorHAnsi"/>
          <w:lang w:val="pl-PL"/>
        </w:rPr>
      </w:pPr>
      <w:r w:rsidRPr="0057206C">
        <w:rPr>
          <w:rFonts w:cstheme="minorHAnsi"/>
          <w:lang w:val="pl-PL"/>
        </w:rPr>
        <w:t xml:space="preserve">Z powyższego zestawienia wynika, że art. 218 k.p.k. dotyczy </w:t>
      </w:r>
      <w:r w:rsidRPr="0057206C">
        <w:rPr>
          <w:rFonts w:cstheme="minorHAnsi"/>
          <w:b/>
          <w:bCs/>
          <w:lang w:val="pl-PL"/>
        </w:rPr>
        <w:t>zarówno danych pozwalających jedynie na identyfikację osoby, jak i tzw. danych o ruchu lub lokalizacji,</w:t>
      </w:r>
      <w:r w:rsidRPr="0057206C">
        <w:rPr>
          <w:rFonts w:cstheme="minorHAnsi"/>
          <w:lang w:val="pl-PL"/>
        </w:rPr>
        <w:t xml:space="preserve"> które – w świetle orzecznictwa TS – mogą pozwolić na wyciągnięcie precyzyjnych wniosków dotyczących życia prywatnego osób, których dane są zatrzymywane, takich jak ich codzienne nawyki, miejsca stałego lub czasowego pobytu, codziennie lub okazyjnie pokonywane trasy, podejmowane czynności, relacje towarzyskie tych osób i środowiska społeczne, w których osoby te się obracają (por. pkt 39 wyroku w sprawie C-178/22).</w:t>
      </w:r>
    </w:p>
    <w:p w14:paraId="3022FA85" w14:textId="6B260362" w:rsidR="007972CE" w:rsidRPr="0057206C" w:rsidRDefault="007972CE" w:rsidP="007972CE">
      <w:pPr>
        <w:jc w:val="both"/>
        <w:rPr>
          <w:rFonts w:cstheme="minorHAnsi"/>
          <w:b/>
          <w:bCs/>
          <w:lang w:val="pl-PL"/>
        </w:rPr>
      </w:pPr>
      <w:r w:rsidRPr="0057206C">
        <w:rPr>
          <w:rFonts w:cstheme="minorHAnsi"/>
          <w:lang w:val="pl-PL"/>
        </w:rPr>
        <w:lastRenderedPageBreak/>
        <w:t xml:space="preserve">Należy uznać, że w celu </w:t>
      </w:r>
      <w:r w:rsidRPr="0057206C">
        <w:rPr>
          <w:rFonts w:cstheme="minorHAnsi"/>
          <w:b/>
          <w:bCs/>
          <w:lang w:val="pl-PL"/>
        </w:rPr>
        <w:t>pozyskiwania danych przynależących do tej pierwszej kategorii</w:t>
      </w:r>
      <w:r w:rsidRPr="0057206C">
        <w:rPr>
          <w:rFonts w:cstheme="minorHAnsi"/>
          <w:lang w:val="pl-PL"/>
        </w:rPr>
        <w:t xml:space="preserve"> (dot. identyfikacji osoby, np. identyfikacji abonenta) w świetle prawa unijnego nie jest wymagany żaden szczególny reżim. Wobec tego </w:t>
      </w:r>
      <w:r w:rsidRPr="0057206C">
        <w:rPr>
          <w:rFonts w:cstheme="minorHAnsi"/>
          <w:b/>
          <w:bCs/>
          <w:lang w:val="pl-PL"/>
        </w:rPr>
        <w:t xml:space="preserve">pozyskiwanie tych danych dla potrzeb postępowania karnego powinno się odbywać na dotychczasowych zasadach i zmiana art. 218 k.p.k. w tym zakresie nie jest konieczna. </w:t>
      </w:r>
      <w:r w:rsidR="00171160">
        <w:rPr>
          <w:rFonts w:cstheme="minorHAnsi"/>
          <w:b/>
          <w:bCs/>
          <w:lang w:val="pl-PL"/>
        </w:rPr>
        <w:t xml:space="preserve">Należy podkreślić, że dane tego rodzaju (służące wyłączenie identyfikacji osoby) są w procesie karnym często pozyskiwanym i niejednokrotnie ważnym źródłem dowodowym. Nie ma przeszkód wynikających z prawa unijnego, aby nadal pozyskiwać je na dotychczasowych zasadach.  </w:t>
      </w:r>
    </w:p>
    <w:p w14:paraId="12829BFF" w14:textId="07AD47F4" w:rsidR="007517BF" w:rsidRDefault="007517BF" w:rsidP="007517BF">
      <w:pPr>
        <w:pStyle w:val="title-bold"/>
        <w:shd w:val="clear" w:color="auto" w:fill="FFFFFF"/>
        <w:spacing w:before="0" w:beforeAutospacing="0" w:after="75" w:afterAutospacing="0"/>
        <w:jc w:val="both"/>
        <w:rPr>
          <w:rFonts w:asciiTheme="minorHAnsi" w:hAnsiTheme="minorHAnsi" w:cstheme="minorHAnsi"/>
          <w:sz w:val="22"/>
          <w:szCs w:val="22"/>
        </w:rPr>
      </w:pPr>
      <w:r>
        <w:rPr>
          <w:rFonts w:asciiTheme="minorHAnsi" w:hAnsiTheme="minorHAnsi" w:cstheme="minorHAnsi"/>
          <w:sz w:val="22"/>
          <w:szCs w:val="22"/>
        </w:rPr>
        <w:t xml:space="preserve">Tezę te wspiera treść </w:t>
      </w:r>
      <w:r w:rsidR="00D0033E">
        <w:rPr>
          <w:rFonts w:asciiTheme="minorHAnsi" w:hAnsiTheme="minorHAnsi" w:cstheme="minorHAnsi"/>
          <w:sz w:val="22"/>
          <w:szCs w:val="22"/>
        </w:rPr>
        <w:t>R</w:t>
      </w:r>
      <w:r>
        <w:rPr>
          <w:rFonts w:asciiTheme="minorHAnsi" w:hAnsiTheme="minorHAnsi" w:cstheme="minorHAnsi"/>
          <w:sz w:val="22"/>
          <w:szCs w:val="22"/>
        </w:rPr>
        <w:t xml:space="preserve">ozporządzenia </w:t>
      </w:r>
      <w:r>
        <w:rPr>
          <w:rFonts w:asciiTheme="minorHAnsi" w:hAnsiTheme="minorHAnsi" w:cstheme="minorHAnsi"/>
          <w:color w:val="333333"/>
          <w:sz w:val="22"/>
          <w:szCs w:val="22"/>
        </w:rPr>
        <w:t xml:space="preserve">2023/1543. </w:t>
      </w:r>
      <w:r>
        <w:rPr>
          <w:rStyle w:val="Uwydatnienie"/>
          <w:rFonts w:asciiTheme="minorHAnsi" w:eastAsiaTheme="majorEastAsia" w:hAnsiTheme="minorHAnsi" w:cstheme="minorHAnsi"/>
          <w:color w:val="333333"/>
          <w:sz w:val="22"/>
          <w:szCs w:val="22"/>
        </w:rPr>
        <w:t xml:space="preserve">Dzieli ono „dowody elektroniczne” według stopnia intruzywności na: „dane </w:t>
      </w:r>
      <w:r>
        <w:rPr>
          <w:rFonts w:asciiTheme="minorHAnsi" w:hAnsiTheme="minorHAnsi" w:cstheme="minorHAnsi"/>
          <w:sz w:val="22"/>
          <w:szCs w:val="22"/>
        </w:rPr>
        <w:t>abonenta”, „dane, których zażądano wyłącznie w celu identyfikacji użytkownika”, „dane o ruchu” oraz „dane dotyczące treści” przechowywane przez usługodawcę, lub w imieniu usługodawcy, w formie elektronicznej. Dalej wyjaśnia, że „</w:t>
      </w:r>
      <w:r>
        <w:rPr>
          <w:rFonts w:asciiTheme="minorHAnsi" w:hAnsiTheme="minorHAnsi" w:cstheme="minorHAnsi"/>
          <w:b/>
          <w:bCs/>
          <w:sz w:val="22"/>
          <w:szCs w:val="22"/>
        </w:rPr>
        <w:t xml:space="preserve">dane abonenta” </w:t>
      </w:r>
      <w:r>
        <w:rPr>
          <w:rFonts w:asciiTheme="minorHAnsi" w:hAnsiTheme="minorHAnsi" w:cstheme="minorHAnsi"/>
          <w:sz w:val="22"/>
          <w:szCs w:val="22"/>
        </w:rPr>
        <w:t xml:space="preserve">oznaczają wszelkie dane przechowywane przez usługodawcę w związku z abonamentem na jego usługi, dotyczące: a) tożsamości abonenta lub klienta, takie jak podane imię i nazwisko, data urodzenia, adres pocztowy lub geograficzny, dane rozliczeniowe i dotyczące płatności, numer telefonu lub adres e-mail; b) rodzaju usługi i czasu jej trwania, w tym dane techniczne i dane identyfikujące powiązane środki techniczne lub interfejsy wykorzystywane przez abonenta lub klienta lub im udostępniane w chwili pierwszej rejestracji lub aktywacji oraz dane związane z walidacją użycia usługi, z wyjątkiem haseł i innych środków uwierzytelnienia stosowanych zamiast hasła, podanych przez użytkownika lub utworzonych na jego prośbę; </w:t>
      </w:r>
    </w:p>
    <w:p w14:paraId="37A74A46" w14:textId="6A836CAC" w:rsidR="007517BF" w:rsidRDefault="007517BF" w:rsidP="007517BF">
      <w:pPr>
        <w:jc w:val="both"/>
        <w:rPr>
          <w:rFonts w:cstheme="minorHAnsi"/>
          <w:lang w:val="pl-PL"/>
        </w:rPr>
      </w:pPr>
      <w:r>
        <w:rPr>
          <w:rFonts w:cstheme="minorHAnsi"/>
          <w:lang w:val="pl-PL"/>
        </w:rPr>
        <w:t>„Dane, których zażądano wyłącznie w celu identyfikacji użytkownika” (art. 3 pkt 10) odnoszą się do określonych identyfikatorów (takich jak adresy IP, porty źródłowe i znaczniki czasu jak data i godzina) służących wyłącznie potwierdzeniu tożsamości użytkownika w konkretnej sprawie karnej. Uzyskanie danych wyłącznie w celu identyfikacji jest często pierwszym krokiem w postępowaniu, który poprzedza żądanie od usługodawcy danych abonenta lub danych o ruchu związanych z tym identyfikatorem. Z uwagi na niski próg intruzywności danych służących wyłącznie identyfikacji, Rozporządzenie wprowadza dla tej kategorii taki sam reżim pozyskiwania, jak dla danych abonenta.</w:t>
      </w:r>
    </w:p>
    <w:p w14:paraId="27D92198" w14:textId="77777777" w:rsidR="007517BF" w:rsidRDefault="007517BF" w:rsidP="007517BF">
      <w:pPr>
        <w:jc w:val="both"/>
        <w:rPr>
          <w:rFonts w:cstheme="minorHAnsi"/>
          <w:lang w:val="pl-PL"/>
        </w:rPr>
      </w:pPr>
      <w:r>
        <w:rPr>
          <w:rFonts w:cstheme="minorHAnsi"/>
          <w:lang w:val="pl-PL"/>
        </w:rPr>
        <w:t>Z kolei „</w:t>
      </w:r>
      <w:r>
        <w:rPr>
          <w:rFonts w:cstheme="minorHAnsi"/>
          <w:b/>
          <w:bCs/>
          <w:lang w:val="pl-PL"/>
        </w:rPr>
        <w:t>dane o ruchu</w:t>
      </w:r>
      <w:r>
        <w:rPr>
          <w:rFonts w:cstheme="minorHAnsi"/>
          <w:lang w:val="pl-PL"/>
        </w:rPr>
        <w:t xml:space="preserve">” oznaczają dane związane ze świadczeniem usługi oferowanej przez usługodawcę, które są wykorzystywane do zapewnienia kontekstu lub dodatkowych informacji na temat tej usługi i są generowane lub przetwarzane przez system informatyczny usługodawcy, takie jak dane dotyczące źródła i miejsca przeznaczenia wiadomości lub interakcji innego rodzaju, dane na temat lokalizacji urządzenia, daty, czasu, czasu trwania, rozmiaru, trasy, formatu, wykorzystanego protokołu i typu kompresji, a także inne metadane i dane pochodzące z łączności elektronicznej, inne niż dane abonenta, dotyczące rozpoczęcia i zakończenia sesji dostępu użytkownika do usługi, takie jak data i czas korzystania z usługi, logowanie do i wylogowanie z usługi. </w:t>
      </w:r>
    </w:p>
    <w:p w14:paraId="4FEA869B" w14:textId="77777777" w:rsidR="007517BF" w:rsidRDefault="007517BF" w:rsidP="007517BF">
      <w:pPr>
        <w:jc w:val="both"/>
        <w:rPr>
          <w:rFonts w:cstheme="minorHAnsi"/>
          <w:lang w:val="pl-PL"/>
        </w:rPr>
      </w:pPr>
      <w:r>
        <w:rPr>
          <w:rFonts w:cstheme="minorHAnsi"/>
          <w:lang w:val="pl-PL"/>
        </w:rPr>
        <w:t>W świetle zawartych w art. 3 Rozporządzenia definicji, „</w:t>
      </w:r>
      <w:r>
        <w:rPr>
          <w:rFonts w:cstheme="minorHAnsi"/>
          <w:b/>
          <w:bCs/>
          <w:lang w:val="pl-PL"/>
        </w:rPr>
        <w:t>dane dotyczące treści</w:t>
      </w:r>
      <w:r>
        <w:rPr>
          <w:rFonts w:cstheme="minorHAnsi"/>
          <w:lang w:val="pl-PL"/>
        </w:rPr>
        <w:t>” oznaczają wszelkie dane w formacie cyfrowym takie jak tekst, głos, wideo, obrazy i dźwięk, inne niż dane abonenta lub dane o ruchu.</w:t>
      </w:r>
    </w:p>
    <w:p w14:paraId="2FD541E0" w14:textId="2DEFFB2B" w:rsidR="007517BF" w:rsidRDefault="007517BF" w:rsidP="007517BF">
      <w:pPr>
        <w:jc w:val="both"/>
        <w:rPr>
          <w:rFonts w:cstheme="minorHAnsi"/>
          <w:lang w:val="pl-PL"/>
        </w:rPr>
      </w:pPr>
      <w:r>
        <w:rPr>
          <w:rFonts w:cstheme="minorHAnsi"/>
          <w:lang w:val="pl-PL"/>
        </w:rPr>
        <w:t>Podsumowując, Rozporządzenie wyróżnia dwie kategorie danych: z jednej strony nieinwazyjne „dane abonenta” oraz „dane, których zażądano wyłącznie w celu identyfikacji użytkownika”, z drugiej zaś „dane o ruchu” oraz „dane dotyczące treści”, które są postrzegane jako wymagające wyższego stopnia gwarancji procesowych z uwagi na ich większą inwazyjność.</w:t>
      </w:r>
      <w:r w:rsidR="00FA60AE">
        <w:rPr>
          <w:rFonts w:cstheme="minorHAnsi"/>
          <w:lang w:val="pl-PL"/>
        </w:rPr>
        <w:t xml:space="preserve"> </w:t>
      </w:r>
      <w:r>
        <w:rPr>
          <w:rFonts w:cstheme="minorHAnsi"/>
          <w:lang w:val="pl-PL"/>
        </w:rPr>
        <w:t xml:space="preserve">Przepis art. 218 k.p.k. w ogóle nie odnosi się do „danych </w:t>
      </w:r>
      <w:r>
        <w:rPr>
          <w:rFonts w:cstheme="minorHAnsi"/>
          <w:lang w:val="pl-PL"/>
        </w:rPr>
        <w:lastRenderedPageBreak/>
        <w:t>dotyczących treści”</w:t>
      </w:r>
      <w:r>
        <w:rPr>
          <w:rStyle w:val="Odwoanieprzypisudolnego"/>
          <w:rFonts w:cstheme="minorHAnsi"/>
          <w:lang w:val="pl-PL"/>
        </w:rPr>
        <w:footnoteReference w:id="3"/>
      </w:r>
      <w:r>
        <w:rPr>
          <w:rFonts w:cstheme="minorHAnsi"/>
          <w:lang w:val="pl-PL"/>
        </w:rPr>
        <w:t>. Natomiast z Rozporządzenia wynika, że specjalny reżim pozyskiwania danych nie musi dotyczyć „danych abonenta” oraz „danych, których zażądano wyłącznie w celu identyfikacji użytkownika”, jako mniej inwazyjnych</w:t>
      </w:r>
      <w:r>
        <w:rPr>
          <w:rStyle w:val="Odwoanieprzypisudolnego"/>
          <w:rFonts w:cstheme="minorHAnsi"/>
          <w:lang w:val="pl-PL"/>
        </w:rPr>
        <w:footnoteReference w:id="4"/>
      </w:r>
      <w:r>
        <w:rPr>
          <w:rFonts w:cstheme="minorHAnsi"/>
          <w:lang w:val="pl-PL"/>
        </w:rPr>
        <w:t xml:space="preserve">. Zgodnie z art. 4 ust. 1 Rozporządzenia, nakaz dostarczenia takich danych może być wydany także przez prokuratora lub inny organ niesądowy. Z kolei z art. 5 ust. 3 Rozporządzenia wynika, że można go wydać w toku postępowania o każde przestępstwo. </w:t>
      </w:r>
    </w:p>
    <w:p w14:paraId="234CFA6E" w14:textId="77777777" w:rsidR="007517BF" w:rsidRPr="007517BF" w:rsidRDefault="007517BF" w:rsidP="007517BF">
      <w:pPr>
        <w:jc w:val="both"/>
        <w:rPr>
          <w:lang w:val="pl-PL" w:eastAsia="pl-PL"/>
        </w:rPr>
      </w:pPr>
      <w:r w:rsidRPr="007517BF">
        <w:rPr>
          <w:lang w:val="pl-PL"/>
        </w:rPr>
        <w:t xml:space="preserve">Podsumowując, treść Rozporządzenia dostarcza ważkich argumentów na rzecz tezy, że art. 218 k.p.k. nie wymaga zmian w zakresie, w jakim służy gromadzeniu „danych abonenta” oraz „danych żądanych wyłącznie w celu identyfikacji użytkownika”. </w:t>
      </w:r>
    </w:p>
    <w:p w14:paraId="58C0B0D3" w14:textId="77777777" w:rsidR="007972CE" w:rsidRDefault="007972CE" w:rsidP="007972CE">
      <w:pPr>
        <w:jc w:val="both"/>
        <w:rPr>
          <w:rFonts w:cstheme="minorHAnsi"/>
          <w:lang w:val="pl-PL"/>
        </w:rPr>
      </w:pPr>
      <w:r w:rsidRPr="0057206C">
        <w:rPr>
          <w:rFonts w:cstheme="minorHAnsi"/>
          <w:b/>
          <w:bCs/>
          <w:lang w:val="pl-PL"/>
        </w:rPr>
        <w:t xml:space="preserve">3. </w:t>
      </w:r>
      <w:r w:rsidRPr="0057206C">
        <w:rPr>
          <w:rFonts w:cstheme="minorHAnsi"/>
          <w:lang w:val="pl-PL"/>
        </w:rPr>
        <w:t>Przepis art. 218 k.p.k. w obecnej wersji określa jednak także reżim procesowy pozyskiwania danych lokalizacyjnych i danych o ruchu</w:t>
      </w:r>
      <w:r>
        <w:rPr>
          <w:rFonts w:cstheme="minorHAnsi"/>
          <w:lang w:val="pl-PL"/>
        </w:rPr>
        <w:t>, czyli danych bardziej intruzywnych</w:t>
      </w:r>
      <w:r w:rsidRPr="0057206C">
        <w:rPr>
          <w:rFonts w:cstheme="minorHAnsi"/>
          <w:lang w:val="pl-PL"/>
        </w:rPr>
        <w:t>.</w:t>
      </w:r>
      <w:r>
        <w:rPr>
          <w:rFonts w:cstheme="minorHAnsi"/>
          <w:lang w:val="pl-PL"/>
        </w:rPr>
        <w:t xml:space="preserve"> Zgodnie z wyrokiem TS, jak i standardem wyznaczonym w Rozporządzeniu, reżim dostępu do tych danych powinien być bardziej gwarancyjny. W opiniowanym projekcie zaproponowano wprowadzenie procedury wydawania uprzedniej zgody sądu na pozyskiwanie takich danych. Jednocześnie w art. 218 § 1b wprowadzono możliwość zarządzenia dostarczenia ww. danych na wniosek prokuratora, ale tylko dla „przypadków niecierpiących zwłoki”. Na wniosek prokuratora złożony w terminie 3 dni, sąd w terminie 5 dni wydawałby decyzję co do tego wniosku. W razie odmowy zatwierdzenia decyzji prokuratora dane pozyskane na jego wniosek należałyby zwrócić ich dostawcy. </w:t>
      </w:r>
    </w:p>
    <w:p w14:paraId="734C753A" w14:textId="77777777" w:rsidR="007972CE" w:rsidRDefault="007972CE" w:rsidP="007972CE">
      <w:pPr>
        <w:jc w:val="both"/>
        <w:rPr>
          <w:rFonts w:cstheme="minorHAnsi"/>
          <w:lang w:val="pl-PL"/>
        </w:rPr>
      </w:pPr>
      <w:r>
        <w:rPr>
          <w:rFonts w:cstheme="minorHAnsi"/>
          <w:lang w:val="pl-PL"/>
        </w:rPr>
        <w:t>Również Rozporządzenie w art. 4 wskazuje sąd jako organ właściwy do wnioskowania o wydanie takich danych. Rozporządzenie dopuszcza co prawda możliwość wystąpienia z wnioskiem o wydanie takich danych przez inny organ, ale wówczas jego wystąpienie musi być zatwierdzone przez sąd</w:t>
      </w:r>
      <w:r w:rsidRPr="00447725">
        <w:rPr>
          <w:rFonts w:cstheme="minorHAnsi"/>
          <w:lang w:val="pl-PL"/>
        </w:rPr>
        <w:t>. Podobnie wcześniejsze orzecznictwo TS, w szczególności wyrok w sprawie C-746/18, wskazuje na wymóg uprzedniej zgody sądu lub innego niezależnego organu administracji, przesądzając jednocześnie, że prokurator estoński, będący stroną postępowania karnego (oskarżycielem) i jednocześnie podległy hierarchicznie Ministrowi Sprawiedliwości, nie jest takim organem. Słuszne są zatem wnioski formułowane w piśmiennictwie, że podobnie należy potraktować prokuratora w polskim systemie prawnym.</w:t>
      </w:r>
      <w:r w:rsidRPr="00447725">
        <w:rPr>
          <w:rStyle w:val="Odwoanieprzypisudolnego"/>
          <w:rFonts w:cstheme="minorHAnsi"/>
          <w:lang w:val="pl-PL"/>
        </w:rPr>
        <w:footnoteReference w:id="5"/>
      </w:r>
      <w:r w:rsidRPr="00447725">
        <w:rPr>
          <w:rFonts w:cstheme="minorHAnsi"/>
          <w:lang w:val="pl-PL"/>
        </w:rPr>
        <w:t xml:space="preserve"> </w:t>
      </w:r>
    </w:p>
    <w:p w14:paraId="573A2575" w14:textId="70F93F72" w:rsidR="007972CE" w:rsidRPr="00D237D8" w:rsidRDefault="007972CE" w:rsidP="007972CE">
      <w:pPr>
        <w:jc w:val="both"/>
        <w:rPr>
          <w:rFonts w:cstheme="minorHAnsi"/>
          <w:color w:val="EE0000"/>
          <w:lang w:val="pl-PL"/>
        </w:rPr>
      </w:pPr>
      <w:r>
        <w:rPr>
          <w:rFonts w:cstheme="minorHAnsi"/>
          <w:lang w:val="pl-PL"/>
        </w:rPr>
        <w:t>Podsumowując, proponowane zmiany wskazujące sąd jako organ wydający zgodę uprzednią na dostęp do danych lokalizacyjnych i danych o ruchu</w:t>
      </w:r>
      <w:r w:rsidR="00447725">
        <w:rPr>
          <w:rFonts w:cstheme="minorHAnsi"/>
          <w:lang w:val="pl-PL"/>
        </w:rPr>
        <w:t xml:space="preserve"> (niesłużących wyłącznie identyfikacji osoby)</w:t>
      </w:r>
      <w:r>
        <w:rPr>
          <w:rFonts w:cstheme="minorHAnsi"/>
          <w:lang w:val="pl-PL"/>
        </w:rPr>
        <w:t xml:space="preserve"> wydają się zasadne i kompatybilne z </w:t>
      </w:r>
      <w:r w:rsidR="00447725">
        <w:rPr>
          <w:rFonts w:cstheme="minorHAnsi"/>
          <w:lang w:val="pl-PL"/>
        </w:rPr>
        <w:t>R</w:t>
      </w:r>
      <w:r>
        <w:rPr>
          <w:rFonts w:cstheme="minorHAnsi"/>
          <w:lang w:val="pl-PL"/>
        </w:rPr>
        <w:t xml:space="preserve">ozporządzeniem. Za zasadne należy uznać także pozostawienie kompetencji prokuratora do wnioskowania o wydanie tej kategorii danych „w wyjątkowych przypadkach”, kiedy niezbędne jest działanie niezwłoczne. Wówczas należałoby wprowadzić następczą kontrolę sądu wobec decyzji prokuratora. Można mieć natomiast wątpliwość, czy musi to być kontrola ujęta w ramy czasowe i reżim zaproponowane przez MS, czyli „skopiowana” z art. 237 § 2 k.p.k. regulującego te kwestię w odniesieniu do podsłuchów. Są to jednak, jak się wydaje, mniej intruzywne dane niż dane z podsłuchów, czyli „dane o </w:t>
      </w:r>
      <w:r w:rsidRPr="00447725">
        <w:rPr>
          <w:rFonts w:cstheme="minorHAnsi"/>
          <w:color w:val="000000" w:themeColor="text1"/>
          <w:lang w:val="pl-PL"/>
        </w:rPr>
        <w:lastRenderedPageBreak/>
        <w:t xml:space="preserve">treści”. W każdym razie, </w:t>
      </w:r>
      <w:r w:rsidRPr="00447725">
        <w:rPr>
          <w:rFonts w:cstheme="minorHAnsi"/>
          <w:i/>
          <w:iCs/>
          <w:color w:val="000000" w:themeColor="text1"/>
          <w:lang w:val="pl-PL"/>
        </w:rPr>
        <w:t>de lege lata</w:t>
      </w:r>
      <w:r w:rsidRPr="00447725">
        <w:rPr>
          <w:rFonts w:cstheme="minorHAnsi"/>
          <w:color w:val="000000" w:themeColor="text1"/>
          <w:lang w:val="pl-PL"/>
        </w:rPr>
        <w:t xml:space="preserve">, słuszne jest założenie, iż w świetle standardu wskazanego w orzecznictwie TS trudno uznać polskiego prokuratora za „niezależny organ administracyjny”. </w:t>
      </w:r>
    </w:p>
    <w:p w14:paraId="6CBBEF37" w14:textId="587C9D42" w:rsidR="007972CE" w:rsidRDefault="007972CE" w:rsidP="007972CE">
      <w:pPr>
        <w:jc w:val="both"/>
        <w:rPr>
          <w:lang w:val="pl-PL"/>
        </w:rPr>
      </w:pPr>
      <w:r w:rsidRPr="00201943">
        <w:rPr>
          <w:rFonts w:cstheme="minorHAnsi"/>
          <w:b/>
          <w:bCs/>
          <w:lang w:val="pl-PL"/>
        </w:rPr>
        <w:t>4.</w:t>
      </w:r>
      <w:r>
        <w:rPr>
          <w:rFonts w:cstheme="minorHAnsi"/>
          <w:lang w:val="pl-PL"/>
        </w:rPr>
        <w:t xml:space="preserve"> Ministerstwo Sprawiedliwości proponuje wprowadzenie ograniczenia możliwości pozyskiwania danych teleinformatycznych do postępowań dotyczących przestępstw zagrożonych karą pozbawienia wolności, której </w:t>
      </w:r>
      <w:r w:rsidRPr="00890F23">
        <w:rPr>
          <w:rFonts w:cstheme="minorHAnsi"/>
          <w:b/>
          <w:bCs/>
          <w:lang w:val="pl-PL"/>
        </w:rPr>
        <w:t>górna granica wynosi co najmniej 3 lata.</w:t>
      </w:r>
      <w:r>
        <w:rPr>
          <w:rFonts w:cstheme="minorHAnsi"/>
          <w:lang w:val="pl-PL"/>
        </w:rPr>
        <w:t xml:space="preserve"> W ocenie KKPK to ograniczenie jest zbędne w odniesieniu do danych identyfikujących osobę. Także w Rozporządzeniu nie wprowadza się żadnych ograniczeń dla pozyskiwania takich danych. Zgodnie bowiem z art. 5 ust. 3 Rozporządzenia, nakaz pozyskiwania takich danych „</w:t>
      </w:r>
      <w:r w:rsidRPr="00C3061D">
        <w:rPr>
          <w:lang w:val="pl-PL"/>
        </w:rPr>
        <w:t xml:space="preserve">może być wydany w odniesieniu do każdego przestępstwa oraz w związku z wykonaniem w ramach postępowania karnego wykonawczego kary pozbawienia wolności lub środka zabezpieczającego polegającego na pozbawieniu wolności w wymiarze co najmniej czterech miesięcy, o ile nie zostały one wymierzone orzeczeniem wydanym zaocznie, w </w:t>
      </w:r>
      <w:proofErr w:type="gramStart"/>
      <w:r w:rsidRPr="00C3061D">
        <w:rPr>
          <w:lang w:val="pl-PL"/>
        </w:rPr>
        <w:t>przypadkach</w:t>
      </w:r>
      <w:proofErr w:type="gramEnd"/>
      <w:r w:rsidRPr="00C3061D">
        <w:rPr>
          <w:lang w:val="pl-PL"/>
        </w:rPr>
        <w:t xml:space="preserve"> gdy skazany ukrywa się przed wymiarem sprawiedliwości</w:t>
      </w:r>
      <w:r>
        <w:rPr>
          <w:lang w:val="pl-PL"/>
        </w:rPr>
        <w:t>”</w:t>
      </w:r>
      <w:r w:rsidRPr="00C3061D">
        <w:rPr>
          <w:lang w:val="pl-PL"/>
        </w:rPr>
        <w:t>.</w:t>
      </w:r>
    </w:p>
    <w:p w14:paraId="00D4F889" w14:textId="77777777" w:rsidR="007972CE" w:rsidRPr="00447725" w:rsidRDefault="007972CE" w:rsidP="007972CE">
      <w:pPr>
        <w:jc w:val="both"/>
        <w:rPr>
          <w:lang w:val="pl-PL"/>
        </w:rPr>
      </w:pPr>
      <w:bookmarkStart w:id="0" w:name="_Hlk218240434"/>
      <w:r w:rsidRPr="00447725">
        <w:rPr>
          <w:lang w:val="pl-PL"/>
        </w:rPr>
        <w:t xml:space="preserve">Natomiast rzeczywiście zarówno z wyroku TS, jak i z Rozporządzenia wynika ograniczenie przedmiotowe w pozyskiwaniu danych lokalizacyjnych i danych o ruchu (o ile nie służą wyłącznie identyfikacji osoby). Orzecznictwo TS nie narzuca tutaj żadnego progu, pozostawiając zdefiniowanie pojęcia „poważne przestępstwa” państwom członkowskim. Czyni jednocześnie założenie, że sposób zdefiniowania „poważnych przestępstw” musi respektować zasadę proporcjonalności i nie może prowadzić do wypaczenia rozumienia pojęcia „poważnej przestępczości”. </w:t>
      </w:r>
    </w:p>
    <w:p w14:paraId="054F5473" w14:textId="77777777" w:rsidR="007972CE" w:rsidRPr="00447725" w:rsidRDefault="007972CE" w:rsidP="007972CE">
      <w:pPr>
        <w:jc w:val="both"/>
        <w:rPr>
          <w:rFonts w:cstheme="minorHAnsi"/>
          <w:shd w:val="clear" w:color="auto" w:fill="FFFFFF"/>
          <w:lang w:val="pl-PL"/>
        </w:rPr>
      </w:pPr>
      <w:r w:rsidRPr="00447725">
        <w:rPr>
          <w:lang w:val="pl-PL"/>
        </w:rPr>
        <w:t xml:space="preserve">Z kolei w Rozporządzeniu przyjęto metodę mieszaną wskazania tego ograniczenia. Co do zasady tego rodzaju dane mogą być pozyskiwane w postępowaniach dotyczących czynów zagrożonych karą pozbawienia wolności o górnej granicy ustawowego zagrożenia w wysokości co najmniej trzech lat (art. 5 ust. 4.a. Rozporządzenia). Ponadto w art. 5 ust. 4.b. Rozporządzenia wskazano, że ww. dane mogą być pozyskiwane w sprawach o konkretne </w:t>
      </w:r>
      <w:r w:rsidRPr="00447725">
        <w:rPr>
          <w:rFonts w:cstheme="minorHAnsi"/>
          <w:lang w:val="pl-PL"/>
        </w:rPr>
        <w:t>przestępstwa zdefiniowane w trzech dyrektywach unijnych, bez względu na próg zagrożenia karą, o ile popełniono je w całości lub częściowo z wykorzystaniem systemu teleinformatycznego. Są to przestępstwa określone w: 1) dyrektywie 2019/713 w sprawie zwalczania fałszowania i oszustw związanych z bezgotówkowymi środkami płatniczymi; 2) dyrektywie 2</w:t>
      </w:r>
      <w:r w:rsidRPr="00447725">
        <w:rPr>
          <w:rFonts w:cstheme="minorHAnsi"/>
          <w:shd w:val="clear" w:color="auto" w:fill="FFFFFF"/>
          <w:lang w:val="pl-PL"/>
        </w:rPr>
        <w:t>011/93/UE w sprawie zwalczania niegodziwego traktowania w celach seksualnych i wykorzystywania seksualnego dzieci oraz pornografii dziecięcej oraz w 3) dyrektywie 2013/40/UE dotyczącej ataków na systemy informatyczne.</w:t>
      </w:r>
      <w:r w:rsidRPr="00447725">
        <w:rPr>
          <w:rFonts w:cstheme="minorHAnsi"/>
          <w:b/>
          <w:bCs/>
          <w:shd w:val="clear" w:color="auto" w:fill="FFFFFF"/>
          <w:lang w:val="pl-PL"/>
        </w:rPr>
        <w:t> </w:t>
      </w:r>
      <w:r w:rsidRPr="00447725">
        <w:rPr>
          <w:rFonts w:cstheme="minorHAnsi"/>
          <w:shd w:val="clear" w:color="auto" w:fill="FFFFFF"/>
          <w:lang w:val="pl-PL"/>
        </w:rPr>
        <w:t xml:space="preserve">Niezależnie od sposobu popełnienia (z użyciem systemu teleinformatycznego czy bez) dane lokalizacyjne i dane o ruchu mogą być gromadzone w sprawach o przestępstwa zdefiniowane w art. 3-12 oraz w art. 14 dyrektywy o zwalczaniu terroryzmu (art. 5 ust. 4d Rozporządzenia). </w:t>
      </w:r>
    </w:p>
    <w:p w14:paraId="4F67677D" w14:textId="77777777" w:rsidR="007972CE" w:rsidRDefault="007972CE" w:rsidP="007972CE">
      <w:pPr>
        <w:jc w:val="both"/>
        <w:rPr>
          <w:rFonts w:cstheme="minorHAnsi"/>
          <w:color w:val="333333"/>
          <w:shd w:val="clear" w:color="auto" w:fill="FFFFFF"/>
          <w:lang w:val="pl-PL"/>
        </w:rPr>
      </w:pPr>
      <w:r>
        <w:rPr>
          <w:rFonts w:cstheme="minorHAnsi"/>
          <w:color w:val="333333"/>
          <w:shd w:val="clear" w:color="auto" w:fill="FFFFFF"/>
          <w:lang w:val="pl-PL"/>
        </w:rPr>
        <w:t>Jak wynika z preambuły Rozporządzenia (punkt 41):</w:t>
      </w:r>
    </w:p>
    <w:p w14:paraId="4CFA1616" w14:textId="2643B997" w:rsidR="007972CE" w:rsidRPr="005B780F" w:rsidRDefault="007972CE" w:rsidP="007972CE">
      <w:pPr>
        <w:jc w:val="both"/>
        <w:rPr>
          <w:rFonts w:cstheme="minorHAnsi"/>
          <w:i/>
          <w:iCs/>
          <w:color w:val="EE0000"/>
          <w:lang w:val="pl-PL"/>
        </w:rPr>
      </w:pPr>
      <w:r w:rsidRPr="005B780F">
        <w:rPr>
          <w:i/>
          <w:iCs/>
          <w:lang w:val="pl-PL"/>
        </w:rPr>
        <w:t xml:space="preserve">“Istnieją szczególne przestępstwa, w przypadku których dowody będą w typowej sytuacji dostępne wyłącznie w postaci elektronicznej, z natury bardzo nietrwałej. Obejmuje to przestępstwa związane z cyberprzestrzenią, również te, które mogą nie zostać uznane za poważne same w sobie, lecz mogłyby spowodować rozległe i znaczące szkody, w szczególności przestępstwa charakteryzujące się małym wpływem jednostkowym, ale znacznym wolumenem i wielkością ogólnych szkód. </w:t>
      </w:r>
      <w:r w:rsidRPr="005B780F">
        <w:rPr>
          <w:b/>
          <w:bCs/>
          <w:i/>
          <w:iCs/>
          <w:lang w:val="pl-PL"/>
        </w:rPr>
        <w:t>W większości przypadków, w których przestępstwo popełniono przy użyciu systemu informatycznego, zastosowanie tego samego progu co w odniesieniu do innych rodzajów przestępstw, prowadziłoby w znacznym zakresie do bezkarności. Uzasadnia to stosowanie niniejszego rozporządzenia w odniesieniu do takich przestępstw także w sytuacjach, w których górna granica ustawowego zagrożenia karą pozbawienia wolności jest niższa niż trzy lata [podkreślenie autorki].</w:t>
      </w:r>
      <w:r w:rsidRPr="005B780F">
        <w:rPr>
          <w:i/>
          <w:iCs/>
          <w:lang w:val="pl-PL"/>
        </w:rPr>
        <w:t xml:space="preserve"> W przypadku pozostałych przestępstw związanych </w:t>
      </w:r>
      <w:r w:rsidRPr="005B780F">
        <w:rPr>
          <w:i/>
          <w:iCs/>
          <w:lang w:val="pl-PL"/>
        </w:rPr>
        <w:lastRenderedPageBreak/>
        <w:t>z terroryzmem w rozumieniu dyrektywy Parlamentu Europejskiego i Rady (UE) 2017/541 (20), a także przestępstw związanych z niegodziwym traktowaniem w celach seksualnych i wykorzystywaniem seksualnym dzieci w rozumieniu dyrektywy Parlamentu Europejskiego i Rady 2011/93/UE (21), nie powinien mieć zastosowania próg górnej granicy ustawowego zagrożenia karą w wysokości co najmniej trzech lat pozbawienia wolności.”</w:t>
      </w:r>
    </w:p>
    <w:p w14:paraId="312E2542" w14:textId="19E57D64" w:rsidR="007972CE" w:rsidRPr="005B780F" w:rsidRDefault="007972CE" w:rsidP="007972CE">
      <w:pPr>
        <w:jc w:val="both"/>
        <w:rPr>
          <w:rFonts w:cstheme="minorHAnsi"/>
          <w:lang w:val="pl-PL"/>
        </w:rPr>
      </w:pPr>
      <w:r w:rsidRPr="005B780F">
        <w:rPr>
          <w:rFonts w:cstheme="minorHAnsi"/>
          <w:lang w:val="pl-PL"/>
        </w:rPr>
        <w:t>Wobec powyższego należy uznać, że wprowadzenie progu kary nie niższej niż 3 lata pozbawienia wolności jako wymogu formalnego dla żądania wydania danych o ruchu</w:t>
      </w:r>
      <w:r w:rsidR="008A0204">
        <w:rPr>
          <w:rFonts w:cstheme="minorHAnsi"/>
          <w:lang w:val="pl-PL"/>
        </w:rPr>
        <w:t xml:space="preserve"> w odniesieniu do wszystkich przestępstw, </w:t>
      </w:r>
      <w:r w:rsidRPr="005B780F">
        <w:rPr>
          <w:rFonts w:cstheme="minorHAnsi"/>
          <w:lang w:val="pl-PL"/>
        </w:rPr>
        <w:t xml:space="preserve">nie wynika z Rozporządzenia. Kładzie ono bowiem nacisk na funkcjonalność pozyskiwania takich danych – powinno to być możliwe </w:t>
      </w:r>
      <w:r w:rsidR="00E76221">
        <w:rPr>
          <w:rFonts w:cstheme="minorHAnsi"/>
          <w:lang w:val="pl-PL"/>
        </w:rPr>
        <w:t>w</w:t>
      </w:r>
      <w:r w:rsidRPr="005B780F">
        <w:rPr>
          <w:rFonts w:cstheme="minorHAnsi"/>
          <w:lang w:val="pl-PL"/>
        </w:rPr>
        <w:t xml:space="preserve"> sprawach o</w:t>
      </w:r>
      <w:r w:rsidR="00E76221">
        <w:rPr>
          <w:rFonts w:cstheme="minorHAnsi"/>
          <w:lang w:val="pl-PL"/>
        </w:rPr>
        <w:t xml:space="preserve"> niektóre kategorie </w:t>
      </w:r>
      <w:r w:rsidRPr="005B780F">
        <w:rPr>
          <w:rFonts w:cstheme="minorHAnsi"/>
          <w:lang w:val="pl-PL"/>
        </w:rPr>
        <w:t>przestępstw zagrożon</w:t>
      </w:r>
      <w:r w:rsidR="00E76221">
        <w:rPr>
          <w:rFonts w:cstheme="minorHAnsi"/>
          <w:lang w:val="pl-PL"/>
        </w:rPr>
        <w:t>ych</w:t>
      </w:r>
      <w:r w:rsidRPr="005B780F">
        <w:rPr>
          <w:rFonts w:cstheme="minorHAnsi"/>
          <w:lang w:val="pl-PL"/>
        </w:rPr>
        <w:t xml:space="preserve"> karą poniżej tego progu, jeżeli został</w:t>
      </w:r>
      <w:r w:rsidR="007B030F">
        <w:rPr>
          <w:rFonts w:cstheme="minorHAnsi"/>
          <w:lang w:val="pl-PL"/>
        </w:rPr>
        <w:t>y</w:t>
      </w:r>
      <w:r w:rsidRPr="005B780F">
        <w:rPr>
          <w:rFonts w:cstheme="minorHAnsi"/>
          <w:lang w:val="pl-PL"/>
        </w:rPr>
        <w:t xml:space="preserve"> ono popełnione przy użyciu systemu teleinformatycznego.</w:t>
      </w:r>
      <w:r w:rsidR="00A1701E">
        <w:rPr>
          <w:rFonts w:cstheme="minorHAnsi"/>
          <w:lang w:val="pl-PL"/>
        </w:rPr>
        <w:t xml:space="preserve"> </w:t>
      </w:r>
      <w:r w:rsidR="00436541">
        <w:rPr>
          <w:rFonts w:cstheme="minorHAnsi"/>
          <w:lang w:val="pl-PL"/>
        </w:rPr>
        <w:t>Rozporządzenie w</w:t>
      </w:r>
      <w:r w:rsidR="00A1701E">
        <w:rPr>
          <w:rFonts w:cstheme="minorHAnsi"/>
          <w:lang w:val="pl-PL"/>
        </w:rPr>
        <w:t xml:space="preserve">yraźnie też wskazuje </w:t>
      </w:r>
      <w:r w:rsidR="00EE3E72">
        <w:rPr>
          <w:rFonts w:cstheme="minorHAnsi"/>
          <w:lang w:val="pl-PL"/>
        </w:rPr>
        <w:t>dwie kategorie</w:t>
      </w:r>
      <w:r w:rsidR="00A1701E">
        <w:rPr>
          <w:rFonts w:cstheme="minorHAnsi"/>
          <w:lang w:val="pl-PL"/>
        </w:rPr>
        <w:t xml:space="preserve"> przestępstw, do których taki próg kar</w:t>
      </w:r>
      <w:r w:rsidR="00436541">
        <w:rPr>
          <w:rFonts w:cstheme="minorHAnsi"/>
          <w:lang w:val="pl-PL"/>
        </w:rPr>
        <w:t>y</w:t>
      </w:r>
      <w:r w:rsidR="00A1701E">
        <w:rPr>
          <w:rFonts w:cstheme="minorHAnsi"/>
          <w:lang w:val="pl-PL"/>
        </w:rPr>
        <w:t xml:space="preserve"> w ogóle nie powinien mieć zastosowania.</w:t>
      </w:r>
      <w:r w:rsidRPr="005B780F">
        <w:rPr>
          <w:rFonts w:cstheme="minorHAnsi"/>
          <w:lang w:val="pl-PL"/>
        </w:rPr>
        <w:t xml:space="preserve"> Trzeba też pamiętać, że w wyroku TS, który stał się podstawą inicjatywy legislacyjnej MS, nie zakwestionowano możliwości pozyskiwania takich danych w odniesieniu do przestępstwa kradzieży telefonów komórkowych.  </w:t>
      </w:r>
    </w:p>
    <w:p w14:paraId="52581198" w14:textId="67431449" w:rsidR="007972CE" w:rsidRPr="005B780F" w:rsidRDefault="007972CE" w:rsidP="007972CE">
      <w:pPr>
        <w:jc w:val="both"/>
        <w:rPr>
          <w:lang w:val="pl-PL"/>
        </w:rPr>
      </w:pPr>
      <w:r w:rsidRPr="005B780F">
        <w:rPr>
          <w:rFonts w:cstheme="minorHAnsi"/>
          <w:lang w:val="pl-PL"/>
        </w:rPr>
        <w:t>Podsumowując, wprowadzenie sztywnej granicy 3 lat</w:t>
      </w:r>
      <w:r w:rsidR="0044521C">
        <w:rPr>
          <w:rFonts w:cstheme="minorHAnsi"/>
          <w:lang w:val="pl-PL"/>
        </w:rPr>
        <w:t xml:space="preserve"> dla wszystkich przestępstw</w:t>
      </w:r>
      <w:r w:rsidRPr="005B780F">
        <w:rPr>
          <w:rFonts w:cstheme="minorHAnsi"/>
          <w:lang w:val="pl-PL"/>
        </w:rPr>
        <w:t xml:space="preserve">, proponowane przez MS nie znajduje pełnego wsparcia w treści wyroku TS, który stał się przyczyną sformułowania propozycji zmian legislacyjnych. Należy więc rozważyć </w:t>
      </w:r>
      <w:r w:rsidR="005B780F">
        <w:rPr>
          <w:rFonts w:cstheme="minorHAnsi"/>
          <w:lang w:val="pl-PL"/>
        </w:rPr>
        <w:t xml:space="preserve">bardziej elastyczne rozwiązanie, np. </w:t>
      </w:r>
      <w:r w:rsidRPr="005B780F">
        <w:rPr>
          <w:rFonts w:cstheme="minorHAnsi"/>
          <w:lang w:val="pl-PL"/>
        </w:rPr>
        <w:t xml:space="preserve">wprowadzenie progu kary jako warunku formalnego pozyskiwania danych o ruchu dla procesu karnego, jednak uzupełnionego o uwzględnienie sposobu popełnienia przestępstwa (za pomocą systemu teleinformatycznego) i klauzulę proporcjonalności.  </w:t>
      </w:r>
      <w:bookmarkEnd w:id="0"/>
    </w:p>
    <w:p w14:paraId="17A7CC0A" w14:textId="77777777" w:rsidR="007972CE" w:rsidRDefault="007972CE" w:rsidP="007972CE">
      <w:pPr>
        <w:jc w:val="both"/>
        <w:rPr>
          <w:lang w:val="pl-PL"/>
        </w:rPr>
      </w:pPr>
      <w:r>
        <w:rPr>
          <w:lang w:val="pl-PL"/>
        </w:rPr>
        <w:t>5. Ministerstwo proponuje także zmianę art. 218a k.p.k. dotyczącego zabezpieczania danych telekomunikacyjnych. Nowelizacja polega na wprowadzeniu do procedury zabezpieczania takich danych takiego samego reżimu procesowego, jaki zaproponowano do dostępu do danych. Proponowana zmiana nie znajduje uzasadnienia w treści wyroku TS, który miałby być wykonany za jej pomocą. Wyrok ten odnosi się bowiem do uzyskiwania dostępu do danych, nie zaś do ich uprzedniego zabezpieczania.</w:t>
      </w:r>
    </w:p>
    <w:p w14:paraId="1B4B4A9E" w14:textId="2C5CC695" w:rsidR="007972CE" w:rsidRDefault="007972CE" w:rsidP="007972CE">
      <w:pPr>
        <w:jc w:val="both"/>
        <w:rPr>
          <w:lang w:val="pl-PL"/>
        </w:rPr>
      </w:pPr>
      <w:r>
        <w:rPr>
          <w:lang w:val="pl-PL"/>
        </w:rPr>
        <w:t xml:space="preserve">Zabezpieczenie danych (ang. data </w:t>
      </w:r>
      <w:proofErr w:type="spellStart"/>
      <w:r>
        <w:rPr>
          <w:lang w:val="pl-PL"/>
        </w:rPr>
        <w:t>preservation</w:t>
      </w:r>
      <w:proofErr w:type="spellEnd"/>
      <w:r>
        <w:rPr>
          <w:lang w:val="pl-PL"/>
        </w:rPr>
        <w:t xml:space="preserve">) jest środkiem tymczasowym, umożliwiającym </w:t>
      </w:r>
      <w:r w:rsidRPr="002C0D79">
        <w:rPr>
          <w:lang w:val="pl-PL"/>
        </w:rPr>
        <w:t>zabezpieczeni</w:t>
      </w:r>
      <w:r>
        <w:rPr>
          <w:lang w:val="pl-PL"/>
        </w:rPr>
        <w:t>e</w:t>
      </w:r>
      <w:r w:rsidRPr="002C0D79">
        <w:rPr>
          <w:lang w:val="pl-PL"/>
        </w:rPr>
        <w:t xml:space="preserve"> określonych</w:t>
      </w:r>
      <w:r>
        <w:rPr>
          <w:lang w:val="pl-PL"/>
        </w:rPr>
        <w:t xml:space="preserve">, już istniejących </w:t>
      </w:r>
      <w:r w:rsidRPr="002C0D79">
        <w:rPr>
          <w:lang w:val="pl-PL"/>
        </w:rPr>
        <w:t xml:space="preserve">danych </w:t>
      </w:r>
      <w:r>
        <w:rPr>
          <w:lang w:val="pl-PL"/>
        </w:rPr>
        <w:t xml:space="preserve">informatycznych przez podmiot obowiązany, </w:t>
      </w:r>
      <w:r w:rsidRPr="00890F23">
        <w:rPr>
          <w:b/>
          <w:bCs/>
          <w:lang w:val="pl-PL"/>
        </w:rPr>
        <w:t>bez uzyskiwania do nich dostępu</w:t>
      </w:r>
      <w:r w:rsidRPr="002C0D79">
        <w:rPr>
          <w:lang w:val="pl-PL"/>
        </w:rPr>
        <w:t>.</w:t>
      </w:r>
      <w:r>
        <w:rPr>
          <w:lang w:val="pl-PL"/>
        </w:rPr>
        <w:t xml:space="preserve"> Środek ten pozwala </w:t>
      </w:r>
      <w:r w:rsidRPr="002C0D79">
        <w:rPr>
          <w:lang w:val="pl-PL"/>
        </w:rPr>
        <w:t xml:space="preserve">organom </w:t>
      </w:r>
      <w:r>
        <w:rPr>
          <w:lang w:val="pl-PL"/>
        </w:rPr>
        <w:t xml:space="preserve">na </w:t>
      </w:r>
      <w:r w:rsidRPr="002C0D79">
        <w:rPr>
          <w:lang w:val="pl-PL"/>
        </w:rPr>
        <w:t>szybkie działanie w celu zapobieżenia utracie lub modyfikacji przechowywanych danych mogących mieć znaczenie dla postępowania karnego. Jest to szczególnie istotne w sytuacjach, gdy dane są narażone na usunięcie w wyniku rutynowych polityk retencji lub celowej ingerencji.</w:t>
      </w:r>
      <w:r>
        <w:rPr>
          <w:lang w:val="pl-PL"/>
        </w:rPr>
        <w:t xml:space="preserve"> </w:t>
      </w:r>
      <w:r>
        <w:rPr>
          <w:b/>
          <w:bCs/>
          <w:lang w:val="pl-PL"/>
        </w:rPr>
        <w:t>Zabezpieczenie danych</w:t>
      </w:r>
      <w:r w:rsidRPr="00890F23">
        <w:rPr>
          <w:b/>
          <w:bCs/>
          <w:lang w:val="pl-PL"/>
        </w:rPr>
        <w:t xml:space="preserve"> nie polega na uzyskaniu dostępu do </w:t>
      </w:r>
      <w:r>
        <w:rPr>
          <w:b/>
          <w:bCs/>
          <w:lang w:val="pl-PL"/>
        </w:rPr>
        <w:t xml:space="preserve">nich </w:t>
      </w:r>
      <w:r w:rsidRPr="00890F23">
        <w:rPr>
          <w:b/>
          <w:bCs/>
          <w:lang w:val="pl-PL"/>
        </w:rPr>
        <w:t>ani</w:t>
      </w:r>
      <w:r>
        <w:rPr>
          <w:b/>
          <w:bCs/>
          <w:lang w:val="pl-PL"/>
        </w:rPr>
        <w:t xml:space="preserve"> nie stanowi podstawy ich gromadzenia</w:t>
      </w:r>
      <w:r w:rsidRPr="00890F23">
        <w:rPr>
          <w:b/>
          <w:bCs/>
          <w:lang w:val="pl-PL"/>
        </w:rPr>
        <w:t xml:space="preserve"> w czasie rzeczywistym.</w:t>
      </w:r>
      <w:r>
        <w:rPr>
          <w:lang w:val="pl-PL"/>
        </w:rPr>
        <w:t xml:space="preserve"> </w:t>
      </w:r>
      <w:r w:rsidRPr="001C310F">
        <w:rPr>
          <w:lang w:val="pl-PL"/>
        </w:rPr>
        <w:t xml:space="preserve">Jego funkcją jest wyłącznie zapewnienie, że dane już istniejące, przechowywane poza ramami postępowania karnego przez urzędy, instytucje oraz podmioty prowadzące działalność telekomunikacyjną, nie zostaną utracone do czasu ewentualnego </w:t>
      </w:r>
      <w:r w:rsidRPr="00501349">
        <w:rPr>
          <w:lang w:val="pl-PL"/>
        </w:rPr>
        <w:t xml:space="preserve">podjęcia przez organy decyzji o ich pozyskaniu na podstawie przepisów upoważniających do żądania </w:t>
      </w:r>
      <w:r>
        <w:rPr>
          <w:lang w:val="pl-PL"/>
        </w:rPr>
        <w:t xml:space="preserve">wydania </w:t>
      </w:r>
      <w:r w:rsidRPr="00501349">
        <w:rPr>
          <w:lang w:val="pl-PL"/>
        </w:rPr>
        <w:t>danych</w:t>
      </w:r>
      <w:r>
        <w:rPr>
          <w:lang w:val="pl-PL"/>
        </w:rPr>
        <w:t xml:space="preserve"> </w:t>
      </w:r>
      <w:r w:rsidRPr="001C310F">
        <w:rPr>
          <w:lang w:val="pl-PL"/>
        </w:rPr>
        <w:t>(</w:t>
      </w:r>
      <w:r>
        <w:rPr>
          <w:lang w:val="pl-PL"/>
        </w:rPr>
        <w:t xml:space="preserve">tj. </w:t>
      </w:r>
      <w:r w:rsidRPr="001C310F">
        <w:rPr>
          <w:lang w:val="pl-PL"/>
        </w:rPr>
        <w:t>art. 218 k.p.k. lub art. 217 w zw. z art. 236a k.p.k.).</w:t>
      </w:r>
    </w:p>
    <w:p w14:paraId="327A3E9B" w14:textId="4381ED15" w:rsidR="007972CE" w:rsidRDefault="007972CE" w:rsidP="007972CE">
      <w:pPr>
        <w:jc w:val="both"/>
        <w:rPr>
          <w:lang w:val="pl-PL"/>
        </w:rPr>
      </w:pPr>
      <w:r w:rsidRPr="00501349">
        <w:rPr>
          <w:lang w:val="pl-PL"/>
        </w:rPr>
        <w:t xml:space="preserve">Z uwagi na </w:t>
      </w:r>
      <w:r>
        <w:rPr>
          <w:lang w:val="pl-PL"/>
        </w:rPr>
        <w:t>fakt</w:t>
      </w:r>
      <w:r w:rsidRPr="00501349">
        <w:rPr>
          <w:lang w:val="pl-PL"/>
        </w:rPr>
        <w:t xml:space="preserve">, że zabezpieczenie dotyczy wyłącznie danych już istniejących oraz nie upoważnia do dostępu do danych, </w:t>
      </w:r>
      <w:r>
        <w:rPr>
          <w:lang w:val="pl-PL"/>
        </w:rPr>
        <w:t>środek ten jest w obiegu międzynarodowym</w:t>
      </w:r>
      <w:r w:rsidRPr="00501349">
        <w:rPr>
          <w:lang w:val="pl-PL"/>
        </w:rPr>
        <w:t xml:space="preserve"> uznawany za nieinwazyjny</w:t>
      </w:r>
      <w:r>
        <w:rPr>
          <w:lang w:val="pl-PL"/>
        </w:rPr>
        <w:t xml:space="preserve"> i </w:t>
      </w:r>
      <w:r w:rsidRPr="00501349">
        <w:rPr>
          <w:lang w:val="pl-PL"/>
        </w:rPr>
        <w:t>niewymagający uprzedniej kontroli sądowej.</w:t>
      </w:r>
      <w:r>
        <w:rPr>
          <w:lang w:val="pl-PL"/>
        </w:rPr>
        <w:t xml:space="preserve"> Dlatego też Rozporządzenie w art. 4 ust. 3 uprawnia szeroki krąg podmiotów do wydania europejskiego nakazu zabezpieczenia dowodów (danych): </w:t>
      </w:r>
      <w:r w:rsidRPr="004C36FF">
        <w:rPr>
          <w:lang w:val="pl-PL"/>
        </w:rPr>
        <w:t xml:space="preserve">a) sędziego, sąd, sędziego śledczego lub </w:t>
      </w:r>
      <w:r w:rsidRPr="00890F23">
        <w:rPr>
          <w:b/>
          <w:bCs/>
          <w:lang w:val="pl-PL"/>
        </w:rPr>
        <w:t>prokuratora właściwych w danej sprawie, a także inne organy post</w:t>
      </w:r>
      <w:r w:rsidR="0096531F">
        <w:rPr>
          <w:b/>
          <w:bCs/>
          <w:lang w:val="pl-PL"/>
        </w:rPr>
        <w:t>ę</w:t>
      </w:r>
      <w:r w:rsidRPr="00890F23">
        <w:rPr>
          <w:b/>
          <w:bCs/>
          <w:lang w:val="pl-PL"/>
        </w:rPr>
        <w:t>powania przygotowawczego</w:t>
      </w:r>
      <w:r>
        <w:rPr>
          <w:lang w:val="pl-PL"/>
        </w:rPr>
        <w:t xml:space="preserve">, jednak pod warunkiem następczego zatwierdzenia nakazu przez sąd lub prokuratora. </w:t>
      </w:r>
      <w:r>
        <w:rPr>
          <w:lang w:val="pl-PL"/>
        </w:rPr>
        <w:lastRenderedPageBreak/>
        <w:t xml:space="preserve">Rozporządzenie nie wprowadza też ograniczeń co do postępowań, w których taki nakaz zabezpieczenia może być wydany (por. art. 6 ust. 3 Rozporządzenia). Szeroki zakres </w:t>
      </w:r>
      <w:r w:rsidRPr="00501349">
        <w:rPr>
          <w:lang w:val="pl-PL"/>
        </w:rPr>
        <w:t>stosowania zabezpieczenia danych, obejmując</w:t>
      </w:r>
      <w:r>
        <w:rPr>
          <w:lang w:val="pl-PL"/>
        </w:rPr>
        <w:t>y</w:t>
      </w:r>
      <w:r w:rsidRPr="00501349">
        <w:rPr>
          <w:lang w:val="pl-PL"/>
        </w:rPr>
        <w:t xml:space="preserve"> brak wymogu uprzedniej kontroli sądowej oraz jego dostępność we wszystkich kategoriach spraw, przewiduje także </w:t>
      </w:r>
      <w:r>
        <w:rPr>
          <w:lang w:val="pl-PL"/>
        </w:rPr>
        <w:t xml:space="preserve">art. 16 </w:t>
      </w:r>
      <w:r w:rsidRPr="00501349">
        <w:rPr>
          <w:lang w:val="pl-PL"/>
        </w:rPr>
        <w:t>Konwencj</w:t>
      </w:r>
      <w:r>
        <w:rPr>
          <w:lang w:val="pl-PL"/>
        </w:rPr>
        <w:t>i</w:t>
      </w:r>
      <w:r w:rsidRPr="00501349">
        <w:rPr>
          <w:lang w:val="pl-PL"/>
        </w:rPr>
        <w:t xml:space="preserve"> </w:t>
      </w:r>
      <w:r>
        <w:rPr>
          <w:lang w:val="pl-PL"/>
        </w:rPr>
        <w:t xml:space="preserve">Rady Europy </w:t>
      </w:r>
      <w:r w:rsidRPr="00501349">
        <w:rPr>
          <w:lang w:val="pl-PL"/>
        </w:rPr>
        <w:t>o cyberprzestępczości</w:t>
      </w:r>
      <w:r>
        <w:rPr>
          <w:lang w:val="pl-PL"/>
        </w:rPr>
        <w:t xml:space="preserve"> </w:t>
      </w:r>
      <w:r w:rsidRPr="00501349">
        <w:rPr>
          <w:lang w:val="pl-PL"/>
        </w:rPr>
        <w:t>(</w:t>
      </w:r>
      <w:r w:rsidRPr="00890F23">
        <w:rPr>
          <w:lang w:val="pl-PL"/>
        </w:rPr>
        <w:t xml:space="preserve">Dz.U. </w:t>
      </w:r>
      <w:r w:rsidR="00171160">
        <w:rPr>
          <w:lang w:val="pl-PL"/>
        </w:rPr>
        <w:t xml:space="preserve">z </w:t>
      </w:r>
      <w:r w:rsidRPr="00890F23">
        <w:rPr>
          <w:lang w:val="pl-PL"/>
        </w:rPr>
        <w:t>2015</w:t>
      </w:r>
      <w:r w:rsidR="00171160">
        <w:rPr>
          <w:lang w:val="pl-PL"/>
        </w:rPr>
        <w:t xml:space="preserve"> r.,</w:t>
      </w:r>
      <w:r w:rsidRPr="00890F23">
        <w:rPr>
          <w:lang w:val="pl-PL"/>
        </w:rPr>
        <w:t xml:space="preserve"> poz. 728)</w:t>
      </w:r>
      <w:r>
        <w:rPr>
          <w:lang w:val="pl-PL"/>
        </w:rPr>
        <w:t xml:space="preserve">. Ponadto, jak wynika z </w:t>
      </w:r>
      <w:r w:rsidR="00171160">
        <w:rPr>
          <w:lang w:val="pl-PL"/>
        </w:rPr>
        <w:t xml:space="preserve">analiz </w:t>
      </w:r>
      <w:proofErr w:type="spellStart"/>
      <w:r w:rsidR="00171160">
        <w:rPr>
          <w:lang w:val="pl-PL"/>
        </w:rPr>
        <w:t>prawnoporównawczych</w:t>
      </w:r>
      <w:proofErr w:type="spellEnd"/>
      <w:r w:rsidR="00171160">
        <w:rPr>
          <w:rStyle w:val="Odwoanieprzypisudolnego"/>
          <w:lang w:val="pl-PL"/>
        </w:rPr>
        <w:footnoteReference w:id="6"/>
      </w:r>
      <w:r>
        <w:rPr>
          <w:lang w:val="pl-PL"/>
        </w:rPr>
        <w:t xml:space="preserve">, w większości państw europejskich to właśnie prokurator jest uprawniony do wydawania nakazu zabezpieczenia danych teleinformatycznych. </w:t>
      </w:r>
    </w:p>
    <w:p w14:paraId="16C0846C" w14:textId="07AC9A93" w:rsidR="007972CE" w:rsidRDefault="007972CE" w:rsidP="007972CE">
      <w:pPr>
        <w:jc w:val="both"/>
        <w:rPr>
          <w:lang w:val="pl-PL"/>
        </w:rPr>
      </w:pPr>
      <w:r>
        <w:rPr>
          <w:lang w:val="pl-PL"/>
        </w:rPr>
        <w:t xml:space="preserve">Podsumowując, </w:t>
      </w:r>
      <w:r w:rsidR="00171160">
        <w:rPr>
          <w:lang w:val="pl-PL"/>
        </w:rPr>
        <w:t>KKPK</w:t>
      </w:r>
      <w:r>
        <w:rPr>
          <w:lang w:val="pl-PL"/>
        </w:rPr>
        <w:t xml:space="preserve"> nie widzi potrzeby zmiany art. 218a k.p.k. w tym zakresie</w:t>
      </w:r>
      <w:r w:rsidR="00D0033E">
        <w:rPr>
          <w:lang w:val="pl-PL"/>
        </w:rPr>
        <w:t>,</w:t>
      </w:r>
      <w:r>
        <w:rPr>
          <w:lang w:val="pl-PL"/>
        </w:rPr>
        <w:t xml:space="preserve"> </w:t>
      </w:r>
      <w:r w:rsidRPr="00B46EBE">
        <w:rPr>
          <w:lang w:val="pl-PL"/>
        </w:rPr>
        <w:t>albowiem proponowane rozwiązanie pozostaje bez związku z zakresem wyroku TS, a jednocześnie prowadziłoby do nieuzasadnionego zaostrzenia reżimu stosowania środka o charakterze zabezpieczającym</w:t>
      </w:r>
      <w:r>
        <w:rPr>
          <w:lang w:val="pl-PL"/>
        </w:rPr>
        <w:t>.</w:t>
      </w:r>
    </w:p>
    <w:p w14:paraId="72A4DAFA" w14:textId="77777777" w:rsidR="007972CE" w:rsidRDefault="007972CE" w:rsidP="007972CE">
      <w:pPr>
        <w:jc w:val="both"/>
        <w:rPr>
          <w:lang w:val="pl-PL"/>
        </w:rPr>
      </w:pPr>
    </w:p>
    <w:p w14:paraId="0D677088" w14:textId="77777777" w:rsidR="0096531F" w:rsidRDefault="00171160" w:rsidP="007972CE">
      <w:pPr>
        <w:jc w:val="both"/>
        <w:rPr>
          <w:lang w:val="pl-PL"/>
        </w:rPr>
      </w:pPr>
      <w:r>
        <w:rPr>
          <w:lang w:val="pl-PL"/>
        </w:rPr>
        <w:t>Projekt opinii o</w:t>
      </w:r>
      <w:r w:rsidR="007972CE">
        <w:rPr>
          <w:lang w:val="pl-PL"/>
        </w:rPr>
        <w:t>pr</w:t>
      </w:r>
      <w:r>
        <w:rPr>
          <w:lang w:val="pl-PL"/>
        </w:rPr>
        <w:t>acowany przez</w:t>
      </w:r>
      <w:r w:rsidR="007972CE">
        <w:rPr>
          <w:lang w:val="pl-PL"/>
        </w:rPr>
        <w:t xml:space="preserve"> M. Wąsek-Wiaderek</w:t>
      </w:r>
      <w:r>
        <w:rPr>
          <w:lang w:val="pl-PL"/>
        </w:rPr>
        <w:t>,</w:t>
      </w:r>
      <w:r w:rsidR="007972CE">
        <w:rPr>
          <w:lang w:val="pl-PL"/>
        </w:rPr>
        <w:t xml:space="preserve"> </w:t>
      </w:r>
    </w:p>
    <w:p w14:paraId="514BB835" w14:textId="77777777" w:rsidR="0096531F" w:rsidRDefault="00290A60" w:rsidP="007972CE">
      <w:pPr>
        <w:jc w:val="both"/>
        <w:rPr>
          <w:lang w:val="pl-PL"/>
        </w:rPr>
      </w:pPr>
      <w:r>
        <w:rPr>
          <w:lang w:val="pl-PL"/>
        </w:rPr>
        <w:t xml:space="preserve">(po uwzględnieniu uwag zgłoszonych przez członków Zespołu na posiedzeniach w dniach 18 grudnia 2025 r. i 5 stycznia 2026 r.), </w:t>
      </w:r>
    </w:p>
    <w:p w14:paraId="3971AE6B" w14:textId="5454B90B" w:rsidR="007972CE" w:rsidRDefault="00290A60" w:rsidP="007972CE">
      <w:pPr>
        <w:jc w:val="both"/>
        <w:rPr>
          <w:lang w:val="pl-PL"/>
        </w:rPr>
      </w:pPr>
      <w:r>
        <w:rPr>
          <w:lang w:val="pl-PL"/>
        </w:rPr>
        <w:t>z</w:t>
      </w:r>
      <w:r w:rsidR="00171160">
        <w:rPr>
          <w:lang w:val="pl-PL"/>
        </w:rPr>
        <w:t>atwierdzony przez KKPK na posiedzeniu w dniu 1</w:t>
      </w:r>
      <w:r>
        <w:rPr>
          <w:lang w:val="pl-PL"/>
        </w:rPr>
        <w:t>3 stycznia 2026 r.</w:t>
      </w:r>
    </w:p>
    <w:p w14:paraId="057FDA65" w14:textId="77777777" w:rsidR="002B1EC2" w:rsidRPr="007972CE" w:rsidRDefault="002B1EC2">
      <w:pPr>
        <w:rPr>
          <w:lang w:val="pl-PL"/>
        </w:rPr>
      </w:pPr>
    </w:p>
    <w:sectPr w:rsidR="002B1EC2" w:rsidRPr="007972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D51BA" w14:textId="77777777" w:rsidR="001D0D91" w:rsidRDefault="001D0D91" w:rsidP="007972CE">
      <w:pPr>
        <w:spacing w:after="0" w:line="240" w:lineRule="auto"/>
      </w:pPr>
      <w:r>
        <w:separator/>
      </w:r>
    </w:p>
  </w:endnote>
  <w:endnote w:type="continuationSeparator" w:id="0">
    <w:p w14:paraId="1D48A352" w14:textId="77777777" w:rsidR="001D0D91" w:rsidRDefault="001D0D91" w:rsidP="00797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503839"/>
      <w:docPartObj>
        <w:docPartGallery w:val="Page Numbers (Bottom of Page)"/>
        <w:docPartUnique/>
      </w:docPartObj>
    </w:sdtPr>
    <w:sdtContent>
      <w:p w14:paraId="212B1DB3" w14:textId="03C9DD02" w:rsidR="007972CE" w:rsidRDefault="007972CE">
        <w:pPr>
          <w:pStyle w:val="Stopka"/>
          <w:jc w:val="right"/>
        </w:pPr>
        <w:r>
          <w:fldChar w:fldCharType="begin"/>
        </w:r>
        <w:r>
          <w:instrText>PAGE   \* MERGEFORMAT</w:instrText>
        </w:r>
        <w:r>
          <w:fldChar w:fldCharType="separate"/>
        </w:r>
        <w:r>
          <w:rPr>
            <w:lang w:val="pl-PL"/>
          </w:rPr>
          <w:t>2</w:t>
        </w:r>
        <w:r>
          <w:fldChar w:fldCharType="end"/>
        </w:r>
      </w:p>
    </w:sdtContent>
  </w:sdt>
  <w:p w14:paraId="73B62323" w14:textId="77777777" w:rsidR="007972CE" w:rsidRDefault="007972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9C52" w14:textId="77777777" w:rsidR="001D0D91" w:rsidRDefault="001D0D91" w:rsidP="007972CE">
      <w:pPr>
        <w:spacing w:after="0" w:line="240" w:lineRule="auto"/>
      </w:pPr>
      <w:r>
        <w:separator/>
      </w:r>
    </w:p>
  </w:footnote>
  <w:footnote w:type="continuationSeparator" w:id="0">
    <w:p w14:paraId="1E170F61" w14:textId="77777777" w:rsidR="001D0D91" w:rsidRDefault="001D0D91" w:rsidP="007972CE">
      <w:pPr>
        <w:spacing w:after="0" w:line="240" w:lineRule="auto"/>
      </w:pPr>
      <w:r>
        <w:continuationSeparator/>
      </w:r>
    </w:p>
  </w:footnote>
  <w:footnote w:id="1">
    <w:p w14:paraId="35213135" w14:textId="77777777" w:rsidR="007972CE" w:rsidRPr="00F917D8" w:rsidRDefault="007972CE" w:rsidP="007972CE">
      <w:pPr>
        <w:spacing w:after="0"/>
        <w:rPr>
          <w:rFonts w:eastAsia="Times New Roman" w:cstheme="minorHAnsi"/>
          <w:kern w:val="0"/>
          <w:sz w:val="20"/>
          <w:szCs w:val="20"/>
          <w:lang w:val="pl-PL" w:eastAsia="pl-PL"/>
          <w14:ligatures w14:val="none"/>
        </w:rPr>
      </w:pPr>
      <w:r w:rsidRPr="00F917D8">
        <w:rPr>
          <w:rStyle w:val="Odwoanieprzypisudolnego"/>
          <w:rFonts w:cstheme="minorHAnsi"/>
          <w:sz w:val="20"/>
          <w:szCs w:val="20"/>
        </w:rPr>
        <w:footnoteRef/>
      </w:r>
      <w:r w:rsidRPr="00F917D8">
        <w:rPr>
          <w:rFonts w:cstheme="minorHAnsi"/>
          <w:sz w:val="20"/>
          <w:szCs w:val="20"/>
          <w:lang w:val="pl-PL"/>
        </w:rPr>
        <w:t xml:space="preserve"> Treść tego przepisu jest następująca: „</w:t>
      </w:r>
      <w:r w:rsidRPr="00F917D8">
        <w:rPr>
          <w:rFonts w:eastAsia="Times New Roman" w:cstheme="minorHAnsi"/>
          <w:color w:val="333333"/>
          <w:kern w:val="0"/>
          <w:sz w:val="20"/>
          <w:szCs w:val="20"/>
          <w:shd w:val="clear" w:color="auto" w:fill="FFFFFF"/>
          <w:lang w:val="pl-PL" w:eastAsia="pl-PL"/>
          <w14:ligatures w14:val="none"/>
        </w:rPr>
        <w:t>Przedsiębiorca telekomunikacyjny jest obowiązany, na własny koszt, do:</w:t>
      </w:r>
    </w:p>
    <w:p w14:paraId="5569995E" w14:textId="77777777" w:rsidR="007972CE" w:rsidRPr="00F917D8" w:rsidRDefault="007972CE" w:rsidP="007972CE">
      <w:pPr>
        <w:shd w:val="clear" w:color="auto" w:fill="FFFFFF"/>
        <w:spacing w:after="0" w:line="240" w:lineRule="auto"/>
        <w:jc w:val="both"/>
        <w:rPr>
          <w:rFonts w:eastAsia="Times New Roman" w:cstheme="minorHAnsi"/>
          <w:color w:val="333333"/>
          <w:kern w:val="0"/>
          <w:sz w:val="20"/>
          <w:szCs w:val="20"/>
          <w:lang w:val="pl-PL" w:eastAsia="pl-PL"/>
          <w14:ligatures w14:val="none"/>
        </w:rPr>
      </w:pPr>
      <w:r w:rsidRPr="00F917D8">
        <w:rPr>
          <w:rFonts w:eastAsia="Times New Roman" w:cstheme="minorHAnsi"/>
          <w:color w:val="333333"/>
          <w:kern w:val="0"/>
          <w:sz w:val="20"/>
          <w:szCs w:val="20"/>
          <w:lang w:val="pl-PL" w:eastAsia="pl-PL"/>
          <w14:ligatures w14:val="none"/>
        </w:rPr>
        <w:t>1)</w:t>
      </w:r>
      <w:r w:rsidRPr="000A0BCA">
        <w:rPr>
          <w:rFonts w:eastAsia="Times New Roman" w:cstheme="minorHAnsi"/>
          <w:color w:val="333333"/>
          <w:kern w:val="0"/>
          <w:sz w:val="20"/>
          <w:szCs w:val="20"/>
          <w:lang w:val="pl-PL" w:eastAsia="pl-PL"/>
          <w14:ligatures w14:val="none"/>
        </w:rPr>
        <w:t xml:space="preserve"> </w:t>
      </w:r>
      <w:r w:rsidRPr="00F917D8">
        <w:rPr>
          <w:rFonts w:eastAsia="Times New Roman" w:cstheme="minorHAnsi"/>
          <w:color w:val="333333"/>
          <w:kern w:val="0"/>
          <w:sz w:val="20"/>
          <w:szCs w:val="20"/>
          <w:lang w:val="pl-PL" w:eastAsia="pl-PL"/>
          <w14:ligatures w14:val="none"/>
        </w:rPr>
        <w:t>przygotowania technicznych i organizacyjnych warunków udostępniania przetwarzanych przez siebie danych, o których mowa w art. 43 ust. 1 pkt 1 lit. a tiret drugie, art. 386 ust. 1 pkt 1 i 3-5 oraz art. 389 i art. 390 ust. 2,</w:t>
      </w:r>
    </w:p>
    <w:p w14:paraId="4F2D8031" w14:textId="77777777" w:rsidR="007972CE" w:rsidRPr="00F917D8" w:rsidRDefault="007972CE" w:rsidP="007972CE">
      <w:pPr>
        <w:shd w:val="clear" w:color="auto" w:fill="FFFFFF"/>
        <w:spacing w:after="0" w:line="240" w:lineRule="auto"/>
        <w:jc w:val="both"/>
        <w:rPr>
          <w:rFonts w:eastAsia="Times New Roman" w:cstheme="minorHAnsi"/>
          <w:color w:val="333333"/>
          <w:kern w:val="0"/>
          <w:sz w:val="20"/>
          <w:szCs w:val="20"/>
          <w:lang w:val="pl-PL" w:eastAsia="pl-PL"/>
          <w14:ligatures w14:val="none"/>
        </w:rPr>
      </w:pPr>
      <w:r w:rsidRPr="00F917D8">
        <w:rPr>
          <w:rFonts w:eastAsia="Times New Roman" w:cstheme="minorHAnsi"/>
          <w:color w:val="333333"/>
          <w:kern w:val="0"/>
          <w:sz w:val="20"/>
          <w:szCs w:val="20"/>
          <w:lang w:val="pl-PL" w:eastAsia="pl-PL"/>
          <w14:ligatures w14:val="none"/>
        </w:rPr>
        <w:t>2)</w:t>
      </w:r>
      <w:r w:rsidRPr="000A0BCA">
        <w:rPr>
          <w:rFonts w:eastAsia="Times New Roman" w:cstheme="minorHAnsi"/>
          <w:color w:val="333333"/>
          <w:kern w:val="0"/>
          <w:sz w:val="20"/>
          <w:szCs w:val="20"/>
          <w:lang w:val="pl-PL" w:eastAsia="pl-PL"/>
          <w14:ligatures w14:val="none"/>
        </w:rPr>
        <w:t xml:space="preserve"> </w:t>
      </w:r>
      <w:r w:rsidRPr="00F917D8">
        <w:rPr>
          <w:rFonts w:eastAsia="Times New Roman" w:cstheme="minorHAnsi"/>
          <w:color w:val="333333"/>
          <w:kern w:val="0"/>
          <w:sz w:val="20"/>
          <w:szCs w:val="20"/>
          <w:lang w:val="pl-PL" w:eastAsia="pl-PL"/>
          <w14:ligatures w14:val="none"/>
        </w:rPr>
        <w:t>udostępniania uprawnionym podmiotom, a także sądowi i prokuratorowi, przetwarzanych przez siebie danych, o których mowa w art. 43 ust. 1 pkt 1 lit. a tiret drugie, art. 386 ust. 1 pkt 1 i 3-5 oraz art. 389 i art. 390 ust. 2</w:t>
      </w:r>
    </w:p>
    <w:p w14:paraId="1F9BB7DC" w14:textId="77777777" w:rsidR="007972CE" w:rsidRPr="000A0BCA" w:rsidRDefault="007972CE" w:rsidP="007972CE">
      <w:pPr>
        <w:shd w:val="clear" w:color="auto" w:fill="FFFFFF"/>
        <w:spacing w:after="0" w:line="240" w:lineRule="auto"/>
        <w:jc w:val="both"/>
        <w:rPr>
          <w:sz w:val="20"/>
          <w:szCs w:val="20"/>
          <w:lang w:val="pl-PL"/>
        </w:rPr>
      </w:pPr>
      <w:r w:rsidRPr="00F917D8">
        <w:rPr>
          <w:rFonts w:eastAsia="Times New Roman" w:cstheme="minorHAnsi"/>
          <w:color w:val="333333"/>
          <w:kern w:val="0"/>
          <w:sz w:val="20"/>
          <w:szCs w:val="20"/>
          <w:lang w:val="pl-PL" w:eastAsia="pl-PL"/>
          <w14:ligatures w14:val="none"/>
        </w:rPr>
        <w:t>- związanych ze świadczoną publicznie dostępną usługą telekomunikacyjną wraz z towarzyszącymi jej powiązanymi usługami, na zasadach i przy zachowaniu procedur określonych w przepisach odrębnych.</w:t>
      </w:r>
    </w:p>
  </w:footnote>
  <w:footnote w:id="2">
    <w:p w14:paraId="33E94784" w14:textId="77777777" w:rsidR="007972CE" w:rsidRPr="000A0BCA" w:rsidRDefault="007972CE" w:rsidP="007972CE">
      <w:pPr>
        <w:shd w:val="clear" w:color="auto" w:fill="FFFFFF"/>
        <w:jc w:val="both"/>
        <w:rPr>
          <w:rFonts w:eastAsia="Times New Roman" w:cstheme="minorHAnsi"/>
          <w:color w:val="333333"/>
          <w:kern w:val="0"/>
          <w:sz w:val="20"/>
          <w:szCs w:val="20"/>
          <w:lang w:val="pl-PL" w:eastAsia="pl-PL"/>
          <w14:ligatures w14:val="none"/>
        </w:rPr>
      </w:pPr>
      <w:r w:rsidRPr="000A0BCA">
        <w:rPr>
          <w:rStyle w:val="Odwoanieprzypisudolnego"/>
          <w:sz w:val="20"/>
          <w:szCs w:val="20"/>
        </w:rPr>
        <w:footnoteRef/>
      </w:r>
      <w:r w:rsidRPr="000A0BCA">
        <w:rPr>
          <w:sz w:val="20"/>
          <w:szCs w:val="20"/>
          <w:lang w:val="pl-PL"/>
        </w:rPr>
        <w:t xml:space="preserve"> </w:t>
      </w:r>
      <w:r w:rsidRPr="000A0BCA">
        <w:rPr>
          <w:rFonts w:eastAsia="Times New Roman" w:cstheme="minorHAnsi"/>
          <w:color w:val="333333"/>
          <w:kern w:val="0"/>
          <w:sz w:val="20"/>
          <w:szCs w:val="20"/>
          <w:lang w:val="pl-PL" w:eastAsia="pl-PL"/>
          <w14:ligatures w14:val="none"/>
        </w:rPr>
        <w:t>T.j.: w przypadku abonenta będącego osobą fizyczną: a) imię (imiona) i nazwisko, b) numer PESEL, jeżeli go posiada, albo nazwę, serię i numer dokumentu potwierdzającego tożsamość, a w przypadku cudzoziemca, który nie jest obywatelem państwa członkowskiego albo Konfederacji Szwajcarskiej - numer paszportu lub karty pobytu; 2) w przypadku abonenta niebędącego osobą fizyczną: a) nazwę, b) numer identyfikacyjny REGON lub NIP lub numer w Krajowym Rejestrze Sądowym albo informację o wpisie do Centralnej Ewidencji i Informacji o Działalności Gospodarczej lub innym właściwym rejestrze, c) na żądanie dostawcy usług - dane osób reprezentujących abonenta, umożliwiające dostawcy usług ich weryfikację, w szczególności dane określone w pkt 1.</w:t>
      </w:r>
    </w:p>
    <w:p w14:paraId="17696F91" w14:textId="77777777" w:rsidR="007972CE" w:rsidRPr="000A0BCA" w:rsidRDefault="007972CE" w:rsidP="007972CE">
      <w:pPr>
        <w:pStyle w:val="Tekstprzypisudolnego"/>
        <w:rPr>
          <w:lang w:val="pl-PL"/>
        </w:rPr>
      </w:pPr>
    </w:p>
  </w:footnote>
  <w:footnote w:id="3">
    <w:p w14:paraId="5B300F72" w14:textId="77777777" w:rsidR="007517BF" w:rsidRDefault="007517BF" w:rsidP="007517BF">
      <w:pPr>
        <w:pStyle w:val="Tekstprzypisudolnego"/>
        <w:rPr>
          <w:lang w:val="pl-PL"/>
        </w:rPr>
      </w:pPr>
      <w:r>
        <w:rPr>
          <w:rStyle w:val="Odwoanieprzypisudolnego"/>
        </w:rPr>
        <w:footnoteRef/>
      </w:r>
      <w:r>
        <w:rPr>
          <w:lang w:val="pl-PL"/>
        </w:rPr>
        <w:t xml:space="preserve"> Por. M. Kusak, Dostęp do danych elektronicznych dotyczących treści w postępowaniu karnym – wyzwania krajowe i międzynarodowe, w: </w:t>
      </w:r>
      <w:r>
        <w:rPr>
          <w:i/>
          <w:iCs/>
          <w:lang w:val="pl-PL"/>
        </w:rPr>
        <w:t>Proces karny a nowoczesne technologie</w:t>
      </w:r>
      <w:r>
        <w:rPr>
          <w:lang w:val="pl-PL"/>
        </w:rPr>
        <w:t>, Gdańskie Studia Prawnicze nr 2(63)2024, s. 75.</w:t>
      </w:r>
    </w:p>
  </w:footnote>
  <w:footnote w:id="4">
    <w:p w14:paraId="5DCD7F2D" w14:textId="77777777" w:rsidR="007517BF" w:rsidRDefault="007517BF" w:rsidP="007517BF">
      <w:pPr>
        <w:pStyle w:val="Tekstprzypisudolnego"/>
        <w:rPr>
          <w:lang w:val="pl-PL"/>
        </w:rPr>
      </w:pPr>
      <w:r>
        <w:rPr>
          <w:rStyle w:val="Odwoanieprzypisudolnego"/>
        </w:rPr>
        <w:footnoteRef/>
      </w:r>
      <w:r>
        <w:rPr>
          <w:lang w:val="pl-PL"/>
        </w:rPr>
        <w:t xml:space="preserve"> S. </w:t>
      </w:r>
      <w:r>
        <w:rPr>
          <w:lang w:val="pl-PL"/>
        </w:rPr>
        <w:t xml:space="preserve">Tosza, </w:t>
      </w:r>
      <w:r>
        <w:rPr>
          <w:i/>
          <w:iCs/>
          <w:lang w:val="pl-PL"/>
        </w:rPr>
        <w:t>W poszukiwaniu dowodów elektronicznych - europejski nakaz wydania dowodów elektronicznych oraz inne narzędzia międzynarodowego pozyskiwania dowodów dla potrzeb postępowania karnego</w:t>
      </w:r>
      <w:r>
        <w:rPr>
          <w:lang w:val="pl-PL"/>
        </w:rPr>
        <w:t xml:space="preserve">, w: </w:t>
      </w:r>
      <w:r>
        <w:rPr>
          <w:i/>
          <w:iCs/>
          <w:lang w:val="pl-PL"/>
        </w:rPr>
        <w:t>Proces karny a nowoczesne technologie</w:t>
      </w:r>
      <w:r>
        <w:rPr>
          <w:lang w:val="pl-PL"/>
        </w:rPr>
        <w:t>, Gdańskie Studia Prawnicze nr 2(63)2024, s. 48.</w:t>
      </w:r>
    </w:p>
  </w:footnote>
  <w:footnote w:id="5">
    <w:p w14:paraId="51938B11" w14:textId="77777777" w:rsidR="007972CE" w:rsidRPr="00D237D8" w:rsidRDefault="007972CE" w:rsidP="007972CE">
      <w:pPr>
        <w:pStyle w:val="Tekstprzypisudolnego"/>
        <w:rPr>
          <w:lang w:val="pl-PL"/>
        </w:rPr>
      </w:pPr>
      <w:r w:rsidRPr="00447725">
        <w:rPr>
          <w:rStyle w:val="Odwoanieprzypisudolnego"/>
        </w:rPr>
        <w:footnoteRef/>
      </w:r>
      <w:r w:rsidRPr="00447725">
        <w:rPr>
          <w:lang w:val="pl-PL"/>
        </w:rPr>
        <w:t xml:space="preserve"> Tak, m.in.: M. </w:t>
      </w:r>
      <w:r w:rsidRPr="00447725">
        <w:rPr>
          <w:lang w:val="pl-PL"/>
        </w:rPr>
        <w:t>Rojszczak, Polskie przepisy inwigilacyjne w świetle najnowszego orzecznictwa Trybunału Sprawiedliwości – wnioski krytyczne po wyroku Trybunału Sprawiedliwości z 2.03.2021 r., C</w:t>
      </w:r>
      <w:r w:rsidRPr="00447725">
        <w:rPr>
          <w:lang w:val="pl-PL"/>
        </w:rPr>
        <w:noBreakHyphen/>
        <w:t xml:space="preserve">746/18, Postępowanie karne przeciwko H.K., Europejski Przegląd Sądowy 2021, nr 11, s. 55. </w:t>
      </w:r>
    </w:p>
  </w:footnote>
  <w:footnote w:id="6">
    <w:p w14:paraId="63EAB72F" w14:textId="57BBEE6D" w:rsidR="00171160" w:rsidRPr="00171160" w:rsidRDefault="00171160">
      <w:pPr>
        <w:pStyle w:val="Tekstprzypisudolnego"/>
        <w:rPr>
          <w:lang w:val="pl-PL"/>
        </w:rPr>
      </w:pPr>
      <w:r>
        <w:rPr>
          <w:rStyle w:val="Odwoanieprzypisudolnego"/>
        </w:rPr>
        <w:footnoteRef/>
      </w:r>
      <w:r w:rsidRPr="00171160">
        <w:rPr>
          <w:lang w:val="pl-PL"/>
        </w:rPr>
        <w:t xml:space="preserve"> </w:t>
      </w:r>
      <w:r>
        <w:rPr>
          <w:lang w:val="pl-PL"/>
        </w:rPr>
        <w:t xml:space="preserve">Por. materiał udostępniony Zespołowi do spraw wdrożenia dyrektyw unijnych przez dr Martynę Kusak.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82514"/>
    <w:multiLevelType w:val="hybridMultilevel"/>
    <w:tmpl w:val="595EF4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FC52EC9"/>
    <w:multiLevelType w:val="hybridMultilevel"/>
    <w:tmpl w:val="30441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9581411">
    <w:abstractNumId w:val="0"/>
  </w:num>
  <w:num w:numId="2" w16cid:durableId="817916899">
    <w:abstractNumId w:val="1"/>
  </w:num>
  <w:num w:numId="3" w16cid:durableId="1959100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2CE"/>
    <w:rsid w:val="00091511"/>
    <w:rsid w:val="00136C3B"/>
    <w:rsid w:val="00171160"/>
    <w:rsid w:val="001D0D91"/>
    <w:rsid w:val="00290A60"/>
    <w:rsid w:val="002B1EC2"/>
    <w:rsid w:val="002E788B"/>
    <w:rsid w:val="003029AB"/>
    <w:rsid w:val="00436541"/>
    <w:rsid w:val="0044521C"/>
    <w:rsid w:val="00447725"/>
    <w:rsid w:val="004D4254"/>
    <w:rsid w:val="00536032"/>
    <w:rsid w:val="005B780F"/>
    <w:rsid w:val="00682147"/>
    <w:rsid w:val="006975F4"/>
    <w:rsid w:val="00713EB8"/>
    <w:rsid w:val="007517BF"/>
    <w:rsid w:val="0079724A"/>
    <w:rsid w:val="007972CE"/>
    <w:rsid w:val="007B030F"/>
    <w:rsid w:val="007B4D9A"/>
    <w:rsid w:val="008A0204"/>
    <w:rsid w:val="0096531F"/>
    <w:rsid w:val="009A7503"/>
    <w:rsid w:val="00A1356D"/>
    <w:rsid w:val="00A1701E"/>
    <w:rsid w:val="00AF4B2D"/>
    <w:rsid w:val="00B20184"/>
    <w:rsid w:val="00C1092B"/>
    <w:rsid w:val="00C2142E"/>
    <w:rsid w:val="00CA3DA2"/>
    <w:rsid w:val="00CC4BAF"/>
    <w:rsid w:val="00D0033E"/>
    <w:rsid w:val="00D8180B"/>
    <w:rsid w:val="00DF7599"/>
    <w:rsid w:val="00E76221"/>
    <w:rsid w:val="00E97928"/>
    <w:rsid w:val="00EA2088"/>
    <w:rsid w:val="00EC4C5E"/>
    <w:rsid w:val="00EE3E72"/>
    <w:rsid w:val="00F70E56"/>
    <w:rsid w:val="00FA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9CEB"/>
  <w15:chartTrackingRefBased/>
  <w15:docId w15:val="{A86FAD73-7075-4515-93D3-B3DFB37D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72CE"/>
  </w:style>
  <w:style w:type="paragraph" w:styleId="Nagwek1">
    <w:name w:val="heading 1"/>
    <w:basedOn w:val="Normalny"/>
    <w:next w:val="Normalny"/>
    <w:link w:val="Nagwek1Znak"/>
    <w:uiPriority w:val="9"/>
    <w:qFormat/>
    <w:rsid w:val="007972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972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972C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972C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972C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972C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972C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972C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972C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72C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972C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972C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972C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972C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972C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972C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972C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972CE"/>
    <w:rPr>
      <w:rFonts w:eastAsiaTheme="majorEastAsia" w:cstheme="majorBidi"/>
      <w:color w:val="272727" w:themeColor="text1" w:themeTint="D8"/>
    </w:rPr>
  </w:style>
  <w:style w:type="paragraph" w:styleId="Tytu">
    <w:name w:val="Title"/>
    <w:basedOn w:val="Normalny"/>
    <w:next w:val="Normalny"/>
    <w:link w:val="TytuZnak"/>
    <w:uiPriority w:val="10"/>
    <w:qFormat/>
    <w:rsid w:val="00797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972C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972C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972C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972CE"/>
    <w:pPr>
      <w:spacing w:before="160"/>
      <w:jc w:val="center"/>
    </w:pPr>
    <w:rPr>
      <w:i/>
      <w:iCs/>
      <w:color w:val="404040" w:themeColor="text1" w:themeTint="BF"/>
    </w:rPr>
  </w:style>
  <w:style w:type="character" w:customStyle="1" w:styleId="CytatZnak">
    <w:name w:val="Cytat Znak"/>
    <w:basedOn w:val="Domylnaczcionkaakapitu"/>
    <w:link w:val="Cytat"/>
    <w:uiPriority w:val="29"/>
    <w:rsid w:val="007972CE"/>
    <w:rPr>
      <w:i/>
      <w:iCs/>
      <w:color w:val="404040" w:themeColor="text1" w:themeTint="BF"/>
    </w:rPr>
  </w:style>
  <w:style w:type="paragraph" w:styleId="Akapitzlist">
    <w:name w:val="List Paragraph"/>
    <w:basedOn w:val="Normalny"/>
    <w:uiPriority w:val="34"/>
    <w:qFormat/>
    <w:rsid w:val="007972CE"/>
    <w:pPr>
      <w:ind w:left="720"/>
      <w:contextualSpacing/>
    </w:pPr>
  </w:style>
  <w:style w:type="character" w:styleId="Wyrnienieintensywne">
    <w:name w:val="Intense Emphasis"/>
    <w:basedOn w:val="Domylnaczcionkaakapitu"/>
    <w:uiPriority w:val="21"/>
    <w:qFormat/>
    <w:rsid w:val="007972CE"/>
    <w:rPr>
      <w:i/>
      <w:iCs/>
      <w:color w:val="2F5496" w:themeColor="accent1" w:themeShade="BF"/>
    </w:rPr>
  </w:style>
  <w:style w:type="paragraph" w:styleId="Cytatintensywny">
    <w:name w:val="Intense Quote"/>
    <w:basedOn w:val="Normalny"/>
    <w:next w:val="Normalny"/>
    <w:link w:val="CytatintensywnyZnak"/>
    <w:uiPriority w:val="30"/>
    <w:qFormat/>
    <w:rsid w:val="007972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972CE"/>
    <w:rPr>
      <w:i/>
      <w:iCs/>
      <w:color w:val="2F5496" w:themeColor="accent1" w:themeShade="BF"/>
    </w:rPr>
  </w:style>
  <w:style w:type="character" w:styleId="Odwoanieintensywne">
    <w:name w:val="Intense Reference"/>
    <w:basedOn w:val="Domylnaczcionkaakapitu"/>
    <w:uiPriority w:val="32"/>
    <w:qFormat/>
    <w:rsid w:val="007972CE"/>
    <w:rPr>
      <w:b/>
      <w:bCs/>
      <w:smallCaps/>
      <w:color w:val="2F5496" w:themeColor="accent1" w:themeShade="BF"/>
      <w:spacing w:val="5"/>
    </w:rPr>
  </w:style>
  <w:style w:type="paragraph" w:styleId="Tekstprzypisudolnego">
    <w:name w:val="footnote text"/>
    <w:basedOn w:val="Normalny"/>
    <w:link w:val="TekstprzypisudolnegoZnak"/>
    <w:uiPriority w:val="99"/>
    <w:semiHidden/>
    <w:unhideWhenUsed/>
    <w:rsid w:val="007972C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972CE"/>
    <w:rPr>
      <w:sz w:val="20"/>
      <w:szCs w:val="20"/>
    </w:rPr>
  </w:style>
  <w:style w:type="character" w:styleId="Odwoanieprzypisudolnego">
    <w:name w:val="footnote reference"/>
    <w:basedOn w:val="Domylnaczcionkaakapitu"/>
    <w:uiPriority w:val="99"/>
    <w:semiHidden/>
    <w:unhideWhenUsed/>
    <w:rsid w:val="007972CE"/>
    <w:rPr>
      <w:vertAlign w:val="superscript"/>
    </w:rPr>
  </w:style>
  <w:style w:type="paragraph" w:customStyle="1" w:styleId="title-bold">
    <w:name w:val="title-bold"/>
    <w:basedOn w:val="Normalny"/>
    <w:rsid w:val="007972CE"/>
    <w:pPr>
      <w:spacing w:before="100" w:beforeAutospacing="1" w:after="100" w:afterAutospacing="1" w:line="240" w:lineRule="auto"/>
    </w:pPr>
    <w:rPr>
      <w:rFonts w:ascii="Times New Roman" w:eastAsia="Times New Roman" w:hAnsi="Times New Roman" w:cs="Times New Roman"/>
      <w:kern w:val="0"/>
      <w:sz w:val="24"/>
      <w:szCs w:val="24"/>
      <w:lang w:val="pl-PL" w:eastAsia="pl-PL"/>
      <w14:ligatures w14:val="none"/>
    </w:rPr>
  </w:style>
  <w:style w:type="character" w:styleId="Uwydatnienie">
    <w:name w:val="Emphasis"/>
    <w:basedOn w:val="Domylnaczcionkaakapitu"/>
    <w:uiPriority w:val="20"/>
    <w:qFormat/>
    <w:rsid w:val="007972CE"/>
    <w:rPr>
      <w:i/>
      <w:iCs/>
    </w:rPr>
  </w:style>
  <w:style w:type="paragraph" w:styleId="Nagwek">
    <w:name w:val="header"/>
    <w:basedOn w:val="Normalny"/>
    <w:link w:val="NagwekZnak"/>
    <w:uiPriority w:val="99"/>
    <w:unhideWhenUsed/>
    <w:rsid w:val="007972CE"/>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7972CE"/>
  </w:style>
  <w:style w:type="paragraph" w:styleId="Stopka">
    <w:name w:val="footer"/>
    <w:basedOn w:val="Normalny"/>
    <w:link w:val="StopkaZnak"/>
    <w:uiPriority w:val="99"/>
    <w:unhideWhenUsed/>
    <w:rsid w:val="007972CE"/>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797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4500</Words>
  <Characters>27005</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WW</dc:creator>
  <cp:keywords/>
  <dc:description/>
  <cp:lastModifiedBy>Wiraszka-Bereza Beata  (DPK)</cp:lastModifiedBy>
  <cp:revision>2</cp:revision>
  <dcterms:created xsi:type="dcterms:W3CDTF">2026-02-04T21:11:00Z</dcterms:created>
  <dcterms:modified xsi:type="dcterms:W3CDTF">2026-02-04T21:11:00Z</dcterms:modified>
</cp:coreProperties>
</file>