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F8D85" w14:textId="1CBF1067" w:rsidR="005A1E8A" w:rsidRDefault="002A10A9" w:rsidP="002A10A9">
      <w:pPr>
        <w:spacing w:after="120" w:line="276" w:lineRule="auto"/>
        <w:jc w:val="right"/>
        <w:rPr>
          <w:rFonts w:ascii="Arial" w:hAnsi="Arial" w:cs="Arial"/>
          <w:b/>
          <w:caps/>
          <w:sz w:val="22"/>
          <w:szCs w:val="22"/>
        </w:rPr>
      </w:pPr>
      <w:r w:rsidRPr="00B00045">
        <w:rPr>
          <w:rFonts w:ascii="Arial" w:hAnsi="Arial" w:cs="Arial"/>
          <w:sz w:val="22"/>
          <w:szCs w:val="22"/>
        </w:rPr>
        <w:t>Załącznik nr 2 do Szacowania wartości zamówienia</w:t>
      </w:r>
    </w:p>
    <w:p w14:paraId="325FB567" w14:textId="77777777" w:rsidR="002A10A9" w:rsidRDefault="002A10A9" w:rsidP="005A1E8A">
      <w:pPr>
        <w:spacing w:after="120"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47922920" w14:textId="630444AD" w:rsidR="005C7A44" w:rsidRPr="003D38BC" w:rsidRDefault="00A712CE" w:rsidP="003D38BC">
      <w:pPr>
        <w:spacing w:after="120"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5133BB">
        <w:rPr>
          <w:rFonts w:ascii="Arial" w:hAnsi="Arial" w:cs="Arial"/>
          <w:b/>
          <w:caps/>
          <w:sz w:val="22"/>
          <w:szCs w:val="22"/>
        </w:rPr>
        <w:t>Opis Przedmiotu Zamówienia</w:t>
      </w:r>
    </w:p>
    <w:p w14:paraId="4437574D" w14:textId="77777777" w:rsidR="00DA3FAB" w:rsidRPr="00DA3FAB" w:rsidRDefault="00DA3FAB" w:rsidP="005A1E8A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2EE774D2" w14:textId="45232CED" w:rsidR="00DA3FAB" w:rsidRPr="00DA3FAB" w:rsidRDefault="004F75A7" w:rsidP="005A1E8A">
      <w:pPr>
        <w:pStyle w:val="Akapitzlist"/>
        <w:numPr>
          <w:ilvl w:val="0"/>
          <w:numId w:val="27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5133BB">
        <w:rPr>
          <w:rFonts w:ascii="Arial" w:hAnsi="Arial" w:cs="Arial"/>
          <w:b/>
          <w:sz w:val="22"/>
          <w:szCs w:val="22"/>
        </w:rPr>
        <w:t>PRZEDMIOT ZAMÓWIENIA</w:t>
      </w:r>
    </w:p>
    <w:p w14:paraId="28DF24B0" w14:textId="3696FB10" w:rsidR="00BD6CEA" w:rsidRDefault="00BD6CEA" w:rsidP="00EE1E08">
      <w:pPr>
        <w:pStyle w:val="Akapitzlist"/>
        <w:numPr>
          <w:ilvl w:val="0"/>
          <w:numId w:val="30"/>
        </w:numPr>
        <w:spacing w:after="120" w:line="276" w:lineRule="auto"/>
        <w:jc w:val="left"/>
        <w:rPr>
          <w:rFonts w:ascii="Arial" w:hAnsi="Arial" w:cs="Arial"/>
          <w:sz w:val="22"/>
          <w:szCs w:val="22"/>
        </w:rPr>
      </w:pPr>
      <w:r w:rsidRPr="00807B6E">
        <w:rPr>
          <w:rFonts w:ascii="Arial" w:hAnsi="Arial" w:cs="Arial"/>
          <w:sz w:val="22"/>
          <w:szCs w:val="22"/>
        </w:rPr>
        <w:t xml:space="preserve">Przedmiotem zamówienia </w:t>
      </w:r>
      <w:bookmarkStart w:id="0" w:name="_Hlk218780739"/>
      <w:r w:rsidRPr="00807B6E">
        <w:rPr>
          <w:rFonts w:ascii="Arial" w:hAnsi="Arial" w:cs="Arial"/>
          <w:sz w:val="22"/>
          <w:szCs w:val="22"/>
        </w:rPr>
        <w:t>jest dostawa</w:t>
      </w:r>
      <w:r w:rsidR="00AB4865" w:rsidRPr="00807B6E">
        <w:rPr>
          <w:rFonts w:ascii="Arial" w:hAnsi="Arial" w:cs="Arial"/>
          <w:sz w:val="22"/>
          <w:szCs w:val="22"/>
        </w:rPr>
        <w:t xml:space="preserve"> </w:t>
      </w:r>
      <w:r w:rsidRPr="00807B6E">
        <w:rPr>
          <w:rFonts w:ascii="Arial" w:hAnsi="Arial" w:cs="Arial"/>
          <w:sz w:val="22"/>
          <w:szCs w:val="22"/>
        </w:rPr>
        <w:t>sprzętu sieciowego</w:t>
      </w:r>
      <w:r w:rsidR="005C7A44" w:rsidRPr="00807B6E">
        <w:rPr>
          <w:rFonts w:ascii="Arial" w:hAnsi="Arial" w:cs="Arial"/>
          <w:sz w:val="22"/>
          <w:szCs w:val="22"/>
        </w:rPr>
        <w:t>,</w:t>
      </w:r>
      <w:r w:rsidR="00145FB5" w:rsidRPr="00807B6E">
        <w:rPr>
          <w:rFonts w:ascii="Arial" w:hAnsi="Arial" w:cs="Arial"/>
          <w:sz w:val="22"/>
          <w:szCs w:val="22"/>
        </w:rPr>
        <w:t xml:space="preserve"> </w:t>
      </w:r>
      <w:r w:rsidRPr="00807B6E">
        <w:rPr>
          <w:rFonts w:ascii="Arial" w:hAnsi="Arial" w:cs="Arial"/>
          <w:sz w:val="22"/>
          <w:szCs w:val="22"/>
        </w:rPr>
        <w:t xml:space="preserve">a także udzielenie gwarancji jakości </w:t>
      </w:r>
      <w:r w:rsidR="00683DC9">
        <w:rPr>
          <w:rFonts w:ascii="Arial" w:hAnsi="Arial" w:cs="Arial"/>
          <w:sz w:val="22"/>
          <w:szCs w:val="22"/>
        </w:rPr>
        <w:t>na oferowane rozwiązanie</w:t>
      </w:r>
      <w:r w:rsidR="00C76660" w:rsidRPr="00807B6E">
        <w:rPr>
          <w:rFonts w:ascii="Arial" w:hAnsi="Arial" w:cs="Arial"/>
          <w:sz w:val="22"/>
          <w:szCs w:val="22"/>
        </w:rPr>
        <w:t>.</w:t>
      </w:r>
      <w:bookmarkEnd w:id="0"/>
    </w:p>
    <w:p w14:paraId="56AD7EC7" w14:textId="1BB62E23" w:rsidR="00807B6E" w:rsidRDefault="00E90901" w:rsidP="00EE1E08">
      <w:pPr>
        <w:pStyle w:val="Akapitzlist"/>
        <w:numPr>
          <w:ilvl w:val="0"/>
          <w:numId w:val="30"/>
        </w:numPr>
        <w:spacing w:after="12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Nabyt</w:t>
      </w:r>
      <w:r w:rsidR="00655B22">
        <w:rPr>
          <w:rFonts w:ascii="Arial" w:hAnsi="Arial" w:cs="Arial"/>
          <w:sz w:val="22"/>
          <w:szCs w:val="22"/>
          <w:lang w:val="pl-PL"/>
        </w:rPr>
        <w:t>e</w:t>
      </w:r>
      <w:r>
        <w:rPr>
          <w:rFonts w:ascii="Arial" w:hAnsi="Arial" w:cs="Arial"/>
          <w:sz w:val="22"/>
          <w:szCs w:val="22"/>
          <w:lang w:val="pl-PL"/>
        </w:rPr>
        <w:t xml:space="preserve"> w ramach </w:t>
      </w:r>
      <w:r w:rsidR="00821589">
        <w:rPr>
          <w:rFonts w:ascii="Arial" w:hAnsi="Arial" w:cs="Arial"/>
          <w:sz w:val="22"/>
          <w:szCs w:val="22"/>
        </w:rPr>
        <w:t xml:space="preserve">niniejszego zamówienia </w:t>
      </w:r>
      <w:r w:rsidR="00DC18A7">
        <w:rPr>
          <w:rFonts w:ascii="Arial" w:hAnsi="Arial" w:cs="Arial"/>
          <w:sz w:val="22"/>
          <w:szCs w:val="22"/>
          <w:lang w:val="pl-PL"/>
        </w:rPr>
        <w:t>urządzenia sieciowe wraz z licencjami na oprogramowanie</w:t>
      </w:r>
      <w:r w:rsidR="00821589">
        <w:rPr>
          <w:rFonts w:ascii="Arial" w:hAnsi="Arial" w:cs="Arial"/>
          <w:sz w:val="22"/>
          <w:szCs w:val="22"/>
          <w:lang w:val="pl-PL"/>
        </w:rPr>
        <w:t xml:space="preserve"> zostan</w:t>
      </w:r>
      <w:r w:rsidR="00655B22">
        <w:rPr>
          <w:rFonts w:ascii="Arial" w:hAnsi="Arial" w:cs="Arial"/>
          <w:sz w:val="22"/>
          <w:szCs w:val="22"/>
          <w:lang w:val="pl-PL"/>
        </w:rPr>
        <w:t>ą</w:t>
      </w:r>
      <w:r w:rsidR="00821589">
        <w:rPr>
          <w:rFonts w:ascii="Arial" w:hAnsi="Arial" w:cs="Arial"/>
          <w:sz w:val="22"/>
          <w:szCs w:val="22"/>
          <w:lang w:val="pl-PL"/>
        </w:rPr>
        <w:t xml:space="preserve"> nieodpłatnie udostępnion</w:t>
      </w:r>
      <w:r w:rsidR="00655B22">
        <w:rPr>
          <w:rFonts w:ascii="Arial" w:hAnsi="Arial" w:cs="Arial"/>
          <w:sz w:val="22"/>
          <w:szCs w:val="22"/>
          <w:lang w:val="pl-PL"/>
        </w:rPr>
        <w:t>e</w:t>
      </w:r>
      <w:r w:rsidR="00821589">
        <w:rPr>
          <w:rFonts w:ascii="Arial" w:hAnsi="Arial" w:cs="Arial"/>
          <w:sz w:val="22"/>
          <w:szCs w:val="22"/>
          <w:lang w:val="pl-PL"/>
        </w:rPr>
        <w:t xml:space="preserve"> przez </w:t>
      </w:r>
      <w:r w:rsidR="00821589" w:rsidRPr="00E95C75">
        <w:rPr>
          <w:rFonts w:ascii="Arial" w:hAnsi="Arial" w:cs="Arial"/>
          <w:sz w:val="22"/>
          <w:szCs w:val="22"/>
        </w:rPr>
        <w:t xml:space="preserve">Ministerstwo Infrastruktury </w:t>
      </w:r>
      <w:r w:rsidR="002A10A9">
        <w:rPr>
          <w:rFonts w:ascii="Arial" w:hAnsi="Arial" w:cs="Arial"/>
          <w:sz w:val="22"/>
          <w:szCs w:val="22"/>
        </w:rPr>
        <w:br/>
      </w:r>
      <w:r w:rsidR="00821589" w:rsidRPr="00E95C75">
        <w:rPr>
          <w:rFonts w:ascii="Arial" w:hAnsi="Arial" w:cs="Arial"/>
          <w:sz w:val="22"/>
          <w:szCs w:val="22"/>
        </w:rPr>
        <w:t xml:space="preserve">z siedzibą przy ul. Chałubińskiego 4/6, 00-928 Warszawa, </w:t>
      </w:r>
      <w:r w:rsidR="00821589">
        <w:rPr>
          <w:rFonts w:ascii="Arial" w:hAnsi="Arial" w:cs="Arial"/>
          <w:sz w:val="22"/>
          <w:szCs w:val="22"/>
        </w:rPr>
        <w:t xml:space="preserve">zwane dalej </w:t>
      </w:r>
      <w:r w:rsidR="00EE1E08">
        <w:rPr>
          <w:rFonts w:ascii="Arial" w:hAnsi="Arial" w:cs="Arial"/>
          <w:sz w:val="22"/>
          <w:szCs w:val="22"/>
        </w:rPr>
        <w:t>“</w:t>
      </w:r>
      <w:r w:rsidR="00821589" w:rsidRPr="00E95C75">
        <w:rPr>
          <w:rFonts w:ascii="Arial" w:hAnsi="Arial" w:cs="Arial"/>
          <w:sz w:val="22"/>
          <w:szCs w:val="22"/>
        </w:rPr>
        <w:t>Zamawiający</w:t>
      </w:r>
      <w:r w:rsidR="00821589">
        <w:rPr>
          <w:rFonts w:ascii="Arial" w:hAnsi="Arial" w:cs="Arial"/>
          <w:sz w:val="22"/>
          <w:szCs w:val="22"/>
        </w:rPr>
        <w:t>m</w:t>
      </w:r>
      <w:r w:rsidR="00EE1E08">
        <w:rPr>
          <w:rFonts w:ascii="Arial" w:hAnsi="Arial" w:cs="Arial"/>
          <w:sz w:val="22"/>
          <w:szCs w:val="22"/>
        </w:rPr>
        <w:t>”</w:t>
      </w:r>
      <w:r w:rsidR="00821589" w:rsidRPr="00E95C75">
        <w:rPr>
          <w:rFonts w:ascii="Arial" w:hAnsi="Arial" w:cs="Arial"/>
          <w:sz w:val="22"/>
          <w:szCs w:val="22"/>
        </w:rPr>
        <w:t xml:space="preserve"> do Urzędu </w:t>
      </w:r>
      <w:r w:rsidR="00821589">
        <w:rPr>
          <w:rFonts w:ascii="Arial" w:hAnsi="Arial" w:cs="Arial"/>
          <w:sz w:val="22"/>
          <w:szCs w:val="22"/>
        </w:rPr>
        <w:t>Morskiego</w:t>
      </w:r>
      <w:r w:rsidR="00821589" w:rsidRPr="00E95C75">
        <w:rPr>
          <w:rFonts w:ascii="Arial" w:hAnsi="Arial" w:cs="Arial"/>
          <w:sz w:val="22"/>
          <w:szCs w:val="22"/>
        </w:rPr>
        <w:t xml:space="preserve"> z siedzibą przy pl. Stefana Batorego 4, 70-207 Szczecin</w:t>
      </w:r>
      <w:r w:rsidR="00806B46">
        <w:rPr>
          <w:rFonts w:ascii="Arial" w:hAnsi="Arial" w:cs="Arial"/>
          <w:sz w:val="22"/>
          <w:szCs w:val="22"/>
        </w:rPr>
        <w:t>, zwanego</w:t>
      </w:r>
      <w:r w:rsidR="00821589" w:rsidRPr="00E95C75">
        <w:rPr>
          <w:rFonts w:ascii="Arial" w:hAnsi="Arial" w:cs="Arial"/>
          <w:sz w:val="22"/>
          <w:szCs w:val="22"/>
        </w:rPr>
        <w:t xml:space="preserve"> dalej</w:t>
      </w:r>
      <w:r w:rsidR="00821589">
        <w:rPr>
          <w:rFonts w:ascii="Arial" w:hAnsi="Arial" w:cs="Arial"/>
          <w:sz w:val="22"/>
          <w:szCs w:val="22"/>
        </w:rPr>
        <w:t>:</w:t>
      </w:r>
      <w:r w:rsidR="00821589" w:rsidRPr="00E95C75">
        <w:rPr>
          <w:rFonts w:ascii="Arial" w:hAnsi="Arial" w:cs="Arial"/>
          <w:sz w:val="22"/>
          <w:szCs w:val="22"/>
        </w:rPr>
        <w:t xml:space="preserve"> </w:t>
      </w:r>
      <w:r w:rsidR="00EE1E08">
        <w:rPr>
          <w:rFonts w:ascii="Arial" w:hAnsi="Arial" w:cs="Arial"/>
          <w:sz w:val="22"/>
          <w:szCs w:val="22"/>
        </w:rPr>
        <w:t>“</w:t>
      </w:r>
      <w:r w:rsidR="00821589" w:rsidRPr="00E95C75">
        <w:rPr>
          <w:rFonts w:ascii="Arial" w:hAnsi="Arial" w:cs="Arial"/>
          <w:sz w:val="22"/>
          <w:szCs w:val="22"/>
        </w:rPr>
        <w:t>U</w:t>
      </w:r>
      <w:r w:rsidR="00821589">
        <w:rPr>
          <w:rFonts w:ascii="Arial" w:hAnsi="Arial" w:cs="Arial"/>
          <w:sz w:val="22"/>
          <w:szCs w:val="22"/>
        </w:rPr>
        <w:t>rz</w:t>
      </w:r>
      <w:r w:rsidR="00806B46">
        <w:rPr>
          <w:rFonts w:ascii="Arial" w:hAnsi="Arial" w:cs="Arial"/>
          <w:sz w:val="22"/>
          <w:szCs w:val="22"/>
        </w:rPr>
        <w:t>ę</w:t>
      </w:r>
      <w:r w:rsidR="00821589">
        <w:rPr>
          <w:rFonts w:ascii="Arial" w:hAnsi="Arial" w:cs="Arial"/>
          <w:sz w:val="22"/>
          <w:szCs w:val="22"/>
        </w:rPr>
        <w:t>d</w:t>
      </w:r>
      <w:r w:rsidR="00806B46">
        <w:rPr>
          <w:rFonts w:ascii="Arial" w:hAnsi="Arial" w:cs="Arial"/>
          <w:sz w:val="22"/>
          <w:szCs w:val="22"/>
        </w:rPr>
        <w:t>em</w:t>
      </w:r>
      <w:r w:rsidR="00EE1E08">
        <w:rPr>
          <w:rFonts w:ascii="Arial" w:hAnsi="Arial" w:cs="Arial"/>
          <w:sz w:val="22"/>
          <w:szCs w:val="22"/>
        </w:rPr>
        <w:t>”</w:t>
      </w:r>
      <w:r w:rsidR="00807B6E" w:rsidRPr="00E95C75">
        <w:rPr>
          <w:rFonts w:ascii="Arial" w:hAnsi="Arial" w:cs="Arial"/>
          <w:sz w:val="22"/>
          <w:szCs w:val="22"/>
        </w:rPr>
        <w:t xml:space="preserve"> </w:t>
      </w:r>
      <w:r w:rsidR="00821589">
        <w:rPr>
          <w:rFonts w:ascii="Arial" w:hAnsi="Arial" w:cs="Arial"/>
          <w:sz w:val="22"/>
          <w:szCs w:val="22"/>
          <w:lang w:val="pl-PL"/>
        </w:rPr>
        <w:t>i będ</w:t>
      </w:r>
      <w:r w:rsidR="00655B22">
        <w:rPr>
          <w:rFonts w:ascii="Arial" w:hAnsi="Arial" w:cs="Arial"/>
          <w:sz w:val="22"/>
          <w:szCs w:val="22"/>
          <w:lang w:val="pl-PL"/>
        </w:rPr>
        <w:t>ą</w:t>
      </w:r>
      <w:r w:rsidR="00806B46">
        <w:rPr>
          <w:rFonts w:ascii="Arial" w:hAnsi="Arial" w:cs="Arial"/>
          <w:sz w:val="22"/>
          <w:szCs w:val="22"/>
          <w:lang w:val="pl-PL"/>
        </w:rPr>
        <w:t xml:space="preserve"> </w:t>
      </w:r>
      <w:r w:rsidR="00821589" w:rsidRPr="00E95C75">
        <w:rPr>
          <w:rFonts w:ascii="Arial" w:hAnsi="Arial" w:cs="Arial"/>
          <w:sz w:val="22"/>
          <w:szCs w:val="22"/>
        </w:rPr>
        <w:t>wykorzyst</w:t>
      </w:r>
      <w:r w:rsidR="00655B22">
        <w:rPr>
          <w:rFonts w:ascii="Arial" w:hAnsi="Arial" w:cs="Arial"/>
          <w:sz w:val="22"/>
          <w:szCs w:val="22"/>
        </w:rPr>
        <w:t>yw</w:t>
      </w:r>
      <w:r w:rsidR="00821589" w:rsidRPr="00E95C75">
        <w:rPr>
          <w:rFonts w:ascii="Arial" w:hAnsi="Arial" w:cs="Arial"/>
          <w:sz w:val="22"/>
          <w:szCs w:val="22"/>
        </w:rPr>
        <w:t>an</w:t>
      </w:r>
      <w:r w:rsidR="00655B22">
        <w:rPr>
          <w:rFonts w:ascii="Arial" w:hAnsi="Arial" w:cs="Arial"/>
          <w:sz w:val="22"/>
          <w:szCs w:val="22"/>
          <w:lang w:val="pl-PL"/>
        </w:rPr>
        <w:t>e</w:t>
      </w:r>
      <w:r w:rsidR="00821589" w:rsidRPr="00E95C75">
        <w:rPr>
          <w:rFonts w:ascii="Arial" w:hAnsi="Arial" w:cs="Arial"/>
          <w:sz w:val="22"/>
          <w:szCs w:val="22"/>
        </w:rPr>
        <w:t xml:space="preserve"> </w:t>
      </w:r>
      <w:r w:rsidR="00807B6E" w:rsidRPr="00E95C75">
        <w:rPr>
          <w:rFonts w:ascii="Arial" w:hAnsi="Arial" w:cs="Arial"/>
          <w:sz w:val="22"/>
          <w:szCs w:val="22"/>
        </w:rPr>
        <w:t xml:space="preserve">w infrastrukturze teleinformatycznej pozostającej </w:t>
      </w:r>
      <w:r w:rsidR="002A10A9">
        <w:rPr>
          <w:rFonts w:ascii="Arial" w:hAnsi="Arial" w:cs="Arial"/>
          <w:sz w:val="22"/>
          <w:szCs w:val="22"/>
        </w:rPr>
        <w:br/>
      </w:r>
      <w:r w:rsidR="00807B6E" w:rsidRPr="00E95C75">
        <w:rPr>
          <w:rFonts w:ascii="Arial" w:hAnsi="Arial" w:cs="Arial"/>
          <w:sz w:val="22"/>
          <w:szCs w:val="22"/>
        </w:rPr>
        <w:t>w dyspozycji U</w:t>
      </w:r>
      <w:r w:rsidR="00807B6E">
        <w:rPr>
          <w:rFonts w:ascii="Arial" w:hAnsi="Arial" w:cs="Arial"/>
          <w:sz w:val="22"/>
          <w:szCs w:val="22"/>
        </w:rPr>
        <w:t>rzędu.</w:t>
      </w:r>
    </w:p>
    <w:p w14:paraId="39D3556D" w14:textId="796282AA" w:rsidR="00807B6E" w:rsidRDefault="00663939" w:rsidP="00EE1E08">
      <w:pPr>
        <w:pStyle w:val="Akapitzlist"/>
        <w:numPr>
          <w:ilvl w:val="0"/>
          <w:numId w:val="30"/>
        </w:numPr>
        <w:spacing w:after="120" w:line="276" w:lineRule="auto"/>
        <w:jc w:val="left"/>
        <w:rPr>
          <w:rFonts w:ascii="Arial" w:hAnsi="Arial" w:cs="Arial"/>
          <w:sz w:val="22"/>
          <w:szCs w:val="22"/>
        </w:rPr>
      </w:pPr>
      <w:r w:rsidRPr="00807B6E">
        <w:rPr>
          <w:rFonts w:ascii="Arial" w:hAnsi="Arial" w:cs="Arial"/>
          <w:sz w:val="22"/>
          <w:szCs w:val="22"/>
        </w:rPr>
        <w:t>Celem zamówienia jest modernizacja kluczowych węzłów sieciowych</w:t>
      </w:r>
      <w:r w:rsidR="00807B6E">
        <w:rPr>
          <w:rFonts w:ascii="Arial" w:hAnsi="Arial" w:cs="Arial"/>
          <w:sz w:val="22"/>
          <w:szCs w:val="22"/>
        </w:rPr>
        <w:t xml:space="preserve"> Urzędu</w:t>
      </w:r>
      <w:r w:rsidRPr="00807B6E">
        <w:rPr>
          <w:rFonts w:ascii="Arial" w:hAnsi="Arial" w:cs="Arial"/>
          <w:sz w:val="22"/>
          <w:szCs w:val="22"/>
        </w:rPr>
        <w:t>. Dostarczony sprzęt zastąpi istniejące urządzenia (Alcatel-Lucent 7750 SR, 7210 SAS, OS6400) i musi zapewnić zwiększenie wydajności, przepustowości oraz wprowadzenie nowoczesnych usług sieciowych.</w:t>
      </w:r>
    </w:p>
    <w:p w14:paraId="6719D5AD" w14:textId="65C061F7" w:rsidR="00663939" w:rsidRDefault="00663939" w:rsidP="00215DD4">
      <w:pPr>
        <w:pStyle w:val="Akapitzlist"/>
        <w:numPr>
          <w:ilvl w:val="0"/>
          <w:numId w:val="30"/>
        </w:numPr>
        <w:spacing w:before="0" w:after="120" w:line="276" w:lineRule="auto"/>
        <w:jc w:val="left"/>
        <w:rPr>
          <w:rFonts w:ascii="Arial" w:hAnsi="Arial" w:cs="Arial"/>
          <w:sz w:val="22"/>
          <w:szCs w:val="22"/>
        </w:rPr>
      </w:pPr>
      <w:r w:rsidRPr="00807B6E">
        <w:rPr>
          <w:rFonts w:ascii="Arial" w:hAnsi="Arial" w:cs="Arial"/>
          <w:sz w:val="22"/>
          <w:szCs w:val="22"/>
        </w:rPr>
        <w:t xml:space="preserve">Ze względu na krytyczny charakter modernizacji oraz potrzebę zapewnienia spójności operacyjnej, Zamawiający wymaga, aby wszystkie oferowane urządzenia (routery </w:t>
      </w:r>
      <w:r w:rsidR="00EE1E08" w:rsidRPr="00807B6E">
        <w:rPr>
          <w:rFonts w:ascii="Arial" w:hAnsi="Arial" w:cs="Arial"/>
          <w:sz w:val="22"/>
          <w:szCs w:val="22"/>
        </w:rPr>
        <w:t>i</w:t>
      </w:r>
      <w:r w:rsidR="00EE1E08">
        <w:rPr>
          <w:rFonts w:ascii="Arial" w:hAnsi="Arial" w:cs="Arial"/>
          <w:sz w:val="22"/>
          <w:szCs w:val="22"/>
        </w:rPr>
        <w:t> </w:t>
      </w:r>
      <w:r w:rsidRPr="00807B6E">
        <w:rPr>
          <w:rFonts w:ascii="Arial" w:hAnsi="Arial" w:cs="Arial"/>
          <w:sz w:val="22"/>
          <w:szCs w:val="22"/>
        </w:rPr>
        <w:t xml:space="preserve">przełączniki) pracowały pod kontrolą jednego, spójnego systemu operacyjnego. System ten musi umożliwiać sprawną migrację istniejących konfiguracji i usług, minimalizując </w:t>
      </w:r>
      <w:r w:rsidRPr="00215DD4">
        <w:rPr>
          <w:rFonts w:ascii="Arial" w:hAnsi="Arial" w:cs="Arial"/>
          <w:sz w:val="22"/>
          <w:szCs w:val="22"/>
        </w:rPr>
        <w:t xml:space="preserve">ryzyko </w:t>
      </w:r>
      <w:r w:rsidR="00EE1E08" w:rsidRPr="00215DD4">
        <w:rPr>
          <w:rFonts w:ascii="Arial" w:hAnsi="Arial" w:cs="Arial"/>
          <w:sz w:val="22"/>
          <w:szCs w:val="22"/>
        </w:rPr>
        <w:t>i </w:t>
      </w:r>
      <w:r w:rsidRPr="00215DD4">
        <w:rPr>
          <w:rFonts w:ascii="Arial" w:hAnsi="Arial" w:cs="Arial"/>
          <w:sz w:val="22"/>
          <w:szCs w:val="22"/>
        </w:rPr>
        <w:t>czas trwania prac wdrożeniowych.</w:t>
      </w:r>
    </w:p>
    <w:p w14:paraId="278C9195" w14:textId="04022F6F" w:rsidR="00C73BB6" w:rsidRPr="00464C81" w:rsidRDefault="005943A4" w:rsidP="00215DD4">
      <w:pPr>
        <w:pStyle w:val="Akapitzlist"/>
        <w:numPr>
          <w:ilvl w:val="0"/>
          <w:numId w:val="30"/>
        </w:numPr>
        <w:spacing w:before="0" w:after="12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Wykonawca udzieli Zamawiającemu </w:t>
      </w:r>
      <w:r w:rsidR="00D8517B">
        <w:rPr>
          <w:rFonts w:ascii="Arial" w:hAnsi="Arial" w:cs="Arial"/>
          <w:iCs/>
          <w:color w:val="000000"/>
          <w:sz w:val="22"/>
          <w:szCs w:val="22"/>
        </w:rPr>
        <w:t>24</w:t>
      </w:r>
      <w:r w:rsidR="00C73BB6" w:rsidRPr="004161FF">
        <w:rPr>
          <w:rFonts w:ascii="Arial" w:hAnsi="Arial" w:cs="Arial"/>
          <w:iCs/>
          <w:color w:val="000000"/>
          <w:sz w:val="22"/>
          <w:szCs w:val="22"/>
        </w:rPr>
        <w:t xml:space="preserve"> miesięcy</w:t>
      </w:r>
      <w:r w:rsidR="002A10A9">
        <w:rPr>
          <w:rFonts w:ascii="Arial" w:hAnsi="Arial" w:cs="Arial"/>
          <w:iCs/>
          <w:color w:val="000000"/>
          <w:sz w:val="22"/>
          <w:szCs w:val="22"/>
        </w:rPr>
        <w:t xml:space="preserve"> gwarancji jakości</w:t>
      </w:r>
      <w:r w:rsidR="00D26914">
        <w:rPr>
          <w:rFonts w:ascii="Arial" w:hAnsi="Arial" w:cs="Arial"/>
          <w:iCs/>
          <w:color w:val="000000"/>
          <w:sz w:val="22"/>
          <w:szCs w:val="22"/>
        </w:rPr>
        <w:t xml:space="preserve"> na cały przedmiot zamówienia</w:t>
      </w:r>
      <w:r w:rsidR="00D64331">
        <w:rPr>
          <w:rFonts w:ascii="Arial" w:hAnsi="Arial" w:cs="Arial"/>
          <w:iCs/>
          <w:color w:val="000000"/>
          <w:sz w:val="22"/>
          <w:szCs w:val="22"/>
          <w:lang w:val="pl-PL"/>
        </w:rPr>
        <w:t>, wraz ze wsparciem technicznym producenta na okres min. 24 miesiące lub większym</w:t>
      </w:r>
      <w:r w:rsidR="00D26914">
        <w:rPr>
          <w:rFonts w:ascii="Arial" w:hAnsi="Arial" w:cs="Arial"/>
          <w:iCs/>
          <w:color w:val="000000"/>
          <w:sz w:val="22"/>
          <w:szCs w:val="22"/>
        </w:rPr>
        <w:t>.</w:t>
      </w:r>
      <w:r w:rsidR="002A10A9">
        <w:rPr>
          <w:rFonts w:ascii="Arial" w:hAnsi="Arial" w:cs="Arial"/>
          <w:iCs/>
          <w:color w:val="000000"/>
          <w:sz w:val="22"/>
          <w:szCs w:val="22"/>
        </w:rPr>
        <w:t xml:space="preserve"> Okres gwarancji </w:t>
      </w:r>
      <w:r w:rsidR="00C73BB6" w:rsidRPr="00D12414">
        <w:rPr>
          <w:rFonts w:ascii="Arial" w:hAnsi="Arial" w:cs="Arial"/>
          <w:iCs/>
          <w:color w:val="000000"/>
          <w:sz w:val="22"/>
          <w:szCs w:val="22"/>
        </w:rPr>
        <w:t>liczony od dnia podpisania protokołu odbioru bez zastrzeżeń.</w:t>
      </w:r>
      <w:r w:rsidR="002A10A9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2A10A9" w:rsidRPr="002A10A9">
        <w:rPr>
          <w:rFonts w:ascii="Arial" w:hAnsi="Arial" w:cs="Arial"/>
          <w:iCs/>
          <w:color w:val="000000"/>
          <w:sz w:val="22"/>
          <w:szCs w:val="22"/>
        </w:rPr>
        <w:t>Okres rękojmi jest równy okresowi gwarancji.</w:t>
      </w:r>
    </w:p>
    <w:p w14:paraId="76AC9875" w14:textId="7302E1AD" w:rsidR="00D64331" w:rsidRPr="00464C81" w:rsidRDefault="00D64331" w:rsidP="00215DD4">
      <w:pPr>
        <w:pStyle w:val="Akapitzlist"/>
        <w:numPr>
          <w:ilvl w:val="0"/>
          <w:numId w:val="30"/>
        </w:numPr>
        <w:spacing w:before="0" w:after="120" w:line="276" w:lineRule="auto"/>
        <w:jc w:val="left"/>
        <w:rPr>
          <w:rFonts w:ascii="Arial" w:hAnsi="Arial" w:cs="Arial"/>
          <w:sz w:val="22"/>
          <w:szCs w:val="22"/>
        </w:rPr>
      </w:pPr>
      <w:r w:rsidRPr="00D64331">
        <w:rPr>
          <w:rFonts w:ascii="Arial" w:hAnsi="Arial" w:cs="Arial"/>
          <w:sz w:val="22"/>
          <w:szCs w:val="22"/>
          <w:lang w:val="pl-PL"/>
        </w:rPr>
        <w:t>Gwarancja Wykonawcy obejmuje prawidłowe działanie dostarczonego Sprzętu zgodnie z właściwościami wskazanymi w OPZ. W szczególności za wady objęte gwarancją uważa się wszelkie wady fizyczne (materiałowe, konstrukcyjne, wykonawcze), wady oprogramowania systemowego oraz wszelkie inne uszkodzenia lub zaburzenia prawidłowego funkcjonowania Sprzętu powstałe w toku jego normalnej eksploatacji, a wynikające z przyczyn tkwiących w dostarczonej rzeczy</w:t>
      </w:r>
    </w:p>
    <w:p w14:paraId="509898AA" w14:textId="04D5BE4F" w:rsidR="00D64331" w:rsidRPr="00464C81" w:rsidRDefault="00D64331" w:rsidP="00215DD4">
      <w:pPr>
        <w:pStyle w:val="Akapitzlist"/>
        <w:numPr>
          <w:ilvl w:val="0"/>
          <w:numId w:val="30"/>
        </w:numPr>
        <w:spacing w:before="0" w:after="120" w:line="276" w:lineRule="auto"/>
        <w:jc w:val="left"/>
        <w:rPr>
          <w:rFonts w:ascii="Arial" w:hAnsi="Arial" w:cs="Arial"/>
          <w:sz w:val="22"/>
          <w:szCs w:val="22"/>
        </w:rPr>
      </w:pPr>
      <w:r w:rsidRPr="00D64331">
        <w:rPr>
          <w:rFonts w:ascii="Arial" w:hAnsi="Arial" w:cs="Arial"/>
          <w:sz w:val="22"/>
          <w:szCs w:val="22"/>
          <w:lang w:val="pl-PL"/>
        </w:rPr>
        <w:t>Wykonawca zobowiązuje się do przyjmowania zgłoszeń gwarancyjnych w dni robocze w godzinach od 9:00 do 17:00 drogą elektroniczną (e-mail) lub przez dedykowany portal zgłoszeniowy, jeśli zostanie udostępniony.</w:t>
      </w:r>
    </w:p>
    <w:p w14:paraId="16F27DE5" w14:textId="277AC066" w:rsidR="00D64331" w:rsidRPr="00464C81" w:rsidRDefault="00D64331" w:rsidP="00215DD4">
      <w:pPr>
        <w:pStyle w:val="Akapitzlist"/>
        <w:numPr>
          <w:ilvl w:val="0"/>
          <w:numId w:val="30"/>
        </w:numPr>
        <w:spacing w:before="0" w:after="120" w:line="276" w:lineRule="auto"/>
        <w:jc w:val="left"/>
        <w:rPr>
          <w:rFonts w:ascii="Arial" w:hAnsi="Arial" w:cs="Arial"/>
          <w:sz w:val="22"/>
          <w:szCs w:val="22"/>
        </w:rPr>
      </w:pPr>
      <w:r w:rsidRPr="00D64331">
        <w:rPr>
          <w:rFonts w:ascii="Arial" w:hAnsi="Arial" w:cs="Arial"/>
          <w:sz w:val="22"/>
          <w:szCs w:val="22"/>
          <w:lang w:val="pl-PL"/>
        </w:rPr>
        <w:t>Wykonawca zobowiązuje się do podjęcia działań (rozpoczęcia diagnostyki) w czasie nie dłuższym niż 8 godzin roboczych od momentu otrzymania zgłoszenia. Przez godziny robocze rozumie się godziny od 9:00 do 17:00 w dni robocze.</w:t>
      </w:r>
    </w:p>
    <w:p w14:paraId="2B33D87B" w14:textId="11058701" w:rsidR="00D64331" w:rsidRPr="00464C81" w:rsidRDefault="00D64331" w:rsidP="00215DD4">
      <w:pPr>
        <w:pStyle w:val="Akapitzlist"/>
        <w:numPr>
          <w:ilvl w:val="0"/>
          <w:numId w:val="30"/>
        </w:numPr>
        <w:spacing w:before="0" w:after="120" w:line="276" w:lineRule="auto"/>
        <w:jc w:val="left"/>
        <w:rPr>
          <w:rFonts w:ascii="Arial" w:hAnsi="Arial" w:cs="Arial"/>
          <w:sz w:val="22"/>
          <w:szCs w:val="22"/>
        </w:rPr>
      </w:pPr>
      <w:r w:rsidRPr="00D64331">
        <w:rPr>
          <w:rFonts w:ascii="Arial" w:hAnsi="Arial" w:cs="Arial"/>
          <w:sz w:val="22"/>
          <w:szCs w:val="22"/>
          <w:lang w:val="pl-PL"/>
        </w:rPr>
        <w:t xml:space="preserve">Obsługa zgłoszeń gwarancyjnych będzie się odbywać w języku polskim. Naprawy będą dokonywane w siedzibie Zamawiającego, a jeśli nie będzie to możliwe, Wykonawca na swój koszt i ryzyko zorganizuje transport Sprzętu do swojego centrum serwisowego i z </w:t>
      </w:r>
      <w:r w:rsidRPr="00D64331">
        <w:rPr>
          <w:rFonts w:ascii="Arial" w:hAnsi="Arial" w:cs="Arial"/>
          <w:sz w:val="22"/>
          <w:szCs w:val="22"/>
          <w:lang w:val="pl-PL"/>
        </w:rPr>
        <w:lastRenderedPageBreak/>
        <w:t>powrotem</w:t>
      </w:r>
    </w:p>
    <w:p w14:paraId="1C18FCBE" w14:textId="343E5187" w:rsidR="00D64331" w:rsidRPr="00464C81" w:rsidRDefault="00D64331" w:rsidP="00215DD4">
      <w:pPr>
        <w:pStyle w:val="Akapitzlist"/>
        <w:numPr>
          <w:ilvl w:val="0"/>
          <w:numId w:val="30"/>
        </w:numPr>
        <w:spacing w:before="0" w:after="120" w:line="276" w:lineRule="auto"/>
        <w:jc w:val="left"/>
        <w:rPr>
          <w:rFonts w:ascii="Arial" w:hAnsi="Arial" w:cs="Arial"/>
          <w:sz w:val="22"/>
          <w:szCs w:val="22"/>
        </w:rPr>
      </w:pPr>
      <w:r w:rsidRPr="00D64331">
        <w:rPr>
          <w:rFonts w:ascii="Arial" w:hAnsi="Arial" w:cs="Arial"/>
          <w:sz w:val="22"/>
          <w:szCs w:val="22"/>
          <w:lang w:val="pl-PL"/>
        </w:rPr>
        <w:t>Wykonawca będzie świadczył usługę wsparcia technicznego w ramach niniejszej Umowy przez okres udzielonej gwarancji jakości, o którym mowa w § 8 ust. 1, tj. przez 24 miesiące</w:t>
      </w:r>
    </w:p>
    <w:p w14:paraId="55CA6E40" w14:textId="2C853619" w:rsidR="00D64331" w:rsidRPr="00464C81" w:rsidRDefault="00D64331" w:rsidP="00215DD4">
      <w:pPr>
        <w:pStyle w:val="Akapitzlist"/>
        <w:numPr>
          <w:ilvl w:val="0"/>
          <w:numId w:val="30"/>
        </w:numPr>
        <w:spacing w:before="0" w:after="120" w:line="276" w:lineRule="auto"/>
        <w:jc w:val="left"/>
        <w:rPr>
          <w:rFonts w:ascii="Arial" w:hAnsi="Arial" w:cs="Arial"/>
          <w:sz w:val="22"/>
          <w:szCs w:val="22"/>
        </w:rPr>
      </w:pPr>
      <w:r w:rsidRPr="00D64331">
        <w:rPr>
          <w:rFonts w:ascii="Arial" w:hAnsi="Arial" w:cs="Arial"/>
          <w:sz w:val="22"/>
          <w:szCs w:val="22"/>
          <w:lang w:val="pl-PL"/>
        </w:rPr>
        <w:t>W ramach usługi wsparcia technicznego Wykonawca zobowiązany jest do  zapewnienia Zamawiającemu dostępu do aktualizacji i poprawek oprogramowania systemowego (</w:t>
      </w:r>
      <w:proofErr w:type="spellStart"/>
      <w:r w:rsidRPr="00D64331">
        <w:rPr>
          <w:rFonts w:ascii="Arial" w:hAnsi="Arial" w:cs="Arial"/>
          <w:sz w:val="22"/>
          <w:szCs w:val="22"/>
          <w:lang w:val="pl-PL"/>
        </w:rPr>
        <w:t>firmware</w:t>
      </w:r>
      <w:proofErr w:type="spellEnd"/>
      <w:r w:rsidRPr="00D64331">
        <w:rPr>
          <w:rFonts w:ascii="Arial" w:hAnsi="Arial" w:cs="Arial"/>
          <w:sz w:val="22"/>
          <w:szCs w:val="22"/>
          <w:lang w:val="pl-PL"/>
        </w:rPr>
        <w:t>/OS) dla całego dostarczonego Sprzętu</w:t>
      </w:r>
    </w:p>
    <w:p w14:paraId="0D791641" w14:textId="05080B32" w:rsidR="00D64331" w:rsidRPr="00464C81" w:rsidRDefault="00D64331" w:rsidP="00464C81">
      <w:pPr>
        <w:pStyle w:val="Akapitzlist"/>
        <w:numPr>
          <w:ilvl w:val="0"/>
          <w:numId w:val="30"/>
        </w:numPr>
        <w:jc w:val="left"/>
        <w:rPr>
          <w:rFonts w:ascii="Arial" w:hAnsi="Arial" w:cs="Arial"/>
          <w:sz w:val="22"/>
          <w:szCs w:val="22"/>
          <w:lang w:val="pl-PL"/>
        </w:rPr>
      </w:pPr>
      <w:r w:rsidRPr="00D64331">
        <w:rPr>
          <w:rFonts w:ascii="Arial" w:hAnsi="Arial" w:cs="Arial"/>
          <w:sz w:val="22"/>
          <w:szCs w:val="22"/>
          <w:lang w:val="pl-PL"/>
        </w:rPr>
        <w:t>W ramach usługi wsparcia technicznego Wykonawca zobowiązany jest do  świadczenia usługi konsultacji i pomocy technicznej w zakresie konfiguracji i eksploatacji Sprzętu, dostępnej w trybie 8x5 (w dni robocze w godzinach 9:00-17:00), zdalnie (telefonicznie, e-mail</w:t>
      </w:r>
    </w:p>
    <w:p w14:paraId="2979E741" w14:textId="2969A831" w:rsidR="00215DD4" w:rsidRPr="00215DD4" w:rsidRDefault="00215DD4" w:rsidP="00215DD4">
      <w:pPr>
        <w:pStyle w:val="Akapitzlist"/>
        <w:numPr>
          <w:ilvl w:val="0"/>
          <w:numId w:val="30"/>
        </w:numPr>
        <w:spacing w:before="0" w:after="120" w:line="276" w:lineRule="auto"/>
        <w:jc w:val="left"/>
        <w:rPr>
          <w:rFonts w:ascii="Arial" w:hAnsi="Arial" w:cs="Arial"/>
          <w:sz w:val="22"/>
          <w:szCs w:val="22"/>
        </w:rPr>
      </w:pPr>
      <w:r w:rsidRPr="00215DD4">
        <w:rPr>
          <w:rStyle w:val="cf01"/>
          <w:rFonts w:ascii="Arial" w:hAnsi="Arial" w:cs="Arial"/>
          <w:sz w:val="22"/>
          <w:szCs w:val="22"/>
        </w:rPr>
        <w:t xml:space="preserve">Zamawiający wymaga, aby oferowane wszystkie produkty ICT, usługi ICT oraz procesy ICT wykorzystywane do realizacji zamówienia, zarówno jako elementy główne, jak </w:t>
      </w:r>
      <w:r>
        <w:rPr>
          <w:rStyle w:val="cf01"/>
          <w:rFonts w:ascii="Arial" w:hAnsi="Arial" w:cs="Arial"/>
          <w:sz w:val="22"/>
          <w:szCs w:val="22"/>
        </w:rPr>
        <w:br/>
      </w:r>
      <w:r w:rsidRPr="00215DD4">
        <w:rPr>
          <w:rStyle w:val="cf01"/>
          <w:rFonts w:ascii="Arial" w:hAnsi="Arial" w:cs="Arial"/>
          <w:sz w:val="22"/>
          <w:szCs w:val="22"/>
        </w:rPr>
        <w:t>i komponenty, elementy środowiska świadczenia usługi lub rozwiązania towarzyszące, nie obejmowało:</w:t>
      </w:r>
    </w:p>
    <w:p w14:paraId="44A96E12" w14:textId="1A51641A" w:rsidR="00215DD4" w:rsidRPr="005943A4" w:rsidRDefault="00215DD4" w:rsidP="005943A4">
      <w:pPr>
        <w:pStyle w:val="Akapitzlist"/>
        <w:numPr>
          <w:ilvl w:val="0"/>
          <w:numId w:val="34"/>
        </w:numPr>
        <w:spacing w:before="0" w:after="120" w:line="276" w:lineRule="auto"/>
        <w:jc w:val="left"/>
        <w:rPr>
          <w:rStyle w:val="cf01"/>
          <w:rFonts w:ascii="Arial" w:hAnsi="Arial" w:cs="Arial"/>
          <w:sz w:val="22"/>
          <w:szCs w:val="22"/>
        </w:rPr>
      </w:pPr>
      <w:r w:rsidRPr="005943A4">
        <w:rPr>
          <w:rStyle w:val="cf01"/>
          <w:rFonts w:ascii="Arial" w:hAnsi="Arial" w:cs="Arial"/>
          <w:sz w:val="22"/>
          <w:szCs w:val="22"/>
        </w:rPr>
        <w:t xml:space="preserve">produktów ICT, usług ICT lub procesów ICT wskazanych w rekomendacji, </w:t>
      </w:r>
      <w:r w:rsidRPr="005943A4">
        <w:rPr>
          <w:rStyle w:val="cf01"/>
          <w:rFonts w:ascii="Arial" w:hAnsi="Arial" w:cs="Arial"/>
          <w:sz w:val="22"/>
          <w:szCs w:val="22"/>
        </w:rPr>
        <w:br/>
        <w:t xml:space="preserve">o której mowa w art. 33 ust. 4 ustawy z dnia 5 lipca 2018 r. o krajowym systemie </w:t>
      </w:r>
      <w:proofErr w:type="spellStart"/>
      <w:r w:rsidRPr="005943A4">
        <w:rPr>
          <w:rStyle w:val="cf01"/>
          <w:rFonts w:ascii="Arial" w:hAnsi="Arial" w:cs="Arial"/>
          <w:sz w:val="22"/>
          <w:szCs w:val="22"/>
        </w:rPr>
        <w:t>cyberbezpieczeństwa</w:t>
      </w:r>
      <w:proofErr w:type="spellEnd"/>
      <w:r w:rsidRPr="005943A4">
        <w:rPr>
          <w:rStyle w:val="cf01"/>
          <w:rFonts w:ascii="Arial" w:hAnsi="Arial" w:cs="Arial"/>
          <w:sz w:val="22"/>
          <w:szCs w:val="22"/>
        </w:rPr>
        <w:t>, stwierdzającej ich negatywny wpływ na podstawowy interes bezpieczeństwa państwa;</w:t>
      </w:r>
    </w:p>
    <w:p w14:paraId="32F090FD" w14:textId="77777777" w:rsidR="00215DD4" w:rsidRPr="005943A4" w:rsidRDefault="00215DD4" w:rsidP="005943A4">
      <w:pPr>
        <w:pStyle w:val="Akapitzlist"/>
        <w:numPr>
          <w:ilvl w:val="0"/>
          <w:numId w:val="34"/>
        </w:numPr>
        <w:spacing w:before="0" w:after="120" w:line="276" w:lineRule="auto"/>
        <w:jc w:val="left"/>
        <w:rPr>
          <w:rStyle w:val="cf01"/>
          <w:rFonts w:ascii="Arial" w:hAnsi="Arial" w:cs="Arial"/>
          <w:sz w:val="22"/>
          <w:szCs w:val="22"/>
        </w:rPr>
      </w:pPr>
      <w:r w:rsidRPr="00C73BB6">
        <w:rPr>
          <w:rStyle w:val="cf01"/>
          <w:rFonts w:ascii="Arial" w:hAnsi="Arial" w:cs="Arial"/>
          <w:sz w:val="22"/>
          <w:szCs w:val="22"/>
        </w:rPr>
        <w:t xml:space="preserve">produktu ICT, którego typ został określony w decyzji w sprawie uznania dostawcy za dostawcę wysokiego ryzyka, o której mowa w art. 67b ust. 15 ustawy z dnia 5lipca 2018 r. o krajowym systemie </w:t>
      </w:r>
      <w:proofErr w:type="spellStart"/>
      <w:r w:rsidRPr="00C73BB6">
        <w:rPr>
          <w:rStyle w:val="cf01"/>
          <w:rFonts w:ascii="Arial" w:hAnsi="Arial" w:cs="Arial"/>
          <w:sz w:val="22"/>
          <w:szCs w:val="22"/>
        </w:rPr>
        <w:t>cyberbezpieczeństwa</w:t>
      </w:r>
      <w:proofErr w:type="spellEnd"/>
      <w:r w:rsidRPr="00C73BB6">
        <w:rPr>
          <w:rStyle w:val="cf01"/>
          <w:rFonts w:ascii="Arial" w:hAnsi="Arial" w:cs="Arial"/>
          <w:sz w:val="22"/>
          <w:szCs w:val="22"/>
        </w:rPr>
        <w:t>, ani usług ICT lub procesów ICT określonych w tej decyzji.</w:t>
      </w:r>
    </w:p>
    <w:p w14:paraId="4E820F39" w14:textId="77777777" w:rsidR="001A035F" w:rsidRPr="005133BB" w:rsidRDefault="001A035F" w:rsidP="001A035F">
      <w:pPr>
        <w:pStyle w:val="Akapitzlist"/>
        <w:spacing w:before="0" w:after="120" w:line="276" w:lineRule="auto"/>
        <w:ind w:left="720"/>
        <w:rPr>
          <w:rFonts w:ascii="Arial" w:hAnsi="Arial" w:cs="Arial"/>
          <w:sz w:val="22"/>
          <w:szCs w:val="22"/>
        </w:rPr>
      </w:pPr>
    </w:p>
    <w:p w14:paraId="39994669" w14:textId="6389E5AD" w:rsidR="00A01167" w:rsidRPr="005133BB" w:rsidRDefault="00622966" w:rsidP="005A1E8A">
      <w:pPr>
        <w:pStyle w:val="Akapitzlist"/>
        <w:numPr>
          <w:ilvl w:val="0"/>
          <w:numId w:val="27"/>
        </w:num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5133BB">
        <w:rPr>
          <w:rFonts w:ascii="Arial" w:hAnsi="Arial" w:cs="Arial"/>
          <w:b/>
          <w:sz w:val="22"/>
          <w:szCs w:val="22"/>
        </w:rPr>
        <w:t>WYMAGANIA</w:t>
      </w:r>
      <w:r w:rsidRPr="005133BB">
        <w:rPr>
          <w:rFonts w:ascii="Arial" w:hAnsi="Arial" w:cs="Arial"/>
          <w:b/>
          <w:bCs/>
          <w:sz w:val="22"/>
          <w:szCs w:val="22"/>
        </w:rPr>
        <w:t xml:space="preserve"> I DANE TECHNICZNE W ZAKRESIE ZAMÓWIENIA</w:t>
      </w:r>
    </w:p>
    <w:p w14:paraId="72F0C79F" w14:textId="24E39ABD" w:rsidR="006A6501" w:rsidRPr="005133BB" w:rsidRDefault="007544B3" w:rsidP="005A1E8A">
      <w:pPr>
        <w:pStyle w:val="Akapitzlist"/>
        <w:numPr>
          <w:ilvl w:val="0"/>
          <w:numId w:val="28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5133BB">
        <w:rPr>
          <w:rFonts w:ascii="Arial" w:hAnsi="Arial" w:cs="Arial"/>
          <w:b/>
          <w:sz w:val="22"/>
          <w:szCs w:val="22"/>
        </w:rPr>
        <w:t xml:space="preserve">Router Agregacyjny Typu A – </w:t>
      </w:r>
      <w:r w:rsidR="008A23DA">
        <w:rPr>
          <w:rFonts w:ascii="Arial" w:hAnsi="Arial" w:cs="Arial"/>
          <w:b/>
          <w:sz w:val="22"/>
          <w:szCs w:val="22"/>
          <w:lang w:val="pl-PL"/>
        </w:rPr>
        <w:t>21</w:t>
      </w:r>
      <w:r w:rsidR="008A23DA" w:rsidRPr="005133BB">
        <w:rPr>
          <w:rFonts w:ascii="Arial" w:hAnsi="Arial" w:cs="Arial"/>
          <w:b/>
          <w:sz w:val="22"/>
          <w:szCs w:val="22"/>
        </w:rPr>
        <w:t xml:space="preserve"> </w:t>
      </w:r>
      <w:r w:rsidRPr="005133BB">
        <w:rPr>
          <w:rFonts w:ascii="Arial" w:hAnsi="Arial" w:cs="Arial"/>
          <w:b/>
          <w:sz w:val="22"/>
          <w:szCs w:val="22"/>
        </w:rPr>
        <w:t>szt.</w:t>
      </w:r>
      <w:r w:rsidR="006A6501" w:rsidRPr="005133BB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109"/>
        <w:gridCol w:w="6928"/>
      </w:tblGrid>
      <w:tr w:rsidR="006A6501" w:rsidRPr="005133BB" w14:paraId="4581587E" w14:textId="77777777" w:rsidTr="00652165">
        <w:trPr>
          <w:trHeight w:val="439"/>
        </w:trPr>
        <w:tc>
          <w:tcPr>
            <w:tcW w:w="597" w:type="dxa"/>
            <w:shd w:val="clear" w:color="auto" w:fill="BFBFBF" w:themeFill="background1" w:themeFillShade="BF"/>
            <w:vAlign w:val="center"/>
          </w:tcPr>
          <w:p w14:paraId="1A27214A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6A34D78A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Element konfiguracji</w:t>
            </w:r>
          </w:p>
        </w:tc>
        <w:tc>
          <w:tcPr>
            <w:tcW w:w="6928" w:type="dxa"/>
            <w:shd w:val="clear" w:color="auto" w:fill="BFBFBF"/>
            <w:vAlign w:val="center"/>
          </w:tcPr>
          <w:p w14:paraId="083DCA2A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Wymagane parametry minimalne</w:t>
            </w:r>
          </w:p>
        </w:tc>
      </w:tr>
      <w:tr w:rsidR="007544B3" w:rsidRPr="005133BB" w14:paraId="3B787CE6" w14:textId="77777777" w:rsidTr="00652165">
        <w:tc>
          <w:tcPr>
            <w:tcW w:w="597" w:type="dxa"/>
            <w:vAlign w:val="center"/>
          </w:tcPr>
          <w:p w14:paraId="0E2CAC33" w14:textId="77777777" w:rsidR="007544B3" w:rsidRPr="005133BB" w:rsidRDefault="007544B3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62D6CC82" w14:textId="6E89C295" w:rsidR="007544B3" w:rsidRPr="005133BB" w:rsidRDefault="007544B3" w:rsidP="005A1E8A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 xml:space="preserve">Architektura </w:t>
            </w:r>
            <w:r w:rsidR="00652165"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br/>
            </w: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i obudowa</w:t>
            </w:r>
          </w:p>
        </w:tc>
        <w:tc>
          <w:tcPr>
            <w:tcW w:w="6928" w:type="dxa"/>
            <w:vAlign w:val="center"/>
          </w:tcPr>
          <w:p w14:paraId="33AAD34A" w14:textId="4BDF62EC" w:rsidR="007544B3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Urządzenie kompaktowe, przeznaczone do montażu w szafie 19”. Wysokość nie większa niż 1RU. </w:t>
            </w:r>
          </w:p>
        </w:tc>
      </w:tr>
      <w:tr w:rsidR="006A6501" w:rsidRPr="005133BB" w14:paraId="46BF1E66" w14:textId="77777777" w:rsidTr="00652165">
        <w:tc>
          <w:tcPr>
            <w:tcW w:w="597" w:type="dxa"/>
            <w:vAlign w:val="center"/>
          </w:tcPr>
          <w:p w14:paraId="185C542E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29162D46" w14:textId="50A18D11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Interfejsy sieciowe</w:t>
            </w:r>
          </w:p>
        </w:tc>
        <w:tc>
          <w:tcPr>
            <w:tcW w:w="6928" w:type="dxa"/>
            <w:vAlign w:val="center"/>
          </w:tcPr>
          <w:p w14:paraId="01B4175E" w14:textId="61414703" w:rsidR="007544B3" w:rsidRPr="005133BB" w:rsidRDefault="007544B3" w:rsidP="005A1E8A">
            <w:pPr>
              <w:spacing w:after="120" w:line="276" w:lineRule="auto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Urządzenie musi być wyposażone w co najmniej</w:t>
            </w:r>
            <w:r w:rsidR="001B4D3C">
              <w:rPr>
                <w:rFonts w:ascii="Arial" w:hAnsi="Arial" w:cs="Arial"/>
                <w:sz w:val="22"/>
                <w:szCs w:val="22"/>
              </w:rPr>
              <w:t>, bez modułów SFP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A21E4FC" w14:textId="49A8A0C5" w:rsidR="007544B3" w:rsidRPr="005133BB" w:rsidRDefault="007544B3" w:rsidP="005A1E8A">
            <w:pPr>
              <w:pStyle w:val="Akapitzlist"/>
              <w:numPr>
                <w:ilvl w:val="0"/>
                <w:numId w:val="8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6 portów 1/10GE SFP+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D7D5A8" w14:textId="652C9402" w:rsidR="007544B3" w:rsidRPr="005133BB" w:rsidRDefault="007544B3" w:rsidP="005A1E8A">
            <w:pPr>
              <w:pStyle w:val="Akapitzlist"/>
              <w:numPr>
                <w:ilvl w:val="0"/>
                <w:numId w:val="8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20 portów 1GE SFP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2A8863" w14:textId="7A3706E3" w:rsidR="006A6501" w:rsidRPr="005133BB" w:rsidRDefault="007544B3" w:rsidP="005A1E8A">
            <w:pPr>
              <w:pStyle w:val="Akapitzlist"/>
              <w:numPr>
                <w:ilvl w:val="0"/>
                <w:numId w:val="8"/>
              </w:numPr>
              <w:spacing w:before="0" w:after="120" w:line="276" w:lineRule="auto"/>
              <w:ind w:left="44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4 porty 10/100/1000Base-T (RJ-45)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6501" w:rsidRPr="005133BB" w14:paraId="48186577" w14:textId="77777777" w:rsidTr="00652165">
        <w:tc>
          <w:tcPr>
            <w:tcW w:w="597" w:type="dxa"/>
            <w:vAlign w:val="center"/>
          </w:tcPr>
          <w:p w14:paraId="2CFE0021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2757B9FF" w14:textId="2A12113F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Interfejsy zarządzające</w:t>
            </w:r>
          </w:p>
        </w:tc>
        <w:tc>
          <w:tcPr>
            <w:tcW w:w="6928" w:type="dxa"/>
            <w:vAlign w:val="center"/>
          </w:tcPr>
          <w:p w14:paraId="4427DB64" w14:textId="5585A24F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Co najmniej 1x port konsolowy (RJ-45 lub micro-USB) oraz </w:t>
            </w:r>
            <w:r w:rsidR="00751FD1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1x port zarządczy Ethernet (RJ-45) "out-of-band".</w:t>
            </w:r>
          </w:p>
        </w:tc>
      </w:tr>
      <w:tr w:rsidR="006A6501" w:rsidRPr="005133BB" w14:paraId="44598733" w14:textId="77777777" w:rsidTr="00652165">
        <w:tc>
          <w:tcPr>
            <w:tcW w:w="597" w:type="dxa"/>
            <w:vAlign w:val="center"/>
          </w:tcPr>
          <w:p w14:paraId="6AF973C6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7EDB6232" w14:textId="2282314B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Wydajność</w:t>
            </w:r>
          </w:p>
        </w:tc>
        <w:tc>
          <w:tcPr>
            <w:tcW w:w="6928" w:type="dxa"/>
            <w:vAlign w:val="center"/>
          </w:tcPr>
          <w:p w14:paraId="74820C3D" w14:textId="4AB40D0A" w:rsidR="00CF7AEE" w:rsidRPr="005133BB" w:rsidRDefault="00CF7AEE" w:rsidP="00CF7AEE">
            <w:pPr>
              <w:pStyle w:val="Akapitzlist"/>
              <w:numPr>
                <w:ilvl w:val="0"/>
                <w:numId w:val="9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Przepustowość przełączania (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switching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capacity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): min. </w:t>
            </w:r>
            <w:r w:rsidR="00A11735">
              <w:rPr>
                <w:rStyle w:val="ng-star-inserted"/>
                <w:rFonts w:ascii="Arial" w:hAnsi="Arial" w:cs="Arial"/>
                <w:sz w:val="22"/>
                <w:szCs w:val="22"/>
                <w:lang w:val="pl-PL"/>
              </w:rPr>
              <w:t>64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Gb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/s</w:t>
            </w:r>
            <w:r w:rsidR="00A11735">
              <w:rPr>
                <w:rStyle w:val="ng-star-inserted"/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proofErr w:type="spellStart"/>
            <w:r w:rsidR="00A11735">
              <w:rPr>
                <w:rStyle w:val="ng-star-inserted"/>
                <w:rFonts w:ascii="Arial" w:hAnsi="Arial" w:cs="Arial"/>
                <w:sz w:val="22"/>
                <w:szCs w:val="22"/>
                <w:lang w:val="pl-PL"/>
              </w:rPr>
              <w:t>full</w:t>
            </w:r>
            <w:proofErr w:type="spellEnd"/>
            <w:r w:rsidR="00A11735">
              <w:rPr>
                <w:rStyle w:val="ng-star-inserted"/>
                <w:rFonts w:ascii="Arial" w:hAnsi="Arial" w:cs="Arial"/>
                <w:sz w:val="22"/>
                <w:szCs w:val="22"/>
                <w:lang w:val="pl-PL"/>
              </w:rPr>
              <w:t>-duplex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2A59713A" w14:textId="1717A627" w:rsidR="006A6501" w:rsidRPr="00464C81" w:rsidRDefault="007544B3" w:rsidP="00464C81">
            <w:pPr>
              <w:pStyle w:val="Akapitzlist"/>
              <w:numPr>
                <w:ilvl w:val="0"/>
                <w:numId w:val="9"/>
              </w:numPr>
              <w:spacing w:before="0" w:after="120" w:line="276" w:lineRule="auto"/>
              <w:ind w:left="442"/>
              <w:rPr>
                <w:rFonts w:ascii="Arial" w:hAnsi="Arial" w:cs="Arial"/>
                <w:sz w:val="22"/>
                <w:szCs w:val="22"/>
              </w:rPr>
            </w:pPr>
            <w:r w:rsidRPr="00CF7AEE">
              <w:rPr>
                <w:rStyle w:val="ng-star-inserted"/>
                <w:rFonts w:ascii="Arial" w:hAnsi="Arial" w:cs="Arial"/>
                <w:sz w:val="22"/>
                <w:szCs w:val="22"/>
              </w:rPr>
              <w:t>Przetwarzanie pakietów w warstwie 2 i 3 z pełną prędkością interfejsów (</w:t>
            </w:r>
            <w:proofErr w:type="spellStart"/>
            <w:r w:rsidRPr="00CF7AEE">
              <w:rPr>
                <w:rStyle w:val="ng-star-inserted"/>
                <w:rFonts w:ascii="Arial" w:hAnsi="Arial" w:cs="Arial"/>
                <w:sz w:val="22"/>
                <w:szCs w:val="22"/>
              </w:rPr>
              <w:t>line-rate</w:t>
            </w:r>
            <w:proofErr w:type="spellEnd"/>
            <w:r w:rsidRPr="00CF7AEE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performance).</w:t>
            </w:r>
          </w:p>
        </w:tc>
      </w:tr>
      <w:tr w:rsidR="006A6501" w:rsidRPr="005133BB" w14:paraId="48D84A82" w14:textId="77777777" w:rsidTr="00652165">
        <w:tc>
          <w:tcPr>
            <w:tcW w:w="597" w:type="dxa"/>
            <w:vAlign w:val="center"/>
          </w:tcPr>
          <w:p w14:paraId="39A49428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79D49A32" w14:textId="48D18BEE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Protokoły i funkcje L2/L3</w:t>
            </w:r>
          </w:p>
        </w:tc>
        <w:tc>
          <w:tcPr>
            <w:tcW w:w="6928" w:type="dxa"/>
            <w:vAlign w:val="center"/>
          </w:tcPr>
          <w:p w14:paraId="44DFCDDC" w14:textId="721AA7DF" w:rsidR="007544B3" w:rsidRPr="005133BB" w:rsidRDefault="007544B3" w:rsidP="005A1E8A">
            <w:pPr>
              <w:pStyle w:val="Default"/>
              <w:numPr>
                <w:ilvl w:val="0"/>
                <w:numId w:val="10"/>
              </w:numPr>
              <w:spacing w:after="120" w:line="276" w:lineRule="auto"/>
              <w:ind w:left="442"/>
              <w:rPr>
                <w:rStyle w:val="ng-star-inserted"/>
                <w:sz w:val="22"/>
                <w:szCs w:val="22"/>
              </w:rPr>
            </w:pPr>
            <w:r w:rsidRPr="005133BB">
              <w:rPr>
                <w:rStyle w:val="ng-star-inserted"/>
                <w:sz w:val="22"/>
                <w:szCs w:val="22"/>
              </w:rPr>
              <w:t xml:space="preserve">Pełne wsparcie dla protokołów routingu: OSPFv2/v3, </w:t>
            </w:r>
            <w:r w:rsidR="00920E34">
              <w:rPr>
                <w:rStyle w:val="ng-star-inserted"/>
                <w:sz w:val="22"/>
                <w:szCs w:val="22"/>
              </w:rPr>
              <w:br/>
            </w:r>
            <w:r w:rsidRPr="005133BB">
              <w:rPr>
                <w:rStyle w:val="ng-star-inserted"/>
                <w:sz w:val="22"/>
                <w:szCs w:val="22"/>
              </w:rPr>
              <w:t>IS-IS, BGP</w:t>
            </w:r>
            <w:r w:rsidR="005C7A44" w:rsidRPr="005133BB">
              <w:rPr>
                <w:rStyle w:val="ng-star-inserted"/>
                <w:sz w:val="22"/>
                <w:szCs w:val="22"/>
              </w:rPr>
              <w:t>;</w:t>
            </w:r>
            <w:r w:rsidRPr="005133BB">
              <w:rPr>
                <w:rStyle w:val="ng-star-inserted"/>
                <w:sz w:val="22"/>
                <w:szCs w:val="22"/>
              </w:rPr>
              <w:t xml:space="preserve"> </w:t>
            </w:r>
          </w:p>
          <w:p w14:paraId="7B9C1C36" w14:textId="730A6D93" w:rsidR="007544B3" w:rsidRPr="005133BB" w:rsidRDefault="007544B3" w:rsidP="005A1E8A">
            <w:pPr>
              <w:pStyle w:val="Default"/>
              <w:numPr>
                <w:ilvl w:val="0"/>
                <w:numId w:val="10"/>
              </w:numPr>
              <w:spacing w:after="120" w:line="276" w:lineRule="auto"/>
              <w:ind w:left="442"/>
              <w:rPr>
                <w:rStyle w:val="ng-star-inserted"/>
                <w:sz w:val="22"/>
                <w:szCs w:val="22"/>
              </w:rPr>
            </w:pPr>
            <w:r w:rsidRPr="005133BB">
              <w:rPr>
                <w:rStyle w:val="ng-star-inserted"/>
                <w:sz w:val="22"/>
                <w:szCs w:val="22"/>
              </w:rPr>
              <w:t xml:space="preserve">Wsparcie dla MPLS, LDP, RSVP-TE, Segment Routing </w:t>
            </w:r>
            <w:r w:rsidR="00920E34">
              <w:rPr>
                <w:rStyle w:val="ng-star-inserted"/>
                <w:sz w:val="22"/>
                <w:szCs w:val="22"/>
              </w:rPr>
              <w:br/>
            </w:r>
            <w:r w:rsidRPr="005133BB">
              <w:rPr>
                <w:rStyle w:val="ng-star-inserted"/>
                <w:sz w:val="22"/>
                <w:szCs w:val="22"/>
              </w:rPr>
              <w:t>(SR-MPLS)</w:t>
            </w:r>
            <w:r w:rsidR="005C7A44" w:rsidRPr="005133BB">
              <w:rPr>
                <w:rStyle w:val="ng-star-inserted"/>
                <w:sz w:val="22"/>
                <w:szCs w:val="22"/>
              </w:rPr>
              <w:t>;</w:t>
            </w:r>
            <w:r w:rsidRPr="005133BB">
              <w:rPr>
                <w:rStyle w:val="ng-star-inserted"/>
                <w:sz w:val="22"/>
                <w:szCs w:val="22"/>
              </w:rPr>
              <w:t xml:space="preserve"> </w:t>
            </w:r>
          </w:p>
          <w:p w14:paraId="4E9613BF" w14:textId="0A156D30" w:rsidR="007544B3" w:rsidRPr="005133BB" w:rsidRDefault="007544B3" w:rsidP="005A1E8A">
            <w:pPr>
              <w:pStyle w:val="Default"/>
              <w:numPr>
                <w:ilvl w:val="0"/>
                <w:numId w:val="10"/>
              </w:numPr>
              <w:spacing w:after="120" w:line="276" w:lineRule="auto"/>
              <w:ind w:left="442"/>
              <w:rPr>
                <w:rStyle w:val="ng-star-inserted"/>
                <w:sz w:val="22"/>
                <w:szCs w:val="22"/>
              </w:rPr>
            </w:pPr>
            <w:r w:rsidRPr="005133BB">
              <w:rPr>
                <w:rStyle w:val="ng-star-inserted"/>
                <w:sz w:val="22"/>
                <w:szCs w:val="22"/>
              </w:rPr>
              <w:t xml:space="preserve">Obsługa usług VPN w warstwie 2 (VPLS, EVPN-VPWS, </w:t>
            </w:r>
            <w:r w:rsidR="00920E34">
              <w:rPr>
                <w:rStyle w:val="ng-star-inserted"/>
                <w:sz w:val="22"/>
                <w:szCs w:val="22"/>
              </w:rPr>
              <w:br/>
            </w:r>
            <w:r w:rsidRPr="005133BB">
              <w:rPr>
                <w:rStyle w:val="ng-star-inserted"/>
                <w:sz w:val="22"/>
                <w:szCs w:val="22"/>
              </w:rPr>
              <w:t>EVPN-VPLS) oraz w warstwie 3 (VPRN/L3VPN)</w:t>
            </w:r>
            <w:r w:rsidR="005C7A44" w:rsidRPr="005133BB">
              <w:rPr>
                <w:rStyle w:val="ng-star-inserted"/>
                <w:sz w:val="22"/>
                <w:szCs w:val="22"/>
              </w:rPr>
              <w:t>;</w:t>
            </w:r>
            <w:r w:rsidRPr="005133BB">
              <w:rPr>
                <w:rStyle w:val="ng-star-inserted"/>
                <w:sz w:val="22"/>
                <w:szCs w:val="22"/>
              </w:rPr>
              <w:t xml:space="preserve"> </w:t>
            </w:r>
          </w:p>
          <w:p w14:paraId="042B32E1" w14:textId="3C2C2BDA" w:rsidR="009E1B59" w:rsidRPr="005133BB" w:rsidRDefault="007544B3" w:rsidP="005A1E8A">
            <w:pPr>
              <w:pStyle w:val="Default"/>
              <w:numPr>
                <w:ilvl w:val="0"/>
                <w:numId w:val="10"/>
              </w:numPr>
              <w:spacing w:after="120" w:line="276" w:lineRule="auto"/>
              <w:ind w:left="442"/>
              <w:rPr>
                <w:rStyle w:val="ng-star-inserted"/>
                <w:sz w:val="22"/>
                <w:szCs w:val="22"/>
              </w:rPr>
            </w:pPr>
            <w:r w:rsidRPr="005133BB">
              <w:rPr>
                <w:rStyle w:val="ng-star-inserted"/>
                <w:sz w:val="22"/>
                <w:szCs w:val="22"/>
              </w:rPr>
              <w:t>Pełne wsparcie dla IPv4 oraz IPv6 (dual-</w:t>
            </w:r>
            <w:proofErr w:type="spellStart"/>
            <w:r w:rsidRPr="005133BB">
              <w:rPr>
                <w:rStyle w:val="ng-star-inserted"/>
                <w:sz w:val="22"/>
                <w:szCs w:val="22"/>
              </w:rPr>
              <w:t>stack</w:t>
            </w:r>
            <w:proofErr w:type="spellEnd"/>
            <w:r w:rsidRPr="005133BB">
              <w:rPr>
                <w:rStyle w:val="ng-star-inserted"/>
                <w:sz w:val="22"/>
                <w:szCs w:val="22"/>
              </w:rPr>
              <w:t>)</w:t>
            </w:r>
            <w:r w:rsidR="005C7A44" w:rsidRPr="005133BB">
              <w:rPr>
                <w:rStyle w:val="ng-star-inserted"/>
                <w:sz w:val="22"/>
                <w:szCs w:val="22"/>
              </w:rPr>
              <w:t>;</w:t>
            </w:r>
          </w:p>
          <w:p w14:paraId="6F9882A1" w14:textId="084B8ED9" w:rsidR="009E1B59" w:rsidRPr="005133BB" w:rsidRDefault="009E1B59" w:rsidP="005A1E8A">
            <w:pPr>
              <w:pStyle w:val="Default"/>
              <w:numPr>
                <w:ilvl w:val="0"/>
                <w:numId w:val="10"/>
              </w:numPr>
              <w:spacing w:after="120" w:line="276" w:lineRule="auto"/>
              <w:ind w:left="442"/>
              <w:rPr>
                <w:sz w:val="22"/>
                <w:szCs w:val="22"/>
              </w:rPr>
            </w:pPr>
            <w:r w:rsidRPr="005133BB">
              <w:rPr>
                <w:sz w:val="22"/>
                <w:szCs w:val="22"/>
              </w:rPr>
              <w:t>Pełne wsparcie dla Multicast, w tym protokołów PIM-SM/SSM oraz IGMPv2/v3.</w:t>
            </w:r>
          </w:p>
        </w:tc>
      </w:tr>
      <w:tr w:rsidR="006A6501" w:rsidRPr="005133BB" w14:paraId="2B7CD513" w14:textId="77777777" w:rsidTr="00652165">
        <w:tc>
          <w:tcPr>
            <w:tcW w:w="597" w:type="dxa"/>
            <w:vAlign w:val="center"/>
          </w:tcPr>
          <w:p w14:paraId="2CAF25FC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vAlign w:val="center"/>
          </w:tcPr>
          <w:p w14:paraId="5650F655" w14:textId="4D473D13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Jakość usług (</w:t>
            </w:r>
            <w:proofErr w:type="spellStart"/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6928" w:type="dxa"/>
            <w:vAlign w:val="center"/>
          </w:tcPr>
          <w:p w14:paraId="0A2D11A0" w14:textId="77777777" w:rsidR="007544B3" w:rsidRPr="005133BB" w:rsidRDefault="007544B3" w:rsidP="005A1E8A">
            <w:pPr>
              <w:spacing w:after="120" w:line="276" w:lineRule="auto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Zaawansowane mechanizmy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, w tym: </w:t>
            </w:r>
          </w:p>
          <w:p w14:paraId="175383A1" w14:textId="2C073BD7" w:rsidR="007544B3" w:rsidRPr="005133BB" w:rsidRDefault="007544B3" w:rsidP="005A1E8A">
            <w:pPr>
              <w:pStyle w:val="Akapitzlist"/>
              <w:numPr>
                <w:ilvl w:val="0"/>
                <w:numId w:val="11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Hierarchiczny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(H-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)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A02F7E" w14:textId="14EE7CA5" w:rsidR="007544B3" w:rsidRPr="005133BB" w:rsidRDefault="007544B3" w:rsidP="005A1E8A">
            <w:pPr>
              <w:pStyle w:val="Akapitzlist"/>
              <w:numPr>
                <w:ilvl w:val="0"/>
                <w:numId w:val="11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Minimum 8 kolejek priorytetów na port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E84A72" w14:textId="008B5D6A" w:rsidR="006A6501" w:rsidRPr="005133BB" w:rsidRDefault="007544B3" w:rsidP="005A1E8A">
            <w:pPr>
              <w:pStyle w:val="Akapitzlist"/>
              <w:numPr>
                <w:ilvl w:val="0"/>
                <w:numId w:val="11"/>
              </w:numPr>
              <w:spacing w:before="0" w:after="120" w:line="276" w:lineRule="auto"/>
              <w:ind w:left="44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Klasyfikacja,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policing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shaping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marking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pakietów.</w:t>
            </w:r>
          </w:p>
        </w:tc>
      </w:tr>
      <w:tr w:rsidR="006A6501" w:rsidRPr="005133BB" w14:paraId="0C1733A9" w14:textId="77777777" w:rsidTr="0065216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15B0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EE54" w14:textId="3920C8BD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Zarządzanie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55A4" w14:textId="0D273318" w:rsidR="007544B3" w:rsidRPr="005133BB" w:rsidRDefault="007544B3" w:rsidP="005A1E8A">
            <w:pPr>
              <w:pStyle w:val="Akapitzlist"/>
              <w:numPr>
                <w:ilvl w:val="0"/>
                <w:numId w:val="12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Interfejs linii komend (CLI) o pełnej funkcjonalności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562F72" w14:textId="795AC356" w:rsidR="007544B3" w:rsidRPr="005133BB" w:rsidRDefault="007544B3" w:rsidP="005A1E8A">
            <w:pPr>
              <w:pStyle w:val="Akapitzlist"/>
              <w:numPr>
                <w:ilvl w:val="0"/>
                <w:numId w:val="12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Wsparcie dla protokołów SNMPv2/v3, NETCONF,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gNMI</w:t>
            </w:r>
            <w:proofErr w:type="spellEnd"/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AAC80D" w14:textId="13E7285A" w:rsidR="007544B3" w:rsidRPr="005133BB" w:rsidRDefault="007544B3" w:rsidP="005A1E8A">
            <w:pPr>
              <w:pStyle w:val="Akapitzlist"/>
              <w:numPr>
                <w:ilvl w:val="0"/>
                <w:numId w:val="12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Wsparcie dla modeli danych YANG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DF1436" w14:textId="6D6E11F0" w:rsidR="006A6501" w:rsidRPr="005133BB" w:rsidRDefault="007544B3" w:rsidP="00CE7D6F">
            <w:pPr>
              <w:pStyle w:val="Akapitzlist"/>
              <w:numPr>
                <w:ilvl w:val="0"/>
                <w:numId w:val="12"/>
              </w:numPr>
              <w:spacing w:before="0" w:after="120" w:line="276" w:lineRule="auto"/>
              <w:ind w:left="4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Możliwość integracji z zewnętrznym systemem zarządzania (</w:t>
            </w:r>
            <w:r w:rsidRPr="005133BB">
              <w:rPr>
                <w:rStyle w:val="ng-star-inserted"/>
                <w:rFonts w:ascii="Arial" w:hAnsi="Arial" w:cs="Arial"/>
                <w:i/>
                <w:iCs/>
                <w:sz w:val="22"/>
                <w:szCs w:val="22"/>
              </w:rPr>
              <w:t>opcjonalnie, jeśli jest: np. Nokia NSP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)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6501" w:rsidRPr="005133BB" w14:paraId="75FF4C37" w14:textId="77777777" w:rsidTr="0065216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9E47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F95C" w14:textId="10A73389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Zasilanie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9D2B" w14:textId="26A01E8F" w:rsidR="006A6501" w:rsidRPr="005133BB" w:rsidRDefault="00CF7AEE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Redundantne zasilacze AC. Urządzenie musi być dostarczone z dwoma zainstalowanymi zasilaczami.</w:t>
            </w:r>
          </w:p>
        </w:tc>
      </w:tr>
      <w:tr w:rsidR="006A6501" w:rsidRPr="005133BB" w14:paraId="4F3F639D" w14:textId="77777777" w:rsidTr="0065216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2C3" w14:textId="77777777" w:rsidR="006A6501" w:rsidRPr="005133BB" w:rsidRDefault="006A6501" w:rsidP="005A1E8A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7B8C" w14:textId="79590208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Warunki środowiskowe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D7F3" w14:textId="66AFF0EE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Rozszerzony zakres temperatury pracy: od -40°C do +65°C.</w:t>
            </w:r>
          </w:p>
        </w:tc>
      </w:tr>
      <w:tr w:rsidR="00832548" w:rsidRPr="005133BB" w14:paraId="636860E0" w14:textId="77777777" w:rsidTr="0065216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580A" w14:textId="77777777" w:rsidR="00832548" w:rsidRPr="005133BB" w:rsidRDefault="00832548" w:rsidP="00832548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CAE" w14:textId="5D84F41A" w:rsidR="00832548" w:rsidRPr="005133BB" w:rsidRDefault="00832548" w:rsidP="00832548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Licencje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68E7" w14:textId="4EB650E4" w:rsidR="00832548" w:rsidRPr="005133BB" w:rsidRDefault="00832548" w:rsidP="0083254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Dostarczone wraz z urządzeniem bezterminowe licencje na system operacyjny, odblokowujące wszystkie wymienione wyżej funkcjonalności</w:t>
            </w:r>
            <w:r>
              <w:rPr>
                <w:rFonts w:ascii="Arial" w:hAnsi="Arial" w:cs="Arial"/>
                <w:sz w:val="22"/>
                <w:szCs w:val="22"/>
              </w:rPr>
              <w:t xml:space="preserve">, wraz z zapewnionym prawem do aktualizacji </w:t>
            </w:r>
            <w:r w:rsidRPr="00832548">
              <w:rPr>
                <w:rFonts w:ascii="Arial" w:hAnsi="Arial" w:cs="Arial"/>
                <w:sz w:val="22"/>
                <w:szCs w:val="22"/>
              </w:rPr>
              <w:t>oraz poprawek (</w:t>
            </w:r>
            <w:proofErr w:type="spellStart"/>
            <w:r w:rsidRPr="00832548">
              <w:rPr>
                <w:rFonts w:ascii="Arial" w:hAnsi="Arial" w:cs="Arial"/>
                <w:sz w:val="22"/>
                <w:szCs w:val="22"/>
              </w:rPr>
              <w:t>patches</w:t>
            </w:r>
            <w:proofErr w:type="spellEnd"/>
            <w:r w:rsidRPr="00832548">
              <w:rPr>
                <w:rFonts w:ascii="Arial" w:hAnsi="Arial" w:cs="Arial"/>
                <w:sz w:val="22"/>
                <w:szCs w:val="22"/>
              </w:rPr>
              <w:t>) oprogramowania systemowego (</w:t>
            </w:r>
            <w:proofErr w:type="spellStart"/>
            <w:r w:rsidRPr="00832548">
              <w:rPr>
                <w:rFonts w:ascii="Arial" w:hAnsi="Arial" w:cs="Arial"/>
                <w:sz w:val="22"/>
                <w:szCs w:val="22"/>
              </w:rPr>
              <w:t>firmware</w:t>
            </w:r>
            <w:proofErr w:type="spellEnd"/>
            <w:r w:rsidRPr="00832548">
              <w:rPr>
                <w:rFonts w:ascii="Arial" w:hAnsi="Arial" w:cs="Arial"/>
                <w:sz w:val="22"/>
                <w:szCs w:val="22"/>
              </w:rPr>
              <w:t xml:space="preserve">/OS) </w:t>
            </w:r>
            <w:r>
              <w:rPr>
                <w:rFonts w:ascii="Arial" w:hAnsi="Arial" w:cs="Arial"/>
                <w:sz w:val="22"/>
                <w:szCs w:val="22"/>
              </w:rPr>
              <w:t>co najmniej przez okres udzielonej gwarancji.</w:t>
            </w:r>
            <w:r w:rsidRPr="005133BB">
              <w:rPr>
                <w:sz w:val="22"/>
                <w:szCs w:val="22"/>
              </w:rPr>
              <w:t xml:space="preserve"> </w:t>
            </w:r>
          </w:p>
        </w:tc>
      </w:tr>
      <w:tr w:rsidR="00832548" w:rsidRPr="005133BB" w14:paraId="21193C29" w14:textId="77777777" w:rsidTr="0065216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DDDF" w14:textId="77777777" w:rsidR="00832548" w:rsidRPr="005133BB" w:rsidRDefault="00832548" w:rsidP="00832548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 w:after="120"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84DD" w14:textId="2404FECB" w:rsidR="00832548" w:rsidRPr="005133BB" w:rsidRDefault="00832548" w:rsidP="00832548">
            <w:pPr>
              <w:spacing w:after="120" w:line="276" w:lineRule="auto"/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EE5F" w14:textId="565610D7" w:rsidR="00832548" w:rsidRPr="005133BB" w:rsidRDefault="00832548" w:rsidP="00CE7D6F">
            <w:pPr>
              <w:pStyle w:val="Akapitzlist"/>
              <w:numPr>
                <w:ilvl w:val="0"/>
                <w:numId w:val="13"/>
              </w:numPr>
              <w:spacing w:before="0" w:after="120" w:line="276" w:lineRule="auto"/>
              <w:ind w:left="442"/>
              <w:jc w:val="left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Obsługa konfigurowalnego rozmiaru ramki MTU na interfejsach L3 o wartości co najmniej 7000 bajtów; </w:t>
            </w:r>
          </w:p>
          <w:p w14:paraId="12D8C564" w14:textId="6F6A47B8" w:rsidR="00832548" w:rsidRPr="005133BB" w:rsidRDefault="00832548" w:rsidP="00CE7D6F">
            <w:pPr>
              <w:pStyle w:val="Akapitzlist"/>
              <w:numPr>
                <w:ilvl w:val="0"/>
                <w:numId w:val="13"/>
              </w:numPr>
              <w:spacing w:before="0" w:after="120" w:line="276" w:lineRule="auto"/>
              <w:ind w:left="442"/>
              <w:jc w:val="left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System operacyjny urządzenia musi być spójny z systemami operacyjnymi pozostałych oferowanych urządzeń (Typ B i C);</w:t>
            </w:r>
          </w:p>
        </w:tc>
      </w:tr>
    </w:tbl>
    <w:p w14:paraId="0C2A6848" w14:textId="77777777" w:rsidR="00807B6E" w:rsidRPr="005133BB" w:rsidRDefault="00807B6E" w:rsidP="005A1E8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DB232DE" w14:textId="57EDE4C9" w:rsidR="006A6501" w:rsidRPr="005133BB" w:rsidRDefault="007544B3" w:rsidP="005A1E8A">
      <w:pPr>
        <w:pStyle w:val="Akapitzlist"/>
        <w:numPr>
          <w:ilvl w:val="0"/>
          <w:numId w:val="28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5133BB">
        <w:rPr>
          <w:rFonts w:ascii="Arial" w:hAnsi="Arial" w:cs="Arial"/>
          <w:b/>
          <w:sz w:val="22"/>
          <w:szCs w:val="22"/>
        </w:rPr>
        <w:t>Router Rdzeniowo-Dystrybucyjny Typu B – 2 szt.</w:t>
      </w:r>
      <w:r w:rsidR="006F0E53" w:rsidRPr="005133BB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109"/>
        <w:gridCol w:w="6928"/>
      </w:tblGrid>
      <w:tr w:rsidR="006A6501" w:rsidRPr="005133BB" w14:paraId="11C19B51" w14:textId="77777777" w:rsidTr="00652165">
        <w:trPr>
          <w:trHeight w:val="439"/>
        </w:trPr>
        <w:tc>
          <w:tcPr>
            <w:tcW w:w="597" w:type="dxa"/>
            <w:shd w:val="clear" w:color="auto" w:fill="BFBFBF" w:themeFill="background1" w:themeFillShade="BF"/>
            <w:vAlign w:val="center"/>
          </w:tcPr>
          <w:p w14:paraId="78565359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22C88255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Element konfiguracji</w:t>
            </w:r>
          </w:p>
        </w:tc>
        <w:tc>
          <w:tcPr>
            <w:tcW w:w="6928" w:type="dxa"/>
            <w:shd w:val="clear" w:color="auto" w:fill="BFBFBF"/>
            <w:vAlign w:val="center"/>
          </w:tcPr>
          <w:p w14:paraId="013CBA3E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Wymagane parametry minimalne</w:t>
            </w:r>
          </w:p>
        </w:tc>
      </w:tr>
      <w:tr w:rsidR="006A6501" w:rsidRPr="005133BB" w14:paraId="4DC26A9C" w14:textId="77777777" w:rsidTr="00652165">
        <w:trPr>
          <w:trHeight w:val="800"/>
        </w:trPr>
        <w:tc>
          <w:tcPr>
            <w:tcW w:w="597" w:type="dxa"/>
            <w:vAlign w:val="center"/>
          </w:tcPr>
          <w:p w14:paraId="4B702E25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2109" w:type="dxa"/>
            <w:vAlign w:val="center"/>
          </w:tcPr>
          <w:p w14:paraId="29A71DDE" w14:textId="3F9D6F2D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 xml:space="preserve">Architektura </w:t>
            </w:r>
            <w:r w:rsidR="00751FD1"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br/>
            </w: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i obudowa</w:t>
            </w:r>
          </w:p>
        </w:tc>
        <w:tc>
          <w:tcPr>
            <w:tcW w:w="6928" w:type="dxa"/>
            <w:vAlign w:val="center"/>
          </w:tcPr>
          <w:p w14:paraId="0ABE9E0F" w14:textId="5953B921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Urządzenie kompaktowe, przeznaczone do montażu w szafie 19”. Wysokość nie większa niż 1RU.</w:t>
            </w:r>
          </w:p>
        </w:tc>
      </w:tr>
      <w:tr w:rsidR="006A6501" w:rsidRPr="005133BB" w14:paraId="7C8ADAE5" w14:textId="77777777" w:rsidTr="00652165">
        <w:tc>
          <w:tcPr>
            <w:tcW w:w="597" w:type="dxa"/>
            <w:vAlign w:val="center"/>
          </w:tcPr>
          <w:p w14:paraId="3680AF40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09" w:type="dxa"/>
            <w:vAlign w:val="center"/>
          </w:tcPr>
          <w:p w14:paraId="01CFF628" w14:textId="49A173DC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Interfejsy sieciowe</w:t>
            </w:r>
          </w:p>
        </w:tc>
        <w:tc>
          <w:tcPr>
            <w:tcW w:w="6928" w:type="dxa"/>
            <w:vAlign w:val="center"/>
          </w:tcPr>
          <w:p w14:paraId="179EB595" w14:textId="7F9A65D3" w:rsidR="007544B3" w:rsidRPr="005133BB" w:rsidRDefault="007544B3" w:rsidP="005A1E8A">
            <w:pPr>
              <w:spacing w:after="120" w:line="276" w:lineRule="auto"/>
              <w:ind w:left="8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Urządzenie musi być wyposażone w co najmniej</w:t>
            </w:r>
            <w:r w:rsidR="001B4D3C">
              <w:rPr>
                <w:rFonts w:ascii="Arial" w:hAnsi="Arial" w:cs="Arial"/>
                <w:sz w:val="22"/>
                <w:szCs w:val="22"/>
              </w:rPr>
              <w:t>, bez modułów SFP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DC19BCD" w14:textId="4C8658E8" w:rsidR="007544B3" w:rsidRPr="005133BB" w:rsidRDefault="007544B3" w:rsidP="005A1E8A">
            <w:pPr>
              <w:pStyle w:val="Akapitzlist"/>
              <w:numPr>
                <w:ilvl w:val="0"/>
                <w:numId w:val="14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24 porty 1/10GE SFP+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E4D89B" w14:textId="590D9AFD" w:rsidR="007544B3" w:rsidRPr="005133BB" w:rsidRDefault="007544B3" w:rsidP="005A1E8A">
            <w:pPr>
              <w:pStyle w:val="Akapitzlist"/>
              <w:numPr>
                <w:ilvl w:val="0"/>
                <w:numId w:val="14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8 portów 10/25GE SFP28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7304C5" w14:textId="79FFCC86" w:rsidR="006A6501" w:rsidRPr="005133BB" w:rsidRDefault="007544B3" w:rsidP="005A1E8A">
            <w:pPr>
              <w:pStyle w:val="Akapitzlist"/>
              <w:numPr>
                <w:ilvl w:val="0"/>
                <w:numId w:val="14"/>
              </w:numPr>
              <w:spacing w:before="0" w:after="120" w:line="276" w:lineRule="auto"/>
              <w:ind w:left="442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2 porty 40/100GE QSFP28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6A6501" w:rsidRPr="005133BB" w14:paraId="073A9535" w14:textId="77777777" w:rsidTr="00652165">
        <w:tc>
          <w:tcPr>
            <w:tcW w:w="597" w:type="dxa"/>
            <w:vAlign w:val="center"/>
          </w:tcPr>
          <w:p w14:paraId="75FC8184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09" w:type="dxa"/>
            <w:vAlign w:val="center"/>
          </w:tcPr>
          <w:p w14:paraId="7301AEBE" w14:textId="6674A1FD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Interfejsy zarządzające</w:t>
            </w:r>
          </w:p>
        </w:tc>
        <w:tc>
          <w:tcPr>
            <w:tcW w:w="6928" w:type="dxa"/>
            <w:vAlign w:val="center"/>
          </w:tcPr>
          <w:p w14:paraId="20EB8ADA" w14:textId="51EF52F8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Co najmniej 1x port konsolowy (RJ-45 lub micro-USB) oraz 1x port zarządczy Ethernet (RJ-45) "out-of-band".</w:t>
            </w:r>
          </w:p>
        </w:tc>
      </w:tr>
      <w:tr w:rsidR="006A6501" w:rsidRPr="005133BB" w14:paraId="3485F219" w14:textId="77777777" w:rsidTr="00652165">
        <w:tc>
          <w:tcPr>
            <w:tcW w:w="597" w:type="dxa"/>
            <w:vAlign w:val="center"/>
          </w:tcPr>
          <w:p w14:paraId="6D7AB4B8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09" w:type="dxa"/>
            <w:vAlign w:val="center"/>
          </w:tcPr>
          <w:p w14:paraId="1773E5F7" w14:textId="02F829E0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Wydajność</w:t>
            </w:r>
          </w:p>
        </w:tc>
        <w:tc>
          <w:tcPr>
            <w:tcW w:w="6928" w:type="dxa"/>
            <w:vAlign w:val="center"/>
          </w:tcPr>
          <w:p w14:paraId="2A0805D4" w14:textId="67C10AA5" w:rsidR="00CF7AEE" w:rsidRPr="005133BB" w:rsidRDefault="00CF7AEE" w:rsidP="00CF7AEE">
            <w:pPr>
              <w:pStyle w:val="Akapitzlist"/>
              <w:numPr>
                <w:ilvl w:val="0"/>
                <w:numId w:val="15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Przepustowość przełączania (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switching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capacity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): </w:t>
            </w:r>
            <w:r>
              <w:rPr>
                <w:rStyle w:val="ng-star-inserted"/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min. </w:t>
            </w:r>
            <w:r w:rsidR="00A11735">
              <w:rPr>
                <w:rStyle w:val="ng-star-inserted"/>
                <w:rFonts w:ascii="Arial" w:hAnsi="Arial" w:cs="Arial"/>
                <w:sz w:val="22"/>
                <w:szCs w:val="22"/>
                <w:lang w:val="pl-PL"/>
              </w:rPr>
              <w:t>3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Gb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/s w trybie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full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-duplex; </w:t>
            </w:r>
          </w:p>
          <w:p w14:paraId="5449F697" w14:textId="2E1490FF" w:rsidR="006A6501" w:rsidRPr="005133BB" w:rsidRDefault="007544B3" w:rsidP="00CE7D6F">
            <w:pPr>
              <w:pStyle w:val="Akapitzlist"/>
              <w:numPr>
                <w:ilvl w:val="0"/>
                <w:numId w:val="15"/>
              </w:numPr>
              <w:spacing w:before="0" w:after="120" w:line="276" w:lineRule="auto"/>
              <w:ind w:left="4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Przetwarzanie pakietów w warstwie 2 i 3 z pełną prędkością interfejsów (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line-rate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performance).</w:t>
            </w:r>
          </w:p>
        </w:tc>
      </w:tr>
      <w:tr w:rsidR="006A6501" w:rsidRPr="005133BB" w14:paraId="4207081C" w14:textId="77777777" w:rsidTr="00652165">
        <w:tc>
          <w:tcPr>
            <w:tcW w:w="597" w:type="dxa"/>
            <w:vAlign w:val="center"/>
          </w:tcPr>
          <w:p w14:paraId="11A56A7F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109" w:type="dxa"/>
            <w:vAlign w:val="center"/>
          </w:tcPr>
          <w:p w14:paraId="11F35392" w14:textId="08D930C6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Protokoły i funkcje L2/L3</w:t>
            </w:r>
          </w:p>
        </w:tc>
        <w:tc>
          <w:tcPr>
            <w:tcW w:w="6928" w:type="dxa"/>
            <w:vAlign w:val="center"/>
          </w:tcPr>
          <w:p w14:paraId="41648654" w14:textId="7C1DA5AF" w:rsidR="00DB7C67" w:rsidRPr="005133BB" w:rsidRDefault="007544B3" w:rsidP="00CE7D6F">
            <w:pPr>
              <w:pStyle w:val="Akapitzlist"/>
              <w:numPr>
                <w:ilvl w:val="0"/>
                <w:numId w:val="16"/>
              </w:numPr>
              <w:spacing w:before="0" w:after="120" w:line="276" w:lineRule="auto"/>
              <w:ind w:left="442"/>
              <w:jc w:val="left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Pełne wsparcie dla protokołów routingu: OSPFv2/v3, IS-IS, BGP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05102E" w14:textId="37D2EDC9" w:rsidR="00DB7C67" w:rsidRPr="005133BB" w:rsidRDefault="007544B3" w:rsidP="00CE7D6F">
            <w:pPr>
              <w:pStyle w:val="Akapitzlist"/>
              <w:numPr>
                <w:ilvl w:val="0"/>
                <w:numId w:val="16"/>
              </w:numPr>
              <w:spacing w:before="0" w:after="120" w:line="276" w:lineRule="auto"/>
              <w:ind w:left="442"/>
              <w:jc w:val="left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Wsparcie dla MPLS, LDP, RSVP-TE, Segment Routing </w:t>
            </w:r>
            <w:r w:rsidR="00920E34">
              <w:rPr>
                <w:rStyle w:val="ng-star-inserted"/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(SR-MPLS, SRv6)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9BB7D4" w14:textId="337F5B00" w:rsidR="00DB7C67" w:rsidRPr="005133BB" w:rsidRDefault="007544B3" w:rsidP="00CE7D6F">
            <w:pPr>
              <w:pStyle w:val="Akapitzlist"/>
              <w:numPr>
                <w:ilvl w:val="0"/>
                <w:numId w:val="16"/>
              </w:numPr>
              <w:spacing w:before="0" w:after="120" w:line="276" w:lineRule="auto"/>
              <w:ind w:left="442"/>
              <w:jc w:val="left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Obsługa usług VPN w warstwie 2 (VPLS, EVPN-VPWS, </w:t>
            </w:r>
            <w:r w:rsidR="00920E34">
              <w:rPr>
                <w:rStyle w:val="ng-star-inserted"/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EVPN-VPLS) oraz w warstwie 3 (VPRN/L3VPN)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7158FD" w14:textId="22E79EB8" w:rsidR="009E1B59" w:rsidRPr="005133BB" w:rsidRDefault="007544B3" w:rsidP="00CE7D6F">
            <w:pPr>
              <w:pStyle w:val="Akapitzlist"/>
              <w:numPr>
                <w:ilvl w:val="0"/>
                <w:numId w:val="16"/>
              </w:numPr>
              <w:spacing w:before="0" w:after="120" w:line="276" w:lineRule="auto"/>
              <w:ind w:left="442"/>
              <w:jc w:val="left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Pełne wsparcie dla IPv4 oraz IPv6 (dual-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stack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)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="009E1B59" w:rsidRPr="005133BB">
              <w:rPr>
                <w:rStyle w:val="ng-star-inserted"/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  <w:p w14:paraId="3ED9BBD1" w14:textId="2A6FC006" w:rsidR="006A6501" w:rsidRPr="005133BB" w:rsidRDefault="009E1B59" w:rsidP="00CE7D6F">
            <w:pPr>
              <w:pStyle w:val="Akapitzlist"/>
              <w:numPr>
                <w:ilvl w:val="0"/>
                <w:numId w:val="16"/>
              </w:numPr>
              <w:spacing w:before="0" w:after="120" w:line="276" w:lineRule="auto"/>
              <w:ind w:left="4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  <w:lang w:val="pl-PL"/>
              </w:rPr>
              <w:t>Pełne wsparcie dla Multicast, w tym protokołów PIM-SM/SSM oraz IGMPv2/v3.</w:t>
            </w:r>
          </w:p>
        </w:tc>
      </w:tr>
      <w:tr w:rsidR="006A6501" w:rsidRPr="005133BB" w14:paraId="0BF489E9" w14:textId="77777777" w:rsidTr="00652165">
        <w:tc>
          <w:tcPr>
            <w:tcW w:w="597" w:type="dxa"/>
            <w:vAlign w:val="center"/>
          </w:tcPr>
          <w:p w14:paraId="22CEE314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109" w:type="dxa"/>
            <w:vAlign w:val="center"/>
          </w:tcPr>
          <w:p w14:paraId="75EA45FD" w14:textId="1C251264" w:rsidR="006A6501" w:rsidRPr="005133BB" w:rsidRDefault="00DB7C67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Jakość usług (</w:t>
            </w:r>
            <w:proofErr w:type="spellStart"/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6928" w:type="dxa"/>
            <w:vAlign w:val="center"/>
          </w:tcPr>
          <w:p w14:paraId="76D59747" w14:textId="77777777" w:rsidR="00DB7C67" w:rsidRPr="005133BB" w:rsidRDefault="007544B3" w:rsidP="005A1E8A">
            <w:pPr>
              <w:spacing w:after="120" w:line="276" w:lineRule="auto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Zaawansowane mechanizmy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, w tym: </w:t>
            </w:r>
          </w:p>
          <w:p w14:paraId="7313CC69" w14:textId="3F8815F7" w:rsidR="00DB7C67" w:rsidRPr="005133BB" w:rsidRDefault="007544B3" w:rsidP="005A1E8A">
            <w:pPr>
              <w:pStyle w:val="Akapitzlist"/>
              <w:numPr>
                <w:ilvl w:val="0"/>
                <w:numId w:val="17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Hierarchiczny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(H-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)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A5B22A" w14:textId="685BCDB7" w:rsidR="00DB7C67" w:rsidRPr="005133BB" w:rsidRDefault="007544B3" w:rsidP="005A1E8A">
            <w:pPr>
              <w:pStyle w:val="Akapitzlist"/>
              <w:numPr>
                <w:ilvl w:val="0"/>
                <w:numId w:val="17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Minimum 8 kolejek priorytetów na port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8BDEF1" w14:textId="217965B0" w:rsidR="006A6501" w:rsidRPr="005133BB" w:rsidRDefault="007544B3" w:rsidP="005A1E8A">
            <w:pPr>
              <w:pStyle w:val="Akapitzlist"/>
              <w:numPr>
                <w:ilvl w:val="0"/>
                <w:numId w:val="17"/>
              </w:numPr>
              <w:spacing w:before="0" w:after="120" w:line="276" w:lineRule="auto"/>
              <w:ind w:left="44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Klasyfikacja,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policing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shaping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marking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pakietów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6A6501" w:rsidRPr="005133BB" w14:paraId="51814D66" w14:textId="77777777" w:rsidTr="00652165">
        <w:tc>
          <w:tcPr>
            <w:tcW w:w="597" w:type="dxa"/>
            <w:vAlign w:val="center"/>
          </w:tcPr>
          <w:p w14:paraId="3F5B78A0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109" w:type="dxa"/>
            <w:vAlign w:val="center"/>
          </w:tcPr>
          <w:p w14:paraId="332F68D1" w14:textId="4BAB9913" w:rsidR="006A6501" w:rsidRPr="005133BB" w:rsidRDefault="00DB7C67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Zarządzanie</w:t>
            </w:r>
          </w:p>
        </w:tc>
        <w:tc>
          <w:tcPr>
            <w:tcW w:w="6928" w:type="dxa"/>
            <w:vAlign w:val="center"/>
          </w:tcPr>
          <w:p w14:paraId="073ADBB4" w14:textId="22E907D9" w:rsidR="00DB7C67" w:rsidRPr="005133BB" w:rsidRDefault="007544B3" w:rsidP="005A1E8A">
            <w:pPr>
              <w:pStyle w:val="Akapitzlist"/>
              <w:numPr>
                <w:ilvl w:val="0"/>
                <w:numId w:val="18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Interfejs linii komend (CLI) o pełnej funkcjonalności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516C0F" w14:textId="0CC79138" w:rsidR="00DB7C67" w:rsidRPr="005133BB" w:rsidRDefault="007544B3" w:rsidP="005A1E8A">
            <w:pPr>
              <w:pStyle w:val="Akapitzlist"/>
              <w:numPr>
                <w:ilvl w:val="0"/>
                <w:numId w:val="18"/>
              </w:numPr>
              <w:spacing w:before="0" w:after="120" w:line="276" w:lineRule="auto"/>
              <w:ind w:left="442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Wsparcie dla protokołów SNMPv2/v3, NETCONF, 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gNMI</w:t>
            </w:r>
            <w:proofErr w:type="spellEnd"/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D4F9D6" w14:textId="40900C51" w:rsidR="006A6501" w:rsidRPr="005133BB" w:rsidRDefault="007544B3" w:rsidP="005A1E8A">
            <w:pPr>
              <w:pStyle w:val="Akapitzlist"/>
              <w:numPr>
                <w:ilvl w:val="0"/>
                <w:numId w:val="18"/>
              </w:numPr>
              <w:spacing w:before="0" w:after="120" w:line="276" w:lineRule="auto"/>
              <w:ind w:left="44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Wsparcie dla modeli danych YANG.</w:t>
            </w:r>
          </w:p>
        </w:tc>
      </w:tr>
      <w:tr w:rsidR="006A6501" w:rsidRPr="005133BB" w14:paraId="26301CB9" w14:textId="77777777" w:rsidTr="00652165">
        <w:tc>
          <w:tcPr>
            <w:tcW w:w="597" w:type="dxa"/>
            <w:vAlign w:val="center"/>
          </w:tcPr>
          <w:p w14:paraId="688326E8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109" w:type="dxa"/>
            <w:vAlign w:val="center"/>
          </w:tcPr>
          <w:p w14:paraId="0A787EDB" w14:textId="70F29729" w:rsidR="006A6501" w:rsidRPr="005133BB" w:rsidRDefault="00DB7C67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Zasilanie</w:t>
            </w:r>
          </w:p>
        </w:tc>
        <w:tc>
          <w:tcPr>
            <w:tcW w:w="6928" w:type="dxa"/>
            <w:vAlign w:val="center"/>
          </w:tcPr>
          <w:p w14:paraId="067DE112" w14:textId="082AE728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Redundantne, wymienne podczas pracy (hot-</w:t>
            </w:r>
            <w:proofErr w:type="spellStart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swappable</w:t>
            </w:r>
            <w:proofErr w:type="spellEnd"/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) zasilacze AC. Urządzenie musi być dostarczone z dwoma zainstalowanymi zasilaczami.</w:t>
            </w:r>
          </w:p>
        </w:tc>
      </w:tr>
      <w:tr w:rsidR="006A6501" w:rsidRPr="005133BB" w14:paraId="4170D5F8" w14:textId="77777777" w:rsidTr="00652165">
        <w:tc>
          <w:tcPr>
            <w:tcW w:w="597" w:type="dxa"/>
            <w:vAlign w:val="center"/>
          </w:tcPr>
          <w:p w14:paraId="1ECAACFE" w14:textId="77777777" w:rsidR="006A6501" w:rsidRPr="005133BB" w:rsidRDefault="006A6501" w:rsidP="005A1E8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109" w:type="dxa"/>
            <w:vAlign w:val="center"/>
          </w:tcPr>
          <w:p w14:paraId="605B4032" w14:textId="2E85F8FD" w:rsidR="006A6501" w:rsidRPr="005133BB" w:rsidRDefault="00DB7C67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Warunki środowiskowe</w:t>
            </w:r>
          </w:p>
        </w:tc>
        <w:tc>
          <w:tcPr>
            <w:tcW w:w="6928" w:type="dxa"/>
            <w:vAlign w:val="center"/>
          </w:tcPr>
          <w:p w14:paraId="27BAB9A6" w14:textId="6086B660" w:rsidR="006A6501" w:rsidRPr="005133BB" w:rsidRDefault="007544B3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Zakres temperatury pracy: od -40°C do +65°C</w:t>
            </w:r>
            <w:r w:rsidR="005C7A44"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32548" w:rsidRPr="005133BB" w14:paraId="7D63B5A5" w14:textId="77777777" w:rsidTr="00652165">
        <w:tc>
          <w:tcPr>
            <w:tcW w:w="597" w:type="dxa"/>
            <w:vAlign w:val="center"/>
          </w:tcPr>
          <w:p w14:paraId="20CD5B92" w14:textId="77777777" w:rsidR="00832548" w:rsidRPr="005133BB" w:rsidRDefault="00832548" w:rsidP="00832548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109" w:type="dxa"/>
            <w:vAlign w:val="center"/>
          </w:tcPr>
          <w:p w14:paraId="013EA6AA" w14:textId="65D60D24" w:rsidR="00832548" w:rsidRPr="005133BB" w:rsidRDefault="00832548" w:rsidP="0083254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Licencje</w:t>
            </w:r>
          </w:p>
        </w:tc>
        <w:tc>
          <w:tcPr>
            <w:tcW w:w="6928" w:type="dxa"/>
            <w:vAlign w:val="center"/>
          </w:tcPr>
          <w:p w14:paraId="7502898C" w14:textId="03966A73" w:rsidR="00832548" w:rsidRPr="005133BB" w:rsidRDefault="00832548" w:rsidP="00832548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 xml:space="preserve">Dostarczone wraz z urządzeniem bezterminowe licencje na system operacyjny, odblokowujące wszystkie wymienione wyżej </w:t>
            </w:r>
            <w:r w:rsidRPr="005133BB">
              <w:rPr>
                <w:rFonts w:ascii="Arial" w:hAnsi="Arial" w:cs="Arial"/>
                <w:sz w:val="22"/>
                <w:szCs w:val="22"/>
              </w:rPr>
              <w:lastRenderedPageBreak/>
              <w:t>funkcjonalności</w:t>
            </w:r>
            <w:r>
              <w:rPr>
                <w:rFonts w:ascii="Arial" w:hAnsi="Arial" w:cs="Arial"/>
                <w:sz w:val="22"/>
                <w:szCs w:val="22"/>
              </w:rPr>
              <w:t xml:space="preserve">, wraz z zapewnionym prawem do aktualizacji </w:t>
            </w:r>
            <w:r w:rsidRPr="00832548">
              <w:rPr>
                <w:rFonts w:ascii="Arial" w:hAnsi="Arial" w:cs="Arial"/>
                <w:sz w:val="22"/>
                <w:szCs w:val="22"/>
              </w:rPr>
              <w:t>oraz poprawek (</w:t>
            </w:r>
            <w:proofErr w:type="spellStart"/>
            <w:r w:rsidRPr="00832548">
              <w:rPr>
                <w:rFonts w:ascii="Arial" w:hAnsi="Arial" w:cs="Arial"/>
                <w:sz w:val="22"/>
                <w:szCs w:val="22"/>
              </w:rPr>
              <w:t>patches</w:t>
            </w:r>
            <w:proofErr w:type="spellEnd"/>
            <w:r w:rsidRPr="00832548">
              <w:rPr>
                <w:rFonts w:ascii="Arial" w:hAnsi="Arial" w:cs="Arial"/>
                <w:sz w:val="22"/>
                <w:szCs w:val="22"/>
              </w:rPr>
              <w:t>) oprogramowania systemowego (</w:t>
            </w:r>
            <w:proofErr w:type="spellStart"/>
            <w:r w:rsidRPr="00832548">
              <w:rPr>
                <w:rFonts w:ascii="Arial" w:hAnsi="Arial" w:cs="Arial"/>
                <w:sz w:val="22"/>
                <w:szCs w:val="22"/>
              </w:rPr>
              <w:t>firmware</w:t>
            </w:r>
            <w:proofErr w:type="spellEnd"/>
            <w:r w:rsidRPr="00832548">
              <w:rPr>
                <w:rFonts w:ascii="Arial" w:hAnsi="Arial" w:cs="Arial"/>
                <w:sz w:val="22"/>
                <w:szCs w:val="22"/>
              </w:rPr>
              <w:t xml:space="preserve">/OS) </w:t>
            </w:r>
            <w:r>
              <w:rPr>
                <w:rFonts w:ascii="Arial" w:hAnsi="Arial" w:cs="Arial"/>
                <w:sz w:val="22"/>
                <w:szCs w:val="22"/>
              </w:rPr>
              <w:t>co najmniej przez okres udzielonej gwarancji.</w:t>
            </w:r>
            <w:r w:rsidRPr="005133BB">
              <w:rPr>
                <w:sz w:val="22"/>
                <w:szCs w:val="22"/>
              </w:rPr>
              <w:t xml:space="preserve"> </w:t>
            </w:r>
          </w:p>
        </w:tc>
      </w:tr>
      <w:tr w:rsidR="00832548" w:rsidRPr="005133BB" w14:paraId="7C79D845" w14:textId="77777777" w:rsidTr="00652165">
        <w:tc>
          <w:tcPr>
            <w:tcW w:w="597" w:type="dxa"/>
            <w:vAlign w:val="center"/>
          </w:tcPr>
          <w:p w14:paraId="481D5DF0" w14:textId="696ABDCF" w:rsidR="00832548" w:rsidRPr="005133BB" w:rsidRDefault="00832548" w:rsidP="00832548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109" w:type="dxa"/>
            <w:vAlign w:val="center"/>
          </w:tcPr>
          <w:p w14:paraId="29A99130" w14:textId="2CAE4997" w:rsidR="00832548" w:rsidRPr="005133BB" w:rsidRDefault="00832548" w:rsidP="00832548">
            <w:pPr>
              <w:spacing w:after="120" w:line="276" w:lineRule="auto"/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928" w:type="dxa"/>
            <w:vAlign w:val="center"/>
          </w:tcPr>
          <w:p w14:paraId="01F3C0B4" w14:textId="3FB59336" w:rsidR="00832548" w:rsidRPr="005133BB" w:rsidRDefault="00832548" w:rsidP="00CE7D6F">
            <w:pPr>
              <w:pStyle w:val="Akapitzlist"/>
              <w:numPr>
                <w:ilvl w:val="0"/>
                <w:numId w:val="19"/>
              </w:numPr>
              <w:spacing w:before="0" w:after="120" w:line="276" w:lineRule="auto"/>
              <w:ind w:left="442"/>
              <w:jc w:val="left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 xml:space="preserve">Obsługa konfigurowalnego rozmiaru ramki MTU na interfejsach L3 o wartości co najmniej 7000 bajtów; </w:t>
            </w:r>
          </w:p>
          <w:p w14:paraId="69339F79" w14:textId="7EA0999A" w:rsidR="00832548" w:rsidRPr="005133BB" w:rsidRDefault="00832548" w:rsidP="00CE7D6F">
            <w:pPr>
              <w:pStyle w:val="Akapitzlist"/>
              <w:numPr>
                <w:ilvl w:val="0"/>
                <w:numId w:val="19"/>
              </w:numPr>
              <w:spacing w:before="0" w:after="120" w:line="276" w:lineRule="auto"/>
              <w:ind w:left="442"/>
              <w:jc w:val="left"/>
              <w:rPr>
                <w:rStyle w:val="ng-star-inserted"/>
                <w:rFonts w:ascii="Arial" w:hAnsi="Arial" w:cs="Arial"/>
                <w:sz w:val="22"/>
                <w:szCs w:val="22"/>
              </w:rPr>
            </w:pPr>
            <w:r w:rsidRPr="005133BB">
              <w:rPr>
                <w:rStyle w:val="ng-star-inserted"/>
                <w:rFonts w:ascii="Arial" w:hAnsi="Arial" w:cs="Arial"/>
                <w:sz w:val="22"/>
                <w:szCs w:val="22"/>
              </w:rPr>
              <w:t>System operacyjny urządzenia musi być spójny z systemami operacyjnymi pozostałych oferowanych urządzeń (Typ A i C).</w:t>
            </w:r>
          </w:p>
        </w:tc>
      </w:tr>
    </w:tbl>
    <w:p w14:paraId="02BD50E2" w14:textId="77777777" w:rsidR="005133BB" w:rsidRPr="005133BB" w:rsidRDefault="005133BB" w:rsidP="005A1E8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D1C02E1" w14:textId="6F226CDB" w:rsidR="006A6501" w:rsidRPr="005133BB" w:rsidRDefault="00DB7C67" w:rsidP="005A1E8A">
      <w:pPr>
        <w:pStyle w:val="Akapitzlist"/>
        <w:numPr>
          <w:ilvl w:val="0"/>
          <w:numId w:val="28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5133BB">
        <w:rPr>
          <w:rFonts w:ascii="Arial" w:hAnsi="Arial" w:cs="Arial"/>
          <w:b/>
          <w:sz w:val="22"/>
          <w:szCs w:val="22"/>
        </w:rPr>
        <w:t>Przełącznik Dostępowy Typu C – 4 szt.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130"/>
        <w:gridCol w:w="6907"/>
      </w:tblGrid>
      <w:tr w:rsidR="006A6501" w:rsidRPr="005133BB" w14:paraId="4F9F1B2B" w14:textId="77777777" w:rsidTr="001420E4">
        <w:trPr>
          <w:trHeight w:val="439"/>
        </w:trPr>
        <w:tc>
          <w:tcPr>
            <w:tcW w:w="597" w:type="dxa"/>
            <w:shd w:val="clear" w:color="auto" w:fill="BFBFBF" w:themeFill="background1" w:themeFillShade="BF"/>
            <w:vAlign w:val="center"/>
          </w:tcPr>
          <w:p w14:paraId="26A73600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30" w:type="dxa"/>
            <w:shd w:val="clear" w:color="auto" w:fill="BFBFBF" w:themeFill="background1" w:themeFillShade="BF"/>
            <w:vAlign w:val="center"/>
          </w:tcPr>
          <w:p w14:paraId="77CF63AE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Element konfiguracji</w:t>
            </w:r>
          </w:p>
        </w:tc>
        <w:tc>
          <w:tcPr>
            <w:tcW w:w="6907" w:type="dxa"/>
            <w:shd w:val="clear" w:color="auto" w:fill="BFBFBF"/>
            <w:vAlign w:val="center"/>
          </w:tcPr>
          <w:p w14:paraId="6A300790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33BB">
              <w:rPr>
                <w:rFonts w:ascii="Arial" w:hAnsi="Arial" w:cs="Arial"/>
                <w:b/>
                <w:color w:val="000000"/>
                <w:sz w:val="22"/>
                <w:szCs w:val="22"/>
              </w:rPr>
              <w:t>Wymagane parametry minimalne</w:t>
            </w:r>
          </w:p>
        </w:tc>
      </w:tr>
      <w:tr w:rsidR="006A6501" w:rsidRPr="005133BB" w14:paraId="7763A95F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421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C1DA" w14:textId="5CF7EAFA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Architektura i obudowa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5A36" w14:textId="1D0185F2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Urządzenie kompaktowe, przeznaczone do montażu w szafie 19”. Wysokość nie większa niż 1RU.</w:t>
            </w:r>
          </w:p>
        </w:tc>
      </w:tr>
      <w:tr w:rsidR="006A6501" w:rsidRPr="005133BB" w14:paraId="732E323D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A6F6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F22C" w14:textId="460948A2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Interfejsy sieciowe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F930" w14:textId="5DAFED6A" w:rsidR="00DB7C67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Urządzenie musi być wyposażone w co najmniej</w:t>
            </w:r>
            <w:r w:rsidR="001B4D3C">
              <w:rPr>
                <w:rFonts w:ascii="Arial" w:hAnsi="Arial" w:cs="Arial"/>
                <w:sz w:val="22"/>
                <w:szCs w:val="22"/>
              </w:rPr>
              <w:t>, bez modułów SFP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730173E" w14:textId="0025D29A" w:rsidR="00DB7C67" w:rsidRPr="005133BB" w:rsidRDefault="00DB7C67" w:rsidP="005A1E8A">
            <w:pPr>
              <w:pStyle w:val="Akapitzlist"/>
              <w:numPr>
                <w:ilvl w:val="0"/>
                <w:numId w:val="22"/>
              </w:numPr>
              <w:spacing w:before="0" w:after="120" w:line="276" w:lineRule="auto"/>
              <w:ind w:left="56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48 portów 10/100/1000Base-T (RJ-45)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052A22" w14:textId="17F3AC5F" w:rsidR="006A6501" w:rsidRPr="005133BB" w:rsidRDefault="00DB7C67" w:rsidP="00CE7D6F">
            <w:pPr>
              <w:pStyle w:val="Akapitzlist"/>
              <w:numPr>
                <w:ilvl w:val="0"/>
                <w:numId w:val="22"/>
              </w:numPr>
              <w:spacing w:before="0" w:after="120" w:line="276" w:lineRule="auto"/>
              <w:ind w:left="56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4 porty 1/10GE SFP+</w:t>
            </w:r>
            <w:r w:rsidR="00652165" w:rsidRPr="005133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6501" w:rsidRPr="005133BB" w14:paraId="7D6176CC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50D6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F331" w14:textId="695F4F4F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Interfejsy zarządzające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21C" w14:textId="087266FD" w:rsidR="006A6501" w:rsidRPr="005133BB" w:rsidRDefault="00DB7C67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Co najmniej 1x port konsolowy (RJ-45) oraz 1x port zarządczy Ethernet (RJ-45) "out-of-band".</w:t>
            </w:r>
          </w:p>
        </w:tc>
      </w:tr>
      <w:tr w:rsidR="006A6501" w:rsidRPr="00AF0B4E" w14:paraId="024E7C0E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6D04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232168213"/>
            <w:r w:rsidRPr="005133B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7F" w14:textId="179A9CD6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Wydajność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8E21" w14:textId="78706472" w:rsidR="006A6501" w:rsidRPr="00464C81" w:rsidRDefault="00CF7AEE" w:rsidP="00464C81">
            <w:pPr>
              <w:pStyle w:val="Akapitzlist"/>
              <w:numPr>
                <w:ilvl w:val="0"/>
                <w:numId w:val="21"/>
              </w:numPr>
              <w:spacing w:before="0" w:after="120" w:line="276" w:lineRule="auto"/>
              <w:ind w:left="56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Przepustowość przełączania (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switching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capacity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 xml:space="preserve">):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="00A11735">
              <w:rPr>
                <w:rFonts w:ascii="Arial" w:hAnsi="Arial" w:cs="Arial"/>
                <w:sz w:val="22"/>
                <w:szCs w:val="22"/>
                <w:lang w:val="pl-PL"/>
              </w:rPr>
              <w:t>88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Gb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 xml:space="preserve">/s; </w:t>
            </w:r>
          </w:p>
        </w:tc>
      </w:tr>
      <w:bookmarkEnd w:id="1"/>
      <w:tr w:rsidR="006A6501" w:rsidRPr="005133BB" w14:paraId="26D3B46D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E680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85EE" w14:textId="31F17C95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Protokoły i funkcje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EA5E" w14:textId="30C75F33" w:rsidR="00DB7C67" w:rsidRPr="005133BB" w:rsidRDefault="00DB7C67" w:rsidP="00CE7D6F">
            <w:pPr>
              <w:pStyle w:val="Akapitzlist"/>
              <w:numPr>
                <w:ilvl w:val="0"/>
                <w:numId w:val="20"/>
              </w:numPr>
              <w:spacing w:before="0" w:after="120" w:line="276" w:lineRule="auto"/>
              <w:ind w:left="56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 xml:space="preserve">Wsparcie dla protokołów L2: 802.1Q (VLAN), 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QinQ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>, LACP, STP/RSTP/MSTP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8156BE" w14:textId="5A8009BC" w:rsidR="00DB7C67" w:rsidRPr="005133BB" w:rsidRDefault="00DB7C67" w:rsidP="00CE7D6F">
            <w:pPr>
              <w:pStyle w:val="Akapitzlist"/>
              <w:numPr>
                <w:ilvl w:val="0"/>
                <w:numId w:val="20"/>
              </w:numPr>
              <w:spacing w:before="0" w:after="120" w:line="276" w:lineRule="auto"/>
              <w:ind w:left="56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Wsparcie dla protokołów routingu L3: OSPF, IS-IS, BGP, VRRP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75B487" w14:textId="5C70CABB" w:rsidR="00DB7C67" w:rsidRPr="005133BB" w:rsidRDefault="00DB7C67" w:rsidP="00CE7D6F">
            <w:pPr>
              <w:pStyle w:val="Akapitzlist"/>
              <w:numPr>
                <w:ilvl w:val="0"/>
                <w:numId w:val="20"/>
              </w:numPr>
              <w:spacing w:before="0" w:after="120" w:line="276" w:lineRule="auto"/>
              <w:ind w:left="56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Podstawowe wsparcie dla MPLS (LDP, VPLS, L2/L3 VPN)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7AEC9B" w14:textId="25FA99EB" w:rsidR="00D24E8F" w:rsidRPr="005133BB" w:rsidRDefault="00DB7C67" w:rsidP="00CE7D6F">
            <w:pPr>
              <w:pStyle w:val="Akapitzlist"/>
              <w:numPr>
                <w:ilvl w:val="0"/>
                <w:numId w:val="20"/>
              </w:numPr>
              <w:spacing w:before="0" w:after="120" w:line="276" w:lineRule="auto"/>
              <w:ind w:left="56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 xml:space="preserve">Wsparcie dla IPv4 i IPv6, </w:t>
            </w:r>
            <w:r w:rsidR="00D24E8F" w:rsidRPr="005133BB">
              <w:rPr>
                <w:rFonts w:ascii="Arial" w:hAnsi="Arial" w:cs="Arial"/>
                <w:sz w:val="22"/>
                <w:szCs w:val="22"/>
              </w:rPr>
              <w:t xml:space="preserve">IGMP </w:t>
            </w:r>
            <w:proofErr w:type="spellStart"/>
            <w:r w:rsidR="00D24E8F" w:rsidRPr="005133BB">
              <w:rPr>
                <w:rFonts w:ascii="Arial" w:hAnsi="Arial" w:cs="Arial"/>
                <w:sz w:val="22"/>
                <w:szCs w:val="22"/>
              </w:rPr>
              <w:t>Snooping</w:t>
            </w:r>
            <w:proofErr w:type="spellEnd"/>
            <w:r w:rsidR="00D24E8F" w:rsidRPr="005133BB">
              <w:rPr>
                <w:rFonts w:ascii="Arial" w:hAnsi="Arial" w:cs="Arial"/>
                <w:sz w:val="22"/>
                <w:szCs w:val="22"/>
              </w:rPr>
              <w:t xml:space="preserve"> v2/v3</w:t>
            </w:r>
            <w:r w:rsidRPr="005133BB">
              <w:rPr>
                <w:rFonts w:ascii="Arial" w:hAnsi="Arial" w:cs="Arial"/>
                <w:sz w:val="22"/>
                <w:szCs w:val="22"/>
              </w:rPr>
              <w:t>, PIM-SM</w:t>
            </w:r>
            <w:r w:rsidR="00652165" w:rsidRPr="005133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6501" w:rsidRPr="005133BB" w14:paraId="1F494132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8354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FD2A" w14:textId="3B08B973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Zarządzanie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B2B9" w14:textId="7173012F" w:rsidR="00DB7C67" w:rsidRPr="005133BB" w:rsidRDefault="00DB7C67" w:rsidP="005A1E8A">
            <w:pPr>
              <w:pStyle w:val="Akapitzlist"/>
              <w:numPr>
                <w:ilvl w:val="0"/>
                <w:numId w:val="23"/>
              </w:numPr>
              <w:spacing w:before="0" w:after="120" w:line="276" w:lineRule="auto"/>
              <w:ind w:left="56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Interfejs linii komend (CLI)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F41152" w14:textId="22699BCE" w:rsidR="006A6501" w:rsidRPr="005133BB" w:rsidRDefault="00DB7C67" w:rsidP="005A1E8A">
            <w:pPr>
              <w:pStyle w:val="Akapitzlist"/>
              <w:numPr>
                <w:ilvl w:val="0"/>
                <w:numId w:val="23"/>
              </w:numPr>
              <w:spacing w:before="0" w:after="120" w:line="276" w:lineRule="auto"/>
              <w:ind w:left="562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Wsparcie dla SNMPv2/v3, NETCONF, modeli YANG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6A6501" w:rsidRPr="005133BB" w14:paraId="51D29B20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DCCD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82CF" w14:textId="4C8E9CC8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Zasilanie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0CFA" w14:textId="3BA751FF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Urządzenie musi posiadać dwa gniazda na moduły zasilające, umożliwiające pracę w trybie redundantnym. Wraz z każdym przełącznikiem należy dostarczyć dwa moduły zasilające AC, wymienne podczas pracy (hot-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swappable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>)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A6501" w:rsidRPr="005133BB" w14:paraId="63450EAB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FF55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1826" w14:textId="78D487B6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Warunki środowiskowe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6464" w14:textId="1F167586" w:rsidR="006A6501" w:rsidRPr="005133BB" w:rsidRDefault="00DB7C67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Zakres temperatury pracy: od 0°C do +45°C.</w:t>
            </w:r>
          </w:p>
        </w:tc>
      </w:tr>
      <w:tr w:rsidR="006A6501" w:rsidRPr="005133BB" w14:paraId="2AF4E4BA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94C1" w14:textId="77777777" w:rsidR="006A6501" w:rsidRPr="005133BB" w:rsidRDefault="006A6501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99C4" w14:textId="093EF5A5" w:rsidR="006A6501" w:rsidRPr="005133BB" w:rsidRDefault="00DB7C67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Licencje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2810" w14:textId="1C0CB147" w:rsidR="006A6501" w:rsidRPr="005133BB" w:rsidRDefault="00DB7C67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Dostarczone wraz z urządzeniem bezterminowe licencje na system operacyjny, odblokowujące wszystkie wymienione wyżej</w:t>
            </w:r>
            <w:r w:rsidR="00807B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33BB">
              <w:rPr>
                <w:rFonts w:ascii="Arial" w:hAnsi="Arial" w:cs="Arial"/>
                <w:sz w:val="22"/>
                <w:szCs w:val="22"/>
              </w:rPr>
              <w:t>funkcjonalności</w:t>
            </w:r>
            <w:r w:rsidR="00832548">
              <w:rPr>
                <w:rFonts w:ascii="Arial" w:hAnsi="Arial" w:cs="Arial"/>
                <w:sz w:val="22"/>
                <w:szCs w:val="22"/>
              </w:rPr>
              <w:t xml:space="preserve">, wraz z zapewnionym prawem do aktualizacji </w:t>
            </w:r>
            <w:r w:rsidR="00832548" w:rsidRPr="00832548">
              <w:rPr>
                <w:rFonts w:ascii="Arial" w:hAnsi="Arial" w:cs="Arial"/>
                <w:sz w:val="22"/>
                <w:szCs w:val="22"/>
              </w:rPr>
              <w:t xml:space="preserve">oraz </w:t>
            </w:r>
            <w:r w:rsidR="00832548" w:rsidRPr="00832548">
              <w:rPr>
                <w:rFonts w:ascii="Arial" w:hAnsi="Arial" w:cs="Arial"/>
                <w:sz w:val="22"/>
                <w:szCs w:val="22"/>
              </w:rPr>
              <w:lastRenderedPageBreak/>
              <w:t>poprawek (</w:t>
            </w:r>
            <w:proofErr w:type="spellStart"/>
            <w:r w:rsidR="00832548" w:rsidRPr="00832548">
              <w:rPr>
                <w:rFonts w:ascii="Arial" w:hAnsi="Arial" w:cs="Arial"/>
                <w:sz w:val="22"/>
                <w:szCs w:val="22"/>
              </w:rPr>
              <w:t>patches</w:t>
            </w:r>
            <w:proofErr w:type="spellEnd"/>
            <w:r w:rsidR="00832548" w:rsidRPr="00832548">
              <w:rPr>
                <w:rFonts w:ascii="Arial" w:hAnsi="Arial" w:cs="Arial"/>
                <w:sz w:val="22"/>
                <w:szCs w:val="22"/>
              </w:rPr>
              <w:t>) oprogramowania systemowego (</w:t>
            </w:r>
            <w:proofErr w:type="spellStart"/>
            <w:r w:rsidR="00832548" w:rsidRPr="00832548">
              <w:rPr>
                <w:rFonts w:ascii="Arial" w:hAnsi="Arial" w:cs="Arial"/>
                <w:sz w:val="22"/>
                <w:szCs w:val="22"/>
              </w:rPr>
              <w:t>firmware</w:t>
            </w:r>
            <w:proofErr w:type="spellEnd"/>
            <w:r w:rsidR="00832548" w:rsidRPr="00832548">
              <w:rPr>
                <w:rFonts w:ascii="Arial" w:hAnsi="Arial" w:cs="Arial"/>
                <w:sz w:val="22"/>
                <w:szCs w:val="22"/>
              </w:rPr>
              <w:t xml:space="preserve">/OS) </w:t>
            </w:r>
            <w:r w:rsidR="00832548">
              <w:rPr>
                <w:rFonts w:ascii="Arial" w:hAnsi="Arial" w:cs="Arial"/>
                <w:sz w:val="22"/>
                <w:szCs w:val="22"/>
              </w:rPr>
              <w:t>co najmniej przez okres udzielonej gwarancji.</w:t>
            </w:r>
            <w:r w:rsidR="00832548" w:rsidRPr="005133BB">
              <w:rPr>
                <w:sz w:val="22"/>
                <w:szCs w:val="22"/>
              </w:rPr>
              <w:t xml:space="preserve"> </w:t>
            </w:r>
          </w:p>
        </w:tc>
      </w:tr>
      <w:tr w:rsidR="00D24E8F" w:rsidRPr="005133BB" w14:paraId="2D31BEDD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538C" w14:textId="6873DCB4" w:rsidR="00D24E8F" w:rsidRPr="005133BB" w:rsidRDefault="00D24E8F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0F2E" w14:textId="424D1417" w:rsidR="00D24E8F" w:rsidRPr="005133BB" w:rsidRDefault="00D24E8F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Wysoka dostępność (HA)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3227" w14:textId="62BDE14E" w:rsidR="00D24E8F" w:rsidRPr="005133BB" w:rsidRDefault="00D24E8F" w:rsidP="005A1E8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 xml:space="preserve">Urządzenia muszą wspierać mechanizmy redundancji na poziomie urządzeń, takie jak MC-LAG (Multi-Chassis Link 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Aggregation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 xml:space="preserve">) lub technologia równoważna, pozwalająca na tworzenie </w:t>
            </w:r>
            <w:proofErr w:type="spellStart"/>
            <w:r w:rsidRPr="00C73BB6">
              <w:rPr>
                <w:rFonts w:ascii="Arial" w:hAnsi="Arial" w:cs="Arial"/>
                <w:sz w:val="22"/>
                <w:szCs w:val="22"/>
              </w:rPr>
              <w:t>aktywnej-aktywnej</w:t>
            </w:r>
            <w:proofErr w:type="spellEnd"/>
            <w:r w:rsidRPr="0073135B">
              <w:rPr>
                <w:rFonts w:ascii="Arial" w:hAnsi="Arial" w:cs="Arial"/>
                <w:sz w:val="22"/>
                <w:szCs w:val="22"/>
              </w:rPr>
              <w:t>,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redundantnej pary przełączników. Technologia musi zapewniać odpo</w:t>
            </w:r>
            <w:bookmarkStart w:id="2" w:name="_GoBack"/>
            <w:bookmarkEnd w:id="2"/>
            <w:r w:rsidRPr="005133BB">
              <w:rPr>
                <w:rFonts w:ascii="Arial" w:hAnsi="Arial" w:cs="Arial"/>
                <w:sz w:val="22"/>
                <w:szCs w:val="22"/>
              </w:rPr>
              <w:t>rność na awarię pojedynczego przełącznika oraz pojedynczego łącza bez utraty łączności dla podłączonych urządzeń końcowych.</w:t>
            </w:r>
          </w:p>
        </w:tc>
      </w:tr>
      <w:tr w:rsidR="00D24E8F" w:rsidRPr="005133BB" w14:paraId="6E54B97B" w14:textId="77777777" w:rsidTr="00DB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3DC5" w14:textId="435C9666" w:rsidR="00D24E8F" w:rsidRPr="005133BB" w:rsidRDefault="00D24E8F" w:rsidP="005A1E8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96CA" w14:textId="0484E165" w:rsidR="00D24E8F" w:rsidRPr="005133BB" w:rsidRDefault="00D24E8F" w:rsidP="005A1E8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Wymagania dodatkowe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C676" w14:textId="7C4C02B7" w:rsidR="00D24E8F" w:rsidRPr="005133BB" w:rsidRDefault="00D24E8F" w:rsidP="00CE7D6F">
            <w:pPr>
              <w:pStyle w:val="Akapitzlist"/>
              <w:numPr>
                <w:ilvl w:val="0"/>
                <w:numId w:val="24"/>
              </w:numPr>
              <w:spacing w:before="0"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Obsługa konfigurowalnego rozmiaru ramki MTU na interfejsach L3 o wartości co najmniej 7000 bajtów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;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5348F2" w14:textId="77777777" w:rsidR="00D24E8F" w:rsidRDefault="00D24E8F" w:rsidP="00CE7D6F">
            <w:pPr>
              <w:pStyle w:val="Akapitzlist"/>
              <w:numPr>
                <w:ilvl w:val="0"/>
                <w:numId w:val="24"/>
              </w:numPr>
              <w:spacing w:before="0"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133BB">
              <w:rPr>
                <w:rFonts w:ascii="Arial" w:hAnsi="Arial" w:cs="Arial"/>
                <w:sz w:val="22"/>
                <w:szCs w:val="22"/>
              </w:rPr>
              <w:t>System operacyjny urządzenia musi być spójny z systemami operacyjnymi pozostałych oferowanych urządzeń (Typ A i B)</w:t>
            </w:r>
            <w:r w:rsidR="005C7A44" w:rsidRPr="005133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13B6B2" w14:textId="2DF9AD1D" w:rsidR="001A035F" w:rsidRPr="005133BB" w:rsidRDefault="001A035F" w:rsidP="00CE7D6F">
            <w:pPr>
              <w:pStyle w:val="Akapitzlist"/>
              <w:numPr>
                <w:ilvl w:val="0"/>
                <w:numId w:val="24"/>
              </w:numPr>
              <w:spacing w:before="0"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Każde oferowane urządzenie musi zostać dostarczone wraz z niezbędnym okablowaniem, w tym z p</w:t>
            </w:r>
            <w:r w:rsidRPr="005133BB">
              <w:rPr>
                <w:rFonts w:ascii="Arial" w:hAnsi="Arial" w:cs="Arial"/>
                <w:sz w:val="22"/>
                <w:szCs w:val="22"/>
              </w:rPr>
              <w:t>asywny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kabl</w:t>
            </w:r>
            <w:r>
              <w:rPr>
                <w:rFonts w:ascii="Arial" w:hAnsi="Arial" w:cs="Arial"/>
                <w:sz w:val="22"/>
                <w:szCs w:val="22"/>
              </w:rPr>
              <w:t>em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miedziany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Direct 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Attach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 xml:space="preserve"> Cable (DAC) o długości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133BB">
              <w:rPr>
                <w:rFonts w:ascii="Arial" w:hAnsi="Arial" w:cs="Arial"/>
                <w:sz w:val="22"/>
                <w:szCs w:val="22"/>
              </w:rPr>
              <w:t>1 metra, zakończony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z obu stron wtykami QSFP+, zgodny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ze standardem 40GBASE-CR4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przeznaczony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5133BB">
              <w:rPr>
                <w:rFonts w:ascii="Arial" w:hAnsi="Arial" w:cs="Arial"/>
                <w:sz w:val="22"/>
                <w:szCs w:val="22"/>
              </w:rPr>
              <w:t xml:space="preserve"> do realizacji połączenia między-</w:t>
            </w:r>
            <w:proofErr w:type="spellStart"/>
            <w:r w:rsidRPr="005133BB">
              <w:rPr>
                <w:rFonts w:ascii="Arial" w:hAnsi="Arial" w:cs="Arial"/>
                <w:sz w:val="22"/>
                <w:szCs w:val="22"/>
              </w:rPr>
              <w:t>obudowowego</w:t>
            </w:r>
            <w:proofErr w:type="spellEnd"/>
            <w:r w:rsidRPr="005133BB">
              <w:rPr>
                <w:rFonts w:ascii="Arial" w:hAnsi="Arial" w:cs="Arial"/>
                <w:sz w:val="22"/>
                <w:szCs w:val="22"/>
              </w:rPr>
              <w:t xml:space="preserve"> (Inter-Chassis Link, ICL) w ramach konfiguracji redundantnej pary Przełączników Dostępowych Typu C (np. dla MC-LAG)</w:t>
            </w:r>
            <w:r w:rsidR="00807B6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7938DA5" w14:textId="77777777" w:rsidR="002B03C9" w:rsidRPr="005133BB" w:rsidRDefault="002B03C9" w:rsidP="005A1E8A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3AE84050" w14:textId="28DF9E9B" w:rsidR="00BD6CEA" w:rsidRPr="005133BB" w:rsidRDefault="00BD6CEA" w:rsidP="005A1E8A">
      <w:pPr>
        <w:pStyle w:val="Akapitzlist"/>
        <w:numPr>
          <w:ilvl w:val="0"/>
          <w:numId w:val="27"/>
        </w:num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5133BB">
        <w:rPr>
          <w:rFonts w:ascii="Arial" w:hAnsi="Arial" w:cs="Arial"/>
          <w:b/>
          <w:sz w:val="22"/>
          <w:szCs w:val="22"/>
        </w:rPr>
        <w:t>WYMAGANIA DODATKOWE</w:t>
      </w:r>
    </w:p>
    <w:p w14:paraId="1C86D866" w14:textId="45EBD5B0" w:rsidR="00924843" w:rsidRDefault="00924843" w:rsidP="00CE7D6F">
      <w:pPr>
        <w:pStyle w:val="Default"/>
        <w:numPr>
          <w:ilvl w:val="0"/>
          <w:numId w:val="29"/>
        </w:numPr>
        <w:spacing w:after="120" w:line="276" w:lineRule="auto"/>
        <w:rPr>
          <w:sz w:val="22"/>
          <w:szCs w:val="22"/>
        </w:rPr>
      </w:pPr>
      <w:r w:rsidRPr="00924843">
        <w:rPr>
          <w:sz w:val="22"/>
          <w:szCs w:val="22"/>
        </w:rPr>
        <w:t>Oferowany sprzęt musi być fabrycznie nowy, nieużywany, nieregenerowany, wyprodukowany nie wcześniej niż 12 miesięcy przed datą dostawy do Zamawiającego.</w:t>
      </w:r>
    </w:p>
    <w:p w14:paraId="037198D5" w14:textId="084A7200" w:rsidR="00924843" w:rsidRPr="00924843" w:rsidRDefault="00924843" w:rsidP="00924843">
      <w:pPr>
        <w:pStyle w:val="Default"/>
        <w:numPr>
          <w:ilvl w:val="0"/>
          <w:numId w:val="29"/>
        </w:numPr>
        <w:spacing w:after="120" w:line="276" w:lineRule="auto"/>
        <w:rPr>
          <w:sz w:val="22"/>
          <w:szCs w:val="22"/>
        </w:rPr>
      </w:pPr>
      <w:r w:rsidRPr="00924843">
        <w:rPr>
          <w:sz w:val="22"/>
          <w:szCs w:val="22"/>
        </w:rPr>
        <w:t>Sprzęt musi pochodzić z oficjalnego i autoryzowanego kanału dystrybucyjnego producenta na terytorium Europejskiego Obszaru Gospodarczego. Na żądanie Zamawiającego, Wykonawca przedstawi oświadczenie producenta potwierdzające autoryzację Wykonawcy oraz pochodzenie oferowanego sprzętu.</w:t>
      </w:r>
    </w:p>
    <w:p w14:paraId="745DC8BA" w14:textId="08E38C37" w:rsidR="00BD6CEA" w:rsidRPr="00757157" w:rsidRDefault="00920E34" w:rsidP="00CE7D6F">
      <w:pPr>
        <w:pStyle w:val="Default"/>
        <w:numPr>
          <w:ilvl w:val="0"/>
          <w:numId w:val="29"/>
        </w:numPr>
        <w:spacing w:after="120" w:line="276" w:lineRule="auto"/>
        <w:rPr>
          <w:sz w:val="22"/>
          <w:szCs w:val="22"/>
        </w:rPr>
      </w:pPr>
      <w:r w:rsidRPr="00757157">
        <w:rPr>
          <w:sz w:val="22"/>
          <w:szCs w:val="22"/>
        </w:rPr>
        <w:t xml:space="preserve">Dostawa całego </w:t>
      </w:r>
      <w:r w:rsidR="00300F99">
        <w:rPr>
          <w:sz w:val="22"/>
          <w:szCs w:val="22"/>
        </w:rPr>
        <w:t>P</w:t>
      </w:r>
      <w:r w:rsidRPr="00757157">
        <w:rPr>
          <w:sz w:val="22"/>
          <w:szCs w:val="22"/>
        </w:rPr>
        <w:t xml:space="preserve">rzedmiotu zamówienia zostanie zrealizowana jednorazowo </w:t>
      </w:r>
      <w:r w:rsidR="00B80F45">
        <w:rPr>
          <w:sz w:val="22"/>
          <w:szCs w:val="22"/>
        </w:rPr>
        <w:t xml:space="preserve">do siedziby Zamawiającego </w:t>
      </w:r>
      <w:r w:rsidR="00807B6E">
        <w:rPr>
          <w:sz w:val="22"/>
          <w:szCs w:val="22"/>
        </w:rPr>
        <w:t xml:space="preserve">lub Urzędu </w:t>
      </w:r>
      <w:r w:rsidRPr="00757157">
        <w:rPr>
          <w:sz w:val="22"/>
          <w:szCs w:val="22"/>
        </w:rPr>
        <w:t>na koszt i ryzyko Wykonawcy.</w:t>
      </w:r>
      <w:r w:rsidR="00807B6E">
        <w:rPr>
          <w:sz w:val="22"/>
          <w:szCs w:val="22"/>
        </w:rPr>
        <w:t xml:space="preserve"> W przypadku dostawy do siedziby Zamawiającego, Wykonawca wyraża zgodę na transport sprzętu przez Zamawiającego lub Urząd do siedziby Urzędu.</w:t>
      </w:r>
    </w:p>
    <w:p w14:paraId="4CEA9050" w14:textId="79940166" w:rsidR="00BD6CEA" w:rsidRPr="005133BB" w:rsidRDefault="00BD6CEA" w:rsidP="00CE7D6F">
      <w:pPr>
        <w:pStyle w:val="Default"/>
        <w:numPr>
          <w:ilvl w:val="0"/>
          <w:numId w:val="29"/>
        </w:numPr>
        <w:spacing w:after="120" w:line="276" w:lineRule="auto"/>
        <w:rPr>
          <w:sz w:val="22"/>
          <w:szCs w:val="22"/>
        </w:rPr>
      </w:pPr>
      <w:r w:rsidRPr="005133BB">
        <w:rPr>
          <w:sz w:val="22"/>
          <w:szCs w:val="22"/>
        </w:rPr>
        <w:t xml:space="preserve">Przedmiot zamówienia musi być kompletny i gotowy do uruchomienia. Wykonawca dostarczy wszystkie niezbędne elementy, w tym kable zasilające (standard europejski </w:t>
      </w:r>
      <w:proofErr w:type="spellStart"/>
      <w:r w:rsidRPr="005133BB">
        <w:rPr>
          <w:sz w:val="22"/>
          <w:szCs w:val="22"/>
        </w:rPr>
        <w:t>Schuko</w:t>
      </w:r>
      <w:proofErr w:type="spellEnd"/>
      <w:r w:rsidRPr="005133BB">
        <w:rPr>
          <w:sz w:val="22"/>
          <w:szCs w:val="22"/>
        </w:rPr>
        <w:t xml:space="preserve"> CEE 7/7</w:t>
      </w:r>
      <w:r w:rsidR="004C7581">
        <w:rPr>
          <w:sz w:val="22"/>
          <w:szCs w:val="22"/>
        </w:rPr>
        <w:t xml:space="preserve"> lub równoważny</w:t>
      </w:r>
      <w:r w:rsidRPr="005133BB">
        <w:rPr>
          <w:sz w:val="22"/>
          <w:szCs w:val="22"/>
        </w:rPr>
        <w:t>), zestawy montażowe do szaf 19” oraz dokumentację techniczną.</w:t>
      </w:r>
    </w:p>
    <w:p w14:paraId="40C38F2B" w14:textId="77777777" w:rsidR="00D24E8F" w:rsidRPr="005133BB" w:rsidRDefault="00D24E8F" w:rsidP="002B03C9">
      <w:pPr>
        <w:pStyle w:val="Default"/>
        <w:numPr>
          <w:ilvl w:val="0"/>
          <w:numId w:val="29"/>
        </w:numPr>
        <w:spacing w:after="120" w:line="276" w:lineRule="auto"/>
        <w:jc w:val="both"/>
        <w:rPr>
          <w:sz w:val="22"/>
          <w:szCs w:val="22"/>
        </w:rPr>
      </w:pPr>
      <w:r w:rsidRPr="005133BB">
        <w:rPr>
          <w:sz w:val="22"/>
          <w:szCs w:val="22"/>
        </w:rPr>
        <w:t>Spójność systemu operacyjnego i łatwość migracji:</w:t>
      </w:r>
    </w:p>
    <w:p w14:paraId="29582D3A" w14:textId="07BF482B" w:rsidR="00D24E8F" w:rsidRPr="005133BB" w:rsidRDefault="00D24E8F" w:rsidP="00CE7D6F">
      <w:pPr>
        <w:pStyle w:val="Default"/>
        <w:numPr>
          <w:ilvl w:val="1"/>
          <w:numId w:val="29"/>
        </w:numPr>
        <w:spacing w:after="120" w:line="276" w:lineRule="auto"/>
        <w:rPr>
          <w:sz w:val="22"/>
          <w:szCs w:val="22"/>
        </w:rPr>
      </w:pPr>
      <w:r w:rsidRPr="005133BB">
        <w:rPr>
          <w:sz w:val="22"/>
          <w:szCs w:val="22"/>
        </w:rPr>
        <w:t xml:space="preserve">Wszystkie oferowane urządzenia (Routery Typu A, B oraz Przełączniki Typu C) muszą pracować pod kontrolą jednego, spójnego systemu operacyjnego, posiadającego ujednolicony interfejs linii komend (CLI), tę samą logikę konfiguracji usług oraz jednolite mechanizmy monitorowania i </w:t>
      </w:r>
      <w:proofErr w:type="spellStart"/>
      <w:r w:rsidRPr="005133BB">
        <w:rPr>
          <w:sz w:val="22"/>
          <w:szCs w:val="22"/>
        </w:rPr>
        <w:t>troubleshootingu</w:t>
      </w:r>
      <w:proofErr w:type="spellEnd"/>
      <w:r w:rsidRPr="005133BB">
        <w:rPr>
          <w:sz w:val="22"/>
          <w:szCs w:val="22"/>
        </w:rPr>
        <w:t>.</w:t>
      </w:r>
    </w:p>
    <w:p w14:paraId="189C46E9" w14:textId="2D1BBB54" w:rsidR="00D24E8F" w:rsidRPr="005133BB" w:rsidRDefault="00D24E8F" w:rsidP="00CE7D6F">
      <w:pPr>
        <w:pStyle w:val="Default"/>
        <w:numPr>
          <w:ilvl w:val="1"/>
          <w:numId w:val="29"/>
        </w:numPr>
        <w:spacing w:after="120" w:line="276" w:lineRule="auto"/>
        <w:rPr>
          <w:sz w:val="22"/>
          <w:szCs w:val="22"/>
        </w:rPr>
      </w:pPr>
      <w:r w:rsidRPr="005133BB">
        <w:rPr>
          <w:sz w:val="22"/>
          <w:szCs w:val="22"/>
        </w:rPr>
        <w:lastRenderedPageBreak/>
        <w:t xml:space="preserve">Oferowany system operacyjny musi swoją strukturą i składnią poleceń umożliwiać bezpośrednią i sprawną migrację istniejących konfiguracji z urządzeń opartych </w:t>
      </w:r>
      <w:r w:rsidR="005133BB" w:rsidRPr="005133BB">
        <w:rPr>
          <w:sz w:val="22"/>
          <w:szCs w:val="22"/>
        </w:rPr>
        <w:br/>
      </w:r>
      <w:r w:rsidRPr="005133BB">
        <w:rPr>
          <w:sz w:val="22"/>
          <w:szCs w:val="22"/>
        </w:rPr>
        <w:t xml:space="preserve">o system Alcatel-Lucent SR OS. Przez sprawną migrację rozumie się możliwość przeniesienia logiki usług (np. VPLS, VPRN, polityki </w:t>
      </w:r>
      <w:proofErr w:type="spellStart"/>
      <w:r w:rsidRPr="005133BB">
        <w:rPr>
          <w:sz w:val="22"/>
          <w:szCs w:val="22"/>
        </w:rPr>
        <w:t>QoS</w:t>
      </w:r>
      <w:proofErr w:type="spellEnd"/>
      <w:r w:rsidRPr="005133BB">
        <w:rPr>
          <w:sz w:val="22"/>
          <w:szCs w:val="22"/>
        </w:rPr>
        <w:t xml:space="preserve">, filtry ACL) bez konieczności ich całkowitego przeprojektowywania. </w:t>
      </w:r>
    </w:p>
    <w:p w14:paraId="3CFE1E02" w14:textId="77777777" w:rsidR="00F23372" w:rsidRPr="005133BB" w:rsidRDefault="00F23372" w:rsidP="005A1E8A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025D39D4" w14:textId="25D463E5" w:rsidR="00BD6CEA" w:rsidRPr="005133BB" w:rsidRDefault="00BD6CEA" w:rsidP="005A1E8A">
      <w:pPr>
        <w:pStyle w:val="Akapitzlist"/>
        <w:numPr>
          <w:ilvl w:val="0"/>
          <w:numId w:val="27"/>
        </w:num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5133BB">
        <w:rPr>
          <w:rFonts w:ascii="Arial" w:hAnsi="Arial" w:cs="Arial"/>
          <w:b/>
          <w:sz w:val="22"/>
          <w:szCs w:val="22"/>
        </w:rPr>
        <w:t>KRYTERIUM RÓWNOWAŻNOŚCI</w:t>
      </w:r>
    </w:p>
    <w:p w14:paraId="0A87B8F6" w14:textId="77777777" w:rsidR="00BD6CEA" w:rsidRPr="005133BB" w:rsidRDefault="00BD6CEA" w:rsidP="00CE7D6F">
      <w:pPr>
        <w:pStyle w:val="Default"/>
        <w:numPr>
          <w:ilvl w:val="0"/>
          <w:numId w:val="5"/>
        </w:numPr>
        <w:spacing w:after="120" w:line="276" w:lineRule="auto"/>
        <w:rPr>
          <w:sz w:val="22"/>
          <w:szCs w:val="22"/>
        </w:rPr>
      </w:pPr>
      <w:r w:rsidRPr="005133BB">
        <w:rPr>
          <w:sz w:val="22"/>
          <w:szCs w:val="22"/>
        </w:rPr>
        <w:t>Zamawiający, opisując przedmiot zamówienia poprzez wskazanie minimalnych parametrów technicznych i funkcjonalnych, dopuszcza składanie ofert równoważnych.</w:t>
      </w:r>
    </w:p>
    <w:p w14:paraId="13CF7C54" w14:textId="35056BEF" w:rsidR="00BD6CEA" w:rsidRPr="005133BB" w:rsidRDefault="00BD6CEA" w:rsidP="00CE7D6F">
      <w:pPr>
        <w:pStyle w:val="Default"/>
        <w:numPr>
          <w:ilvl w:val="0"/>
          <w:numId w:val="5"/>
        </w:numPr>
        <w:spacing w:after="120" w:line="276" w:lineRule="auto"/>
        <w:rPr>
          <w:sz w:val="22"/>
          <w:szCs w:val="22"/>
        </w:rPr>
      </w:pPr>
      <w:r w:rsidRPr="005133BB">
        <w:rPr>
          <w:sz w:val="22"/>
          <w:szCs w:val="22"/>
        </w:rPr>
        <w:t xml:space="preserve">Przez ofertę równoważną Zamawiający rozumie ofertę, która przedstawia dostawę urządzeń innego producenta niż referencyjny, lecz o parametrach technicznych, jakościowych i funkcjonalnych </w:t>
      </w:r>
      <w:r w:rsidRPr="005133BB">
        <w:rPr>
          <w:b/>
          <w:bCs/>
          <w:sz w:val="22"/>
          <w:szCs w:val="22"/>
        </w:rPr>
        <w:t>nie gorszych</w:t>
      </w:r>
      <w:r w:rsidRPr="005133BB">
        <w:rPr>
          <w:sz w:val="22"/>
          <w:szCs w:val="22"/>
        </w:rPr>
        <w:t xml:space="preserve"> niż określone w niniejszym Opisie Przedmiotu Zamówienia.</w:t>
      </w:r>
    </w:p>
    <w:p w14:paraId="19E15685" w14:textId="084327BA" w:rsidR="00BD6CEA" w:rsidRPr="005133BB" w:rsidRDefault="00BD6CEA" w:rsidP="00CE7D6F">
      <w:pPr>
        <w:pStyle w:val="Default"/>
        <w:numPr>
          <w:ilvl w:val="0"/>
          <w:numId w:val="5"/>
        </w:numPr>
        <w:spacing w:after="120" w:line="276" w:lineRule="auto"/>
        <w:rPr>
          <w:sz w:val="22"/>
          <w:szCs w:val="22"/>
        </w:rPr>
      </w:pPr>
      <w:r w:rsidRPr="005133BB">
        <w:rPr>
          <w:sz w:val="22"/>
          <w:szCs w:val="22"/>
        </w:rPr>
        <w:t xml:space="preserve">Ciężar udowodnienia, że oferowany produkt jest równoważny spoczywa na Wykonawcy. </w:t>
      </w:r>
      <w:r w:rsidR="008A0257" w:rsidRPr="005133BB">
        <w:rPr>
          <w:sz w:val="22"/>
          <w:szCs w:val="22"/>
        </w:rPr>
        <w:br/>
      </w:r>
      <w:r w:rsidRPr="005133BB">
        <w:rPr>
          <w:sz w:val="22"/>
          <w:szCs w:val="22"/>
        </w:rPr>
        <w:t>W tym celu Wykonawca, który oferuje rozwiązanie równoważne, jest zobowiązany dołączyć do oferty szczegółowe karty katalogowe, specyfikacje techniczne lub inne dokumenty jednoznacznie potwierdzające spełnienie każdego z wymagań określonych przez Zamawiającego w OPZ.</w:t>
      </w:r>
    </w:p>
    <w:p w14:paraId="74C0E209" w14:textId="77777777" w:rsidR="00BD6CEA" w:rsidRPr="005133BB" w:rsidRDefault="00BD6CEA" w:rsidP="00CE7D6F">
      <w:pPr>
        <w:pStyle w:val="Default"/>
        <w:numPr>
          <w:ilvl w:val="0"/>
          <w:numId w:val="5"/>
        </w:numPr>
        <w:spacing w:after="120" w:line="276" w:lineRule="auto"/>
        <w:rPr>
          <w:sz w:val="22"/>
          <w:szCs w:val="22"/>
        </w:rPr>
      </w:pPr>
      <w:r w:rsidRPr="005133BB">
        <w:rPr>
          <w:sz w:val="22"/>
          <w:szCs w:val="22"/>
        </w:rPr>
        <w:t>W przypadku wątpliwości, Zamawiający zastrzega sobie prawo do wezwania Wykonawcy do złożenia dodatkowych wyjaśnień lub prezentacji oferowanego rozwiązania.</w:t>
      </w:r>
    </w:p>
    <w:p w14:paraId="76CFDACF" w14:textId="0D6D33BD" w:rsidR="005133BB" w:rsidRPr="005133BB" w:rsidRDefault="005133BB" w:rsidP="005A1E8A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5EB44183" w14:textId="26847C68" w:rsidR="00873BD6" w:rsidRPr="005133BB" w:rsidRDefault="00873BD6" w:rsidP="005A1E8A">
      <w:pPr>
        <w:pStyle w:val="Akapitzlist"/>
        <w:numPr>
          <w:ilvl w:val="0"/>
          <w:numId w:val="27"/>
        </w:num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100644">
        <w:rPr>
          <w:rFonts w:ascii="Arial" w:hAnsi="Arial" w:cs="Arial"/>
          <w:b/>
          <w:sz w:val="22"/>
          <w:szCs w:val="22"/>
        </w:rPr>
        <w:t>TERMIN</w:t>
      </w:r>
      <w:r w:rsidRPr="005133BB">
        <w:rPr>
          <w:rFonts w:ascii="Arial" w:hAnsi="Arial" w:cs="Arial"/>
          <w:b/>
          <w:bCs/>
          <w:sz w:val="22"/>
          <w:szCs w:val="22"/>
        </w:rPr>
        <w:t xml:space="preserve"> REALIZACJI </w:t>
      </w:r>
    </w:p>
    <w:p w14:paraId="4E5C9B2C" w14:textId="73BB5D1F" w:rsidR="005A1E8A" w:rsidRDefault="00873BD6" w:rsidP="00CE504E">
      <w:pPr>
        <w:pStyle w:val="Default"/>
        <w:spacing w:after="120" w:line="276" w:lineRule="auto"/>
        <w:ind w:left="142"/>
        <w:jc w:val="both"/>
        <w:rPr>
          <w:sz w:val="22"/>
          <w:szCs w:val="22"/>
        </w:rPr>
      </w:pPr>
      <w:r w:rsidRPr="005133BB">
        <w:rPr>
          <w:sz w:val="22"/>
          <w:szCs w:val="22"/>
        </w:rPr>
        <w:t xml:space="preserve"> Termin realizacji do 60 dni kalendarzowych od </w:t>
      </w:r>
      <w:r w:rsidR="0057729B">
        <w:rPr>
          <w:sz w:val="22"/>
          <w:szCs w:val="22"/>
        </w:rPr>
        <w:t>dnia zawarcia u</w:t>
      </w:r>
      <w:r w:rsidRPr="005133BB">
        <w:rPr>
          <w:sz w:val="22"/>
          <w:szCs w:val="22"/>
        </w:rPr>
        <w:t>mowy.</w:t>
      </w:r>
    </w:p>
    <w:p w14:paraId="0F7EB9CB" w14:textId="77777777" w:rsidR="00CE504E" w:rsidRPr="005133BB" w:rsidRDefault="00CE504E" w:rsidP="00CE504E">
      <w:pPr>
        <w:pStyle w:val="Default"/>
        <w:spacing w:after="120" w:line="276" w:lineRule="auto"/>
        <w:ind w:left="142"/>
        <w:jc w:val="both"/>
        <w:rPr>
          <w:sz w:val="22"/>
          <w:szCs w:val="22"/>
        </w:rPr>
      </w:pPr>
    </w:p>
    <w:p w14:paraId="6158CAB0" w14:textId="56AEB6F2" w:rsidR="00873BD6" w:rsidRPr="005133BB" w:rsidRDefault="00873BD6" w:rsidP="005A1E8A">
      <w:pPr>
        <w:pStyle w:val="Akapitzlist"/>
        <w:numPr>
          <w:ilvl w:val="0"/>
          <w:numId w:val="27"/>
        </w:num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5133BB">
        <w:rPr>
          <w:rFonts w:ascii="Arial" w:hAnsi="Arial" w:cs="Arial"/>
          <w:b/>
          <w:bCs/>
          <w:sz w:val="22"/>
          <w:szCs w:val="22"/>
        </w:rPr>
        <w:t xml:space="preserve">PŁATNOŚCI </w:t>
      </w:r>
    </w:p>
    <w:p w14:paraId="75C481E2" w14:textId="215C196B" w:rsidR="00873BD6" w:rsidRPr="005133BB" w:rsidRDefault="00873BD6" w:rsidP="005A1E8A">
      <w:pPr>
        <w:pStyle w:val="Default"/>
        <w:spacing w:after="120" w:line="276" w:lineRule="auto"/>
        <w:ind w:left="142"/>
        <w:jc w:val="both"/>
        <w:rPr>
          <w:sz w:val="22"/>
          <w:szCs w:val="22"/>
        </w:rPr>
      </w:pPr>
      <w:r w:rsidRPr="005133BB">
        <w:rPr>
          <w:sz w:val="22"/>
          <w:szCs w:val="22"/>
        </w:rPr>
        <w:t>Termin płatności 21 dni kalendarzowych od daty dostarczenia prawidłowo wystawionej faktury VAT.</w:t>
      </w:r>
    </w:p>
    <w:sectPr w:rsidR="00873BD6" w:rsidRPr="005133BB" w:rsidSect="005C7A44">
      <w:headerReference w:type="default" r:id="rId8"/>
      <w:pgSz w:w="11906" w:h="16838"/>
      <w:pgMar w:top="-1846" w:right="1134" w:bottom="851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03E11D" w16cex:dateUtc="2026-06-12T10:50:00Z"/>
  <w16cex:commentExtensible w16cex:durableId="32B7A300" w16cex:dateUtc="2026-06-15T13:53:00Z"/>
  <w16cex:commentExtensible w16cex:durableId="78757779" w16cex:dateUtc="2026-06-12T10:39:00Z"/>
  <w16cex:commentExtensible w16cex:durableId="4EFF10FA" w16cex:dateUtc="2026-06-12T10:40:00Z"/>
  <w16cex:commentExtensible w16cex:durableId="578893A3" w16cex:dateUtc="2026-06-12T12:39:00Z"/>
  <w16cex:commentExtensible w16cex:durableId="74E04695" w16cex:dateUtc="2026-06-12T10:40:00Z"/>
  <w16cex:commentExtensible w16cex:durableId="7987A2ED" w16cex:dateUtc="2026-06-12T10:53:00Z"/>
  <w16cex:commentExtensible w16cex:durableId="4418DEC3" w16cex:dateUtc="2026-06-12T12:46:00Z"/>
  <w16cex:commentExtensible w16cex:durableId="3BB41851" w16cex:dateUtc="2026-06-12T10:54:00Z"/>
  <w16cex:commentExtensible w16cex:durableId="46DE46EE" w16cex:dateUtc="2026-06-12T10:55:00Z"/>
  <w16cex:commentExtensible w16cex:durableId="15F25F75" w16cex:dateUtc="2026-06-12T10:55:00Z"/>
  <w16cex:commentExtensible w16cex:durableId="7B512615" w16cex:dateUtc="2026-06-12T12:50:00Z"/>
  <w16cex:commentExtensible w16cex:durableId="3C26054E" w16cex:dateUtc="2026-06-12T11:07:00Z"/>
  <w16cex:commentExtensible w16cex:durableId="332C4423" w16cex:dateUtc="2026-06-12T10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95CFE" w14:textId="77777777" w:rsidR="00C01548" w:rsidRDefault="00C01548">
      <w:r>
        <w:separator/>
      </w:r>
    </w:p>
  </w:endnote>
  <w:endnote w:type="continuationSeparator" w:id="0">
    <w:p w14:paraId="48018950" w14:textId="77777777" w:rsidR="00C01548" w:rsidRDefault="00C0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A8199" w14:textId="77777777" w:rsidR="00C01548" w:rsidRDefault="00C01548">
      <w:r>
        <w:separator/>
      </w:r>
    </w:p>
  </w:footnote>
  <w:footnote w:type="continuationSeparator" w:id="0">
    <w:p w14:paraId="12E73689" w14:textId="77777777" w:rsidR="00C01548" w:rsidRDefault="00C01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9326B" w14:textId="2A029245" w:rsidR="00957DAF" w:rsidRPr="00873BD6" w:rsidRDefault="005C7A44" w:rsidP="00873BD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D6EFBB" wp14:editId="38E0638A">
          <wp:simplePos x="0" y="0"/>
          <wp:positionH relativeFrom="column">
            <wp:posOffset>-635</wp:posOffset>
          </wp:positionH>
          <wp:positionV relativeFrom="page">
            <wp:posOffset>696595</wp:posOffset>
          </wp:positionV>
          <wp:extent cx="5761355" cy="737870"/>
          <wp:effectExtent l="0" t="0" r="0" b="5080"/>
          <wp:wrapTopAndBottom/>
          <wp:docPr id="130550149" name="Obraz 130550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A574EBC"/>
    <w:multiLevelType w:val="hybridMultilevel"/>
    <w:tmpl w:val="54828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2D5CE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A1DB8"/>
    <w:multiLevelType w:val="hybridMultilevel"/>
    <w:tmpl w:val="43E0587C"/>
    <w:lvl w:ilvl="0" w:tplc="9D2AF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3575"/>
    <w:multiLevelType w:val="hybridMultilevel"/>
    <w:tmpl w:val="23A85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E487E"/>
    <w:multiLevelType w:val="multilevel"/>
    <w:tmpl w:val="2A5C749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38D1E82"/>
    <w:multiLevelType w:val="hybridMultilevel"/>
    <w:tmpl w:val="1340F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13905"/>
    <w:multiLevelType w:val="hybridMultilevel"/>
    <w:tmpl w:val="7FCE98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642693B"/>
    <w:multiLevelType w:val="hybridMultilevel"/>
    <w:tmpl w:val="B23AD2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D70A27"/>
    <w:multiLevelType w:val="hybridMultilevel"/>
    <w:tmpl w:val="38789A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411E7B"/>
    <w:multiLevelType w:val="hybridMultilevel"/>
    <w:tmpl w:val="14742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230C8"/>
    <w:multiLevelType w:val="hybridMultilevel"/>
    <w:tmpl w:val="6C02F9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42701EB"/>
    <w:multiLevelType w:val="hybridMultilevel"/>
    <w:tmpl w:val="11681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F0FE9"/>
    <w:multiLevelType w:val="hybridMultilevel"/>
    <w:tmpl w:val="59489DFE"/>
    <w:lvl w:ilvl="0" w:tplc="9D2AF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93D62"/>
    <w:multiLevelType w:val="hybridMultilevel"/>
    <w:tmpl w:val="4E50A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E5B12"/>
    <w:multiLevelType w:val="hybridMultilevel"/>
    <w:tmpl w:val="204EA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C4F1F"/>
    <w:multiLevelType w:val="multilevel"/>
    <w:tmpl w:val="198E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3D714D"/>
    <w:multiLevelType w:val="hybridMultilevel"/>
    <w:tmpl w:val="7EE22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6663"/>
    <w:multiLevelType w:val="hybridMultilevel"/>
    <w:tmpl w:val="53BEE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D6D73"/>
    <w:multiLevelType w:val="hybridMultilevel"/>
    <w:tmpl w:val="23AE3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6122B"/>
    <w:multiLevelType w:val="hybridMultilevel"/>
    <w:tmpl w:val="E6501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B510D"/>
    <w:multiLevelType w:val="hybridMultilevel"/>
    <w:tmpl w:val="440AC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4067C"/>
    <w:multiLevelType w:val="hybridMultilevel"/>
    <w:tmpl w:val="ED80F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5166F"/>
    <w:multiLevelType w:val="hybridMultilevel"/>
    <w:tmpl w:val="0668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65942"/>
    <w:multiLevelType w:val="hybridMultilevel"/>
    <w:tmpl w:val="1843BE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EFC3EB1"/>
    <w:multiLevelType w:val="hybridMultilevel"/>
    <w:tmpl w:val="93AA8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7452B"/>
    <w:multiLevelType w:val="hybridMultilevel"/>
    <w:tmpl w:val="05EA24D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51D61E6"/>
    <w:multiLevelType w:val="hybridMultilevel"/>
    <w:tmpl w:val="8354B2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B2723"/>
    <w:multiLevelType w:val="hybridMultilevel"/>
    <w:tmpl w:val="66C4E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B56CC"/>
    <w:multiLevelType w:val="hybridMultilevel"/>
    <w:tmpl w:val="7F9855A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EB97FAE"/>
    <w:multiLevelType w:val="hybridMultilevel"/>
    <w:tmpl w:val="40E2A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73ED0"/>
    <w:multiLevelType w:val="hybridMultilevel"/>
    <w:tmpl w:val="066E0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368CB"/>
    <w:multiLevelType w:val="hybridMultilevel"/>
    <w:tmpl w:val="C42A3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20BF2"/>
    <w:multiLevelType w:val="hybridMultilevel"/>
    <w:tmpl w:val="7D42F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F06BC"/>
    <w:multiLevelType w:val="hybridMultilevel"/>
    <w:tmpl w:val="3238D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1792E"/>
    <w:multiLevelType w:val="hybridMultilevel"/>
    <w:tmpl w:val="FB14CB32"/>
    <w:lvl w:ilvl="0" w:tplc="B908D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18"/>
  </w:num>
  <w:num w:numId="4">
    <w:abstractNumId w:val="33"/>
  </w:num>
  <w:num w:numId="5">
    <w:abstractNumId w:val="15"/>
  </w:num>
  <w:num w:numId="6">
    <w:abstractNumId w:val="11"/>
  </w:num>
  <w:num w:numId="7">
    <w:abstractNumId w:val="26"/>
  </w:num>
  <w:num w:numId="8">
    <w:abstractNumId w:val="3"/>
  </w:num>
  <w:num w:numId="9">
    <w:abstractNumId w:val="13"/>
  </w:num>
  <w:num w:numId="10">
    <w:abstractNumId w:val="36"/>
  </w:num>
  <w:num w:numId="11">
    <w:abstractNumId w:val="19"/>
  </w:num>
  <w:num w:numId="12">
    <w:abstractNumId w:val="14"/>
  </w:num>
  <w:num w:numId="13">
    <w:abstractNumId w:val="4"/>
  </w:num>
  <w:num w:numId="14">
    <w:abstractNumId w:val="12"/>
  </w:num>
  <w:num w:numId="15">
    <w:abstractNumId w:val="32"/>
  </w:num>
  <w:num w:numId="16">
    <w:abstractNumId w:val="5"/>
  </w:num>
  <w:num w:numId="17">
    <w:abstractNumId w:val="34"/>
  </w:num>
  <w:num w:numId="18">
    <w:abstractNumId w:val="22"/>
  </w:num>
  <w:num w:numId="19">
    <w:abstractNumId w:val="24"/>
  </w:num>
  <w:num w:numId="20">
    <w:abstractNumId w:val="16"/>
  </w:num>
  <w:num w:numId="21">
    <w:abstractNumId w:val="7"/>
  </w:num>
  <w:num w:numId="22">
    <w:abstractNumId w:val="23"/>
  </w:num>
  <w:num w:numId="23">
    <w:abstractNumId w:val="20"/>
  </w:num>
  <w:num w:numId="24">
    <w:abstractNumId w:val="29"/>
  </w:num>
  <w:num w:numId="25">
    <w:abstractNumId w:val="10"/>
  </w:num>
  <w:num w:numId="26">
    <w:abstractNumId w:val="8"/>
  </w:num>
  <w:num w:numId="27">
    <w:abstractNumId w:val="28"/>
  </w:num>
  <w:num w:numId="28">
    <w:abstractNumId w:val="35"/>
  </w:num>
  <w:num w:numId="29">
    <w:abstractNumId w:val="31"/>
  </w:num>
  <w:num w:numId="30">
    <w:abstractNumId w:val="21"/>
  </w:num>
  <w:num w:numId="31">
    <w:abstractNumId w:val="25"/>
  </w:num>
  <w:num w:numId="32">
    <w:abstractNumId w:val="17"/>
  </w:num>
  <w:num w:numId="33">
    <w:abstractNumId w:val="9"/>
  </w:num>
  <w:num w:numId="34">
    <w:abstractNumId w:val="27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26"/>
    <w:rsid w:val="000000B3"/>
    <w:rsid w:val="00000C25"/>
    <w:rsid w:val="00001883"/>
    <w:rsid w:val="00002BC1"/>
    <w:rsid w:val="00004289"/>
    <w:rsid w:val="00004F10"/>
    <w:rsid w:val="00005F78"/>
    <w:rsid w:val="0000782E"/>
    <w:rsid w:val="00010FF2"/>
    <w:rsid w:val="00011B56"/>
    <w:rsid w:val="00015AFC"/>
    <w:rsid w:val="00017EEC"/>
    <w:rsid w:val="00020031"/>
    <w:rsid w:val="000230AA"/>
    <w:rsid w:val="00032A6F"/>
    <w:rsid w:val="00032DE2"/>
    <w:rsid w:val="00044485"/>
    <w:rsid w:val="000504BC"/>
    <w:rsid w:val="00051025"/>
    <w:rsid w:val="000518F7"/>
    <w:rsid w:val="000527FB"/>
    <w:rsid w:val="00060C84"/>
    <w:rsid w:val="00063EED"/>
    <w:rsid w:val="000648D4"/>
    <w:rsid w:val="000665B3"/>
    <w:rsid w:val="00072283"/>
    <w:rsid w:val="0007348E"/>
    <w:rsid w:val="00073A41"/>
    <w:rsid w:val="000750F0"/>
    <w:rsid w:val="00077C39"/>
    <w:rsid w:val="00080D38"/>
    <w:rsid w:val="00081C4D"/>
    <w:rsid w:val="00083B09"/>
    <w:rsid w:val="00091044"/>
    <w:rsid w:val="00094199"/>
    <w:rsid w:val="000A49C4"/>
    <w:rsid w:val="000A67F0"/>
    <w:rsid w:val="000A7E8A"/>
    <w:rsid w:val="000B2917"/>
    <w:rsid w:val="000B7A1D"/>
    <w:rsid w:val="000B7BD5"/>
    <w:rsid w:val="000C3644"/>
    <w:rsid w:val="000C3F61"/>
    <w:rsid w:val="000C792C"/>
    <w:rsid w:val="000D0054"/>
    <w:rsid w:val="000D46C4"/>
    <w:rsid w:val="000D7942"/>
    <w:rsid w:val="000E67EC"/>
    <w:rsid w:val="000E7508"/>
    <w:rsid w:val="000F06BF"/>
    <w:rsid w:val="000F13E5"/>
    <w:rsid w:val="000F2191"/>
    <w:rsid w:val="00100644"/>
    <w:rsid w:val="001020F6"/>
    <w:rsid w:val="0011334F"/>
    <w:rsid w:val="001200CE"/>
    <w:rsid w:val="00120973"/>
    <w:rsid w:val="00120A1B"/>
    <w:rsid w:val="00120CFE"/>
    <w:rsid w:val="0012299A"/>
    <w:rsid w:val="00123D21"/>
    <w:rsid w:val="00125F80"/>
    <w:rsid w:val="001420E4"/>
    <w:rsid w:val="00142448"/>
    <w:rsid w:val="001436CF"/>
    <w:rsid w:val="00143F9F"/>
    <w:rsid w:val="001456A2"/>
    <w:rsid w:val="00145FB5"/>
    <w:rsid w:val="001515E0"/>
    <w:rsid w:val="0015267A"/>
    <w:rsid w:val="00155A97"/>
    <w:rsid w:val="00177990"/>
    <w:rsid w:val="00181121"/>
    <w:rsid w:val="00182D1B"/>
    <w:rsid w:val="00186DAE"/>
    <w:rsid w:val="00190BF4"/>
    <w:rsid w:val="00195DF7"/>
    <w:rsid w:val="0019715C"/>
    <w:rsid w:val="00197CDE"/>
    <w:rsid w:val="001A035F"/>
    <w:rsid w:val="001A0858"/>
    <w:rsid w:val="001A5668"/>
    <w:rsid w:val="001B4626"/>
    <w:rsid w:val="001B4D3C"/>
    <w:rsid w:val="001B61FC"/>
    <w:rsid w:val="001B76EC"/>
    <w:rsid w:val="001C2297"/>
    <w:rsid w:val="001C4519"/>
    <w:rsid w:val="001D1919"/>
    <w:rsid w:val="001D3F6E"/>
    <w:rsid w:val="001E330D"/>
    <w:rsid w:val="001F41F5"/>
    <w:rsid w:val="001F6A4A"/>
    <w:rsid w:val="00201CEF"/>
    <w:rsid w:val="00206D50"/>
    <w:rsid w:val="00207621"/>
    <w:rsid w:val="00213BC5"/>
    <w:rsid w:val="00215303"/>
    <w:rsid w:val="00215DD4"/>
    <w:rsid w:val="002235D7"/>
    <w:rsid w:val="00234697"/>
    <w:rsid w:val="00274CB0"/>
    <w:rsid w:val="00276B8A"/>
    <w:rsid w:val="00280AE2"/>
    <w:rsid w:val="00280E75"/>
    <w:rsid w:val="00282609"/>
    <w:rsid w:val="00282A7E"/>
    <w:rsid w:val="00284916"/>
    <w:rsid w:val="00284CC7"/>
    <w:rsid w:val="0029042E"/>
    <w:rsid w:val="00290C49"/>
    <w:rsid w:val="00292647"/>
    <w:rsid w:val="0029371B"/>
    <w:rsid w:val="002A017A"/>
    <w:rsid w:val="002A0E3E"/>
    <w:rsid w:val="002A10A9"/>
    <w:rsid w:val="002A368A"/>
    <w:rsid w:val="002A51EE"/>
    <w:rsid w:val="002A7446"/>
    <w:rsid w:val="002B03C9"/>
    <w:rsid w:val="002B141F"/>
    <w:rsid w:val="002B3899"/>
    <w:rsid w:val="002B4C99"/>
    <w:rsid w:val="002C2A3E"/>
    <w:rsid w:val="002C7CEA"/>
    <w:rsid w:val="002D4BD5"/>
    <w:rsid w:val="002E3445"/>
    <w:rsid w:val="002E4A96"/>
    <w:rsid w:val="002E5DD6"/>
    <w:rsid w:val="002E5F74"/>
    <w:rsid w:val="002E614A"/>
    <w:rsid w:val="002E6E85"/>
    <w:rsid w:val="002E758B"/>
    <w:rsid w:val="002F3F26"/>
    <w:rsid w:val="002F5111"/>
    <w:rsid w:val="002F6009"/>
    <w:rsid w:val="002F79F3"/>
    <w:rsid w:val="002F7E02"/>
    <w:rsid w:val="00300F99"/>
    <w:rsid w:val="00302BF4"/>
    <w:rsid w:val="003047EF"/>
    <w:rsid w:val="00311431"/>
    <w:rsid w:val="003140D6"/>
    <w:rsid w:val="003141E5"/>
    <w:rsid w:val="0032234A"/>
    <w:rsid w:val="00322820"/>
    <w:rsid w:val="00333E0C"/>
    <w:rsid w:val="003409A1"/>
    <w:rsid w:val="0034237C"/>
    <w:rsid w:val="00342D47"/>
    <w:rsid w:val="00344497"/>
    <w:rsid w:val="00351369"/>
    <w:rsid w:val="00353803"/>
    <w:rsid w:val="003538AF"/>
    <w:rsid w:val="003565D7"/>
    <w:rsid w:val="0036578B"/>
    <w:rsid w:val="00372EF3"/>
    <w:rsid w:val="00373DA4"/>
    <w:rsid w:val="003748FC"/>
    <w:rsid w:val="00377C31"/>
    <w:rsid w:val="00380008"/>
    <w:rsid w:val="0038196A"/>
    <w:rsid w:val="00385E92"/>
    <w:rsid w:val="00386519"/>
    <w:rsid w:val="003873E4"/>
    <w:rsid w:val="00394C3C"/>
    <w:rsid w:val="003A0140"/>
    <w:rsid w:val="003A07BE"/>
    <w:rsid w:val="003A25EE"/>
    <w:rsid w:val="003A4901"/>
    <w:rsid w:val="003A64CB"/>
    <w:rsid w:val="003B0898"/>
    <w:rsid w:val="003B286D"/>
    <w:rsid w:val="003B7F8B"/>
    <w:rsid w:val="003C3535"/>
    <w:rsid w:val="003C57CE"/>
    <w:rsid w:val="003C6D87"/>
    <w:rsid w:val="003C7360"/>
    <w:rsid w:val="003D38BC"/>
    <w:rsid w:val="003D700E"/>
    <w:rsid w:val="003E1A74"/>
    <w:rsid w:val="003E44C9"/>
    <w:rsid w:val="003F1074"/>
    <w:rsid w:val="003F6623"/>
    <w:rsid w:val="003F6674"/>
    <w:rsid w:val="003F6C75"/>
    <w:rsid w:val="003F705A"/>
    <w:rsid w:val="0041346E"/>
    <w:rsid w:val="00417B19"/>
    <w:rsid w:val="0042205A"/>
    <w:rsid w:val="004318E6"/>
    <w:rsid w:val="00436A9D"/>
    <w:rsid w:val="0044229D"/>
    <w:rsid w:val="00443C1F"/>
    <w:rsid w:val="004445ED"/>
    <w:rsid w:val="00453918"/>
    <w:rsid w:val="00462433"/>
    <w:rsid w:val="00464C81"/>
    <w:rsid w:val="00472E3D"/>
    <w:rsid w:val="00475E6D"/>
    <w:rsid w:val="004769DC"/>
    <w:rsid w:val="00477A71"/>
    <w:rsid w:val="0048024A"/>
    <w:rsid w:val="00481350"/>
    <w:rsid w:val="004828CF"/>
    <w:rsid w:val="00482D22"/>
    <w:rsid w:val="00484E98"/>
    <w:rsid w:val="004867FD"/>
    <w:rsid w:val="004901E0"/>
    <w:rsid w:val="00490782"/>
    <w:rsid w:val="0049661E"/>
    <w:rsid w:val="00497792"/>
    <w:rsid w:val="004A329B"/>
    <w:rsid w:val="004B2D7B"/>
    <w:rsid w:val="004B3627"/>
    <w:rsid w:val="004C3999"/>
    <w:rsid w:val="004C7581"/>
    <w:rsid w:val="004D1160"/>
    <w:rsid w:val="004D222C"/>
    <w:rsid w:val="004E0737"/>
    <w:rsid w:val="004E7C8F"/>
    <w:rsid w:val="004F2C97"/>
    <w:rsid w:val="004F4C52"/>
    <w:rsid w:val="004F75A7"/>
    <w:rsid w:val="0050049B"/>
    <w:rsid w:val="00501B12"/>
    <w:rsid w:val="00503AB7"/>
    <w:rsid w:val="005051AA"/>
    <w:rsid w:val="005133BB"/>
    <w:rsid w:val="00515964"/>
    <w:rsid w:val="005159C9"/>
    <w:rsid w:val="00523115"/>
    <w:rsid w:val="005246A4"/>
    <w:rsid w:val="0052516D"/>
    <w:rsid w:val="00525506"/>
    <w:rsid w:val="005432B6"/>
    <w:rsid w:val="005465A3"/>
    <w:rsid w:val="00546B5E"/>
    <w:rsid w:val="00547EA1"/>
    <w:rsid w:val="0055297C"/>
    <w:rsid w:val="0055500A"/>
    <w:rsid w:val="00556269"/>
    <w:rsid w:val="0055727E"/>
    <w:rsid w:val="00560F39"/>
    <w:rsid w:val="00562816"/>
    <w:rsid w:val="005631A4"/>
    <w:rsid w:val="00565300"/>
    <w:rsid w:val="00567BE0"/>
    <w:rsid w:val="00567F39"/>
    <w:rsid w:val="005714DD"/>
    <w:rsid w:val="00573E66"/>
    <w:rsid w:val="0057729B"/>
    <w:rsid w:val="0058016F"/>
    <w:rsid w:val="005811BA"/>
    <w:rsid w:val="00582991"/>
    <w:rsid w:val="00583947"/>
    <w:rsid w:val="0059083D"/>
    <w:rsid w:val="005943A4"/>
    <w:rsid w:val="005A17AE"/>
    <w:rsid w:val="005A1E8A"/>
    <w:rsid w:val="005A311C"/>
    <w:rsid w:val="005A338A"/>
    <w:rsid w:val="005A7B41"/>
    <w:rsid w:val="005B045B"/>
    <w:rsid w:val="005B3166"/>
    <w:rsid w:val="005C2313"/>
    <w:rsid w:val="005C29B5"/>
    <w:rsid w:val="005C4267"/>
    <w:rsid w:val="005C4713"/>
    <w:rsid w:val="005C6C59"/>
    <w:rsid w:val="005C7A44"/>
    <w:rsid w:val="005D5D92"/>
    <w:rsid w:val="005D5FB2"/>
    <w:rsid w:val="005D6317"/>
    <w:rsid w:val="005D67FE"/>
    <w:rsid w:val="005E2D34"/>
    <w:rsid w:val="005E4E66"/>
    <w:rsid w:val="005E7EB3"/>
    <w:rsid w:val="005F003C"/>
    <w:rsid w:val="005F3417"/>
    <w:rsid w:val="005F37A8"/>
    <w:rsid w:val="005F54A6"/>
    <w:rsid w:val="005F67B6"/>
    <w:rsid w:val="0060357A"/>
    <w:rsid w:val="00606086"/>
    <w:rsid w:val="006154D1"/>
    <w:rsid w:val="00622966"/>
    <w:rsid w:val="00630210"/>
    <w:rsid w:val="00632C69"/>
    <w:rsid w:val="00633499"/>
    <w:rsid w:val="00645AF8"/>
    <w:rsid w:val="00652165"/>
    <w:rsid w:val="00654916"/>
    <w:rsid w:val="00655199"/>
    <w:rsid w:val="00655B22"/>
    <w:rsid w:val="00655DE5"/>
    <w:rsid w:val="00660353"/>
    <w:rsid w:val="00661C1C"/>
    <w:rsid w:val="00661C3A"/>
    <w:rsid w:val="00663939"/>
    <w:rsid w:val="00665560"/>
    <w:rsid w:val="006671B1"/>
    <w:rsid w:val="006701C6"/>
    <w:rsid w:val="00675336"/>
    <w:rsid w:val="00681A4A"/>
    <w:rsid w:val="00683D95"/>
    <w:rsid w:val="00683DC9"/>
    <w:rsid w:val="006844CE"/>
    <w:rsid w:val="00690CCC"/>
    <w:rsid w:val="0069655B"/>
    <w:rsid w:val="006A0562"/>
    <w:rsid w:val="006A6501"/>
    <w:rsid w:val="006A7829"/>
    <w:rsid w:val="006B0220"/>
    <w:rsid w:val="006B51BD"/>
    <w:rsid w:val="006B6BE2"/>
    <w:rsid w:val="006C291E"/>
    <w:rsid w:val="006C4375"/>
    <w:rsid w:val="006D11F6"/>
    <w:rsid w:val="006D44DB"/>
    <w:rsid w:val="006D4B41"/>
    <w:rsid w:val="006E3CA0"/>
    <w:rsid w:val="006E4436"/>
    <w:rsid w:val="006F0E53"/>
    <w:rsid w:val="006F5CE9"/>
    <w:rsid w:val="0070189D"/>
    <w:rsid w:val="007110D4"/>
    <w:rsid w:val="00716611"/>
    <w:rsid w:val="00730C4D"/>
    <w:rsid w:val="0073135B"/>
    <w:rsid w:val="00747A63"/>
    <w:rsid w:val="00750A5D"/>
    <w:rsid w:val="00751FD1"/>
    <w:rsid w:val="00752493"/>
    <w:rsid w:val="007544B3"/>
    <w:rsid w:val="007562EC"/>
    <w:rsid w:val="00756C44"/>
    <w:rsid w:val="00757157"/>
    <w:rsid w:val="007636F1"/>
    <w:rsid w:val="00764A20"/>
    <w:rsid w:val="00775C1D"/>
    <w:rsid w:val="00777851"/>
    <w:rsid w:val="00781293"/>
    <w:rsid w:val="00790B14"/>
    <w:rsid w:val="007930AC"/>
    <w:rsid w:val="00796871"/>
    <w:rsid w:val="007A5C35"/>
    <w:rsid w:val="007A628E"/>
    <w:rsid w:val="007B1996"/>
    <w:rsid w:val="007B383B"/>
    <w:rsid w:val="007B5AE6"/>
    <w:rsid w:val="007C1076"/>
    <w:rsid w:val="007C4BFD"/>
    <w:rsid w:val="007D0783"/>
    <w:rsid w:val="007D59A1"/>
    <w:rsid w:val="007F0626"/>
    <w:rsid w:val="007F1F8B"/>
    <w:rsid w:val="007F5966"/>
    <w:rsid w:val="0080261F"/>
    <w:rsid w:val="00806B46"/>
    <w:rsid w:val="00807B6E"/>
    <w:rsid w:val="0081384B"/>
    <w:rsid w:val="00815992"/>
    <w:rsid w:val="00817103"/>
    <w:rsid w:val="008202FE"/>
    <w:rsid w:val="00821589"/>
    <w:rsid w:val="0083228A"/>
    <w:rsid w:val="00832548"/>
    <w:rsid w:val="00835AAF"/>
    <w:rsid w:val="008450A0"/>
    <w:rsid w:val="0084518C"/>
    <w:rsid w:val="0084737C"/>
    <w:rsid w:val="008610D8"/>
    <w:rsid w:val="00861BB0"/>
    <w:rsid w:val="00864CF3"/>
    <w:rsid w:val="0087032D"/>
    <w:rsid w:val="00873BD6"/>
    <w:rsid w:val="00874C00"/>
    <w:rsid w:val="008812C5"/>
    <w:rsid w:val="008819B6"/>
    <w:rsid w:val="00884EF8"/>
    <w:rsid w:val="00890E09"/>
    <w:rsid w:val="0089411A"/>
    <w:rsid w:val="008A0257"/>
    <w:rsid w:val="008A23DA"/>
    <w:rsid w:val="008B25C0"/>
    <w:rsid w:val="008B44F3"/>
    <w:rsid w:val="008B4F41"/>
    <w:rsid w:val="008C282C"/>
    <w:rsid w:val="008C3AF8"/>
    <w:rsid w:val="008C73EE"/>
    <w:rsid w:val="008D105F"/>
    <w:rsid w:val="008D30C9"/>
    <w:rsid w:val="008E1AE6"/>
    <w:rsid w:val="008E23E5"/>
    <w:rsid w:val="008E3AC2"/>
    <w:rsid w:val="008E4395"/>
    <w:rsid w:val="008F2296"/>
    <w:rsid w:val="008F3D6D"/>
    <w:rsid w:val="008F743B"/>
    <w:rsid w:val="008F75E6"/>
    <w:rsid w:val="009049AE"/>
    <w:rsid w:val="00904E8C"/>
    <w:rsid w:val="00907A8B"/>
    <w:rsid w:val="00907E91"/>
    <w:rsid w:val="00914ECC"/>
    <w:rsid w:val="00916575"/>
    <w:rsid w:val="00920E34"/>
    <w:rsid w:val="00921B89"/>
    <w:rsid w:val="009238DE"/>
    <w:rsid w:val="00923D52"/>
    <w:rsid w:val="0092433F"/>
    <w:rsid w:val="00924843"/>
    <w:rsid w:val="009261A1"/>
    <w:rsid w:val="009274DF"/>
    <w:rsid w:val="009409FE"/>
    <w:rsid w:val="0094679D"/>
    <w:rsid w:val="00955D28"/>
    <w:rsid w:val="00956749"/>
    <w:rsid w:val="00957C80"/>
    <w:rsid w:val="00957DAF"/>
    <w:rsid w:val="00963B72"/>
    <w:rsid w:val="009721A7"/>
    <w:rsid w:val="00972918"/>
    <w:rsid w:val="00976106"/>
    <w:rsid w:val="0097704D"/>
    <w:rsid w:val="0097721C"/>
    <w:rsid w:val="00983B9D"/>
    <w:rsid w:val="009876C3"/>
    <w:rsid w:val="00992A71"/>
    <w:rsid w:val="009977DA"/>
    <w:rsid w:val="009A21AD"/>
    <w:rsid w:val="009A2D8A"/>
    <w:rsid w:val="009B64D0"/>
    <w:rsid w:val="009B6EFF"/>
    <w:rsid w:val="009B7B6E"/>
    <w:rsid w:val="009C11EC"/>
    <w:rsid w:val="009C6796"/>
    <w:rsid w:val="009C7F5D"/>
    <w:rsid w:val="009D05D6"/>
    <w:rsid w:val="009D29CD"/>
    <w:rsid w:val="009D33C2"/>
    <w:rsid w:val="009D3B7A"/>
    <w:rsid w:val="009D62AB"/>
    <w:rsid w:val="009D7486"/>
    <w:rsid w:val="009E1B59"/>
    <w:rsid w:val="009E2D99"/>
    <w:rsid w:val="009E3AD9"/>
    <w:rsid w:val="009E4E6A"/>
    <w:rsid w:val="009E6C69"/>
    <w:rsid w:val="009E6D8F"/>
    <w:rsid w:val="009E7332"/>
    <w:rsid w:val="009F1696"/>
    <w:rsid w:val="009F4B12"/>
    <w:rsid w:val="009F62CA"/>
    <w:rsid w:val="009F6B66"/>
    <w:rsid w:val="00A01167"/>
    <w:rsid w:val="00A03CC6"/>
    <w:rsid w:val="00A04199"/>
    <w:rsid w:val="00A11735"/>
    <w:rsid w:val="00A14870"/>
    <w:rsid w:val="00A14AF3"/>
    <w:rsid w:val="00A16ABC"/>
    <w:rsid w:val="00A16ADB"/>
    <w:rsid w:val="00A218C6"/>
    <w:rsid w:val="00A2252D"/>
    <w:rsid w:val="00A27499"/>
    <w:rsid w:val="00A356B7"/>
    <w:rsid w:val="00A45319"/>
    <w:rsid w:val="00A501E4"/>
    <w:rsid w:val="00A54971"/>
    <w:rsid w:val="00A570AA"/>
    <w:rsid w:val="00A678ED"/>
    <w:rsid w:val="00A67BE5"/>
    <w:rsid w:val="00A67E7A"/>
    <w:rsid w:val="00A712CE"/>
    <w:rsid w:val="00A72255"/>
    <w:rsid w:val="00A73D01"/>
    <w:rsid w:val="00A751EE"/>
    <w:rsid w:val="00A84073"/>
    <w:rsid w:val="00A857A5"/>
    <w:rsid w:val="00A87A71"/>
    <w:rsid w:val="00A950DA"/>
    <w:rsid w:val="00A96EB9"/>
    <w:rsid w:val="00AA61BC"/>
    <w:rsid w:val="00AA6FBA"/>
    <w:rsid w:val="00AB0E69"/>
    <w:rsid w:val="00AB1CC6"/>
    <w:rsid w:val="00AB2274"/>
    <w:rsid w:val="00AB4865"/>
    <w:rsid w:val="00AB4C75"/>
    <w:rsid w:val="00AB5C99"/>
    <w:rsid w:val="00AB74A8"/>
    <w:rsid w:val="00AC2C9C"/>
    <w:rsid w:val="00AC37E3"/>
    <w:rsid w:val="00AC58AE"/>
    <w:rsid w:val="00AC6678"/>
    <w:rsid w:val="00AD058C"/>
    <w:rsid w:val="00AD56DB"/>
    <w:rsid w:val="00AE07BD"/>
    <w:rsid w:val="00AE1425"/>
    <w:rsid w:val="00AE21E7"/>
    <w:rsid w:val="00AE2802"/>
    <w:rsid w:val="00AE3027"/>
    <w:rsid w:val="00AE5C4C"/>
    <w:rsid w:val="00AF0B4E"/>
    <w:rsid w:val="00AF7E21"/>
    <w:rsid w:val="00B00045"/>
    <w:rsid w:val="00B0127E"/>
    <w:rsid w:val="00B048CC"/>
    <w:rsid w:val="00B067BE"/>
    <w:rsid w:val="00B06A79"/>
    <w:rsid w:val="00B16FB9"/>
    <w:rsid w:val="00B2471B"/>
    <w:rsid w:val="00B25982"/>
    <w:rsid w:val="00B3040B"/>
    <w:rsid w:val="00B33A81"/>
    <w:rsid w:val="00B3491A"/>
    <w:rsid w:val="00B50B5A"/>
    <w:rsid w:val="00B51972"/>
    <w:rsid w:val="00B5303C"/>
    <w:rsid w:val="00B53CDF"/>
    <w:rsid w:val="00B64C2C"/>
    <w:rsid w:val="00B64D77"/>
    <w:rsid w:val="00B70F7D"/>
    <w:rsid w:val="00B719FF"/>
    <w:rsid w:val="00B72269"/>
    <w:rsid w:val="00B76FA4"/>
    <w:rsid w:val="00B772EF"/>
    <w:rsid w:val="00B77EC6"/>
    <w:rsid w:val="00B80F45"/>
    <w:rsid w:val="00B87469"/>
    <w:rsid w:val="00B91EB1"/>
    <w:rsid w:val="00B94856"/>
    <w:rsid w:val="00B96A8F"/>
    <w:rsid w:val="00BA41DE"/>
    <w:rsid w:val="00BA56B6"/>
    <w:rsid w:val="00BB2B96"/>
    <w:rsid w:val="00BC057C"/>
    <w:rsid w:val="00BC0BD9"/>
    <w:rsid w:val="00BC2608"/>
    <w:rsid w:val="00BC521A"/>
    <w:rsid w:val="00BC5973"/>
    <w:rsid w:val="00BC5C26"/>
    <w:rsid w:val="00BD5E62"/>
    <w:rsid w:val="00BD622D"/>
    <w:rsid w:val="00BD64BA"/>
    <w:rsid w:val="00BD6CEA"/>
    <w:rsid w:val="00BE0C3E"/>
    <w:rsid w:val="00BE2B45"/>
    <w:rsid w:val="00BE5276"/>
    <w:rsid w:val="00BE60B0"/>
    <w:rsid w:val="00BE6683"/>
    <w:rsid w:val="00BF10AA"/>
    <w:rsid w:val="00BF1241"/>
    <w:rsid w:val="00BF2FF9"/>
    <w:rsid w:val="00BF3E52"/>
    <w:rsid w:val="00BF4CE2"/>
    <w:rsid w:val="00C000BB"/>
    <w:rsid w:val="00C006D5"/>
    <w:rsid w:val="00C01548"/>
    <w:rsid w:val="00C03FEE"/>
    <w:rsid w:val="00C04918"/>
    <w:rsid w:val="00C1265D"/>
    <w:rsid w:val="00C157F0"/>
    <w:rsid w:val="00C158AF"/>
    <w:rsid w:val="00C15DC6"/>
    <w:rsid w:val="00C15E3C"/>
    <w:rsid w:val="00C24842"/>
    <w:rsid w:val="00C33613"/>
    <w:rsid w:val="00C40027"/>
    <w:rsid w:val="00C408A0"/>
    <w:rsid w:val="00C44382"/>
    <w:rsid w:val="00C4471E"/>
    <w:rsid w:val="00C53D7D"/>
    <w:rsid w:val="00C545DB"/>
    <w:rsid w:val="00C5674E"/>
    <w:rsid w:val="00C630BB"/>
    <w:rsid w:val="00C663D9"/>
    <w:rsid w:val="00C73BB6"/>
    <w:rsid w:val="00C74A43"/>
    <w:rsid w:val="00C76660"/>
    <w:rsid w:val="00C77220"/>
    <w:rsid w:val="00C803B0"/>
    <w:rsid w:val="00C8374D"/>
    <w:rsid w:val="00C86163"/>
    <w:rsid w:val="00C87B24"/>
    <w:rsid w:val="00C90971"/>
    <w:rsid w:val="00C937BE"/>
    <w:rsid w:val="00C94769"/>
    <w:rsid w:val="00CA11EA"/>
    <w:rsid w:val="00CB114A"/>
    <w:rsid w:val="00CB46D2"/>
    <w:rsid w:val="00CB51A9"/>
    <w:rsid w:val="00CB7177"/>
    <w:rsid w:val="00CB7EE1"/>
    <w:rsid w:val="00CC4EA8"/>
    <w:rsid w:val="00CC672D"/>
    <w:rsid w:val="00CD6F17"/>
    <w:rsid w:val="00CE0E57"/>
    <w:rsid w:val="00CE35DC"/>
    <w:rsid w:val="00CE4474"/>
    <w:rsid w:val="00CE504E"/>
    <w:rsid w:val="00CE5532"/>
    <w:rsid w:val="00CE651A"/>
    <w:rsid w:val="00CE7D6F"/>
    <w:rsid w:val="00CF1707"/>
    <w:rsid w:val="00CF2E36"/>
    <w:rsid w:val="00CF7AEE"/>
    <w:rsid w:val="00D03C04"/>
    <w:rsid w:val="00D03CF1"/>
    <w:rsid w:val="00D04FB0"/>
    <w:rsid w:val="00D07FA3"/>
    <w:rsid w:val="00D114B5"/>
    <w:rsid w:val="00D137F8"/>
    <w:rsid w:val="00D179FB"/>
    <w:rsid w:val="00D17CCB"/>
    <w:rsid w:val="00D24E8F"/>
    <w:rsid w:val="00D252CE"/>
    <w:rsid w:val="00D26914"/>
    <w:rsid w:val="00D27B25"/>
    <w:rsid w:val="00D30A92"/>
    <w:rsid w:val="00D30FD4"/>
    <w:rsid w:val="00D32F8F"/>
    <w:rsid w:val="00D342A5"/>
    <w:rsid w:val="00D34B74"/>
    <w:rsid w:val="00D447E9"/>
    <w:rsid w:val="00D534F1"/>
    <w:rsid w:val="00D556A6"/>
    <w:rsid w:val="00D57976"/>
    <w:rsid w:val="00D612B5"/>
    <w:rsid w:val="00D6410A"/>
    <w:rsid w:val="00D64169"/>
    <w:rsid w:val="00D64331"/>
    <w:rsid w:val="00D670D5"/>
    <w:rsid w:val="00D702E3"/>
    <w:rsid w:val="00D70487"/>
    <w:rsid w:val="00D70A21"/>
    <w:rsid w:val="00D82333"/>
    <w:rsid w:val="00D8368A"/>
    <w:rsid w:val="00D84F26"/>
    <w:rsid w:val="00D8517B"/>
    <w:rsid w:val="00D8524F"/>
    <w:rsid w:val="00D90AA9"/>
    <w:rsid w:val="00D9424B"/>
    <w:rsid w:val="00D95742"/>
    <w:rsid w:val="00D9747F"/>
    <w:rsid w:val="00DA1854"/>
    <w:rsid w:val="00DA3FAB"/>
    <w:rsid w:val="00DA5BFA"/>
    <w:rsid w:val="00DA5C1A"/>
    <w:rsid w:val="00DA771D"/>
    <w:rsid w:val="00DB1027"/>
    <w:rsid w:val="00DB3407"/>
    <w:rsid w:val="00DB3E91"/>
    <w:rsid w:val="00DB7C67"/>
    <w:rsid w:val="00DC0308"/>
    <w:rsid w:val="00DC03B7"/>
    <w:rsid w:val="00DC10AA"/>
    <w:rsid w:val="00DC18A7"/>
    <w:rsid w:val="00DD0F02"/>
    <w:rsid w:val="00DD27D7"/>
    <w:rsid w:val="00DD6C2B"/>
    <w:rsid w:val="00DD74BE"/>
    <w:rsid w:val="00DE0A3F"/>
    <w:rsid w:val="00DE17AB"/>
    <w:rsid w:val="00DE5726"/>
    <w:rsid w:val="00DF07D1"/>
    <w:rsid w:val="00DF6FA0"/>
    <w:rsid w:val="00E00875"/>
    <w:rsid w:val="00E00D99"/>
    <w:rsid w:val="00E01F35"/>
    <w:rsid w:val="00E04FE7"/>
    <w:rsid w:val="00E072CF"/>
    <w:rsid w:val="00E12BE4"/>
    <w:rsid w:val="00E1305D"/>
    <w:rsid w:val="00E145D7"/>
    <w:rsid w:val="00E14D91"/>
    <w:rsid w:val="00E17A06"/>
    <w:rsid w:val="00E17A8D"/>
    <w:rsid w:val="00E17B8C"/>
    <w:rsid w:val="00E21B72"/>
    <w:rsid w:val="00E21B94"/>
    <w:rsid w:val="00E23242"/>
    <w:rsid w:val="00E2547A"/>
    <w:rsid w:val="00E27E21"/>
    <w:rsid w:val="00E31AF8"/>
    <w:rsid w:val="00E32369"/>
    <w:rsid w:val="00E329B9"/>
    <w:rsid w:val="00E34BAE"/>
    <w:rsid w:val="00E35607"/>
    <w:rsid w:val="00E408A4"/>
    <w:rsid w:val="00E40C7B"/>
    <w:rsid w:val="00E40CC9"/>
    <w:rsid w:val="00E40DA9"/>
    <w:rsid w:val="00E42A7D"/>
    <w:rsid w:val="00E433F3"/>
    <w:rsid w:val="00E564AB"/>
    <w:rsid w:val="00E60005"/>
    <w:rsid w:val="00E652BC"/>
    <w:rsid w:val="00E65319"/>
    <w:rsid w:val="00E67835"/>
    <w:rsid w:val="00E80282"/>
    <w:rsid w:val="00E81E62"/>
    <w:rsid w:val="00E82865"/>
    <w:rsid w:val="00E84F4A"/>
    <w:rsid w:val="00E872EC"/>
    <w:rsid w:val="00E87DF1"/>
    <w:rsid w:val="00E87E6C"/>
    <w:rsid w:val="00E90901"/>
    <w:rsid w:val="00E951C6"/>
    <w:rsid w:val="00E96A60"/>
    <w:rsid w:val="00EB08AA"/>
    <w:rsid w:val="00EB7558"/>
    <w:rsid w:val="00EC0BE6"/>
    <w:rsid w:val="00EC52B3"/>
    <w:rsid w:val="00ED1FA4"/>
    <w:rsid w:val="00ED33F9"/>
    <w:rsid w:val="00ED3E31"/>
    <w:rsid w:val="00ED5471"/>
    <w:rsid w:val="00ED66E2"/>
    <w:rsid w:val="00EE1CAF"/>
    <w:rsid w:val="00EE1E08"/>
    <w:rsid w:val="00EF03F5"/>
    <w:rsid w:val="00EF64AF"/>
    <w:rsid w:val="00EF6645"/>
    <w:rsid w:val="00EF7E03"/>
    <w:rsid w:val="00F01F60"/>
    <w:rsid w:val="00F02859"/>
    <w:rsid w:val="00F04B26"/>
    <w:rsid w:val="00F06E3F"/>
    <w:rsid w:val="00F1085B"/>
    <w:rsid w:val="00F12718"/>
    <w:rsid w:val="00F13141"/>
    <w:rsid w:val="00F13AAB"/>
    <w:rsid w:val="00F158C6"/>
    <w:rsid w:val="00F17095"/>
    <w:rsid w:val="00F17C37"/>
    <w:rsid w:val="00F23372"/>
    <w:rsid w:val="00F2494A"/>
    <w:rsid w:val="00F33FAD"/>
    <w:rsid w:val="00F40377"/>
    <w:rsid w:val="00F41DE4"/>
    <w:rsid w:val="00F428BA"/>
    <w:rsid w:val="00F42FF6"/>
    <w:rsid w:val="00F51593"/>
    <w:rsid w:val="00F52DA2"/>
    <w:rsid w:val="00F5590A"/>
    <w:rsid w:val="00F61498"/>
    <w:rsid w:val="00F736A8"/>
    <w:rsid w:val="00F76185"/>
    <w:rsid w:val="00F8245B"/>
    <w:rsid w:val="00F84FA1"/>
    <w:rsid w:val="00F8579E"/>
    <w:rsid w:val="00F85C3F"/>
    <w:rsid w:val="00F86B9F"/>
    <w:rsid w:val="00F91B33"/>
    <w:rsid w:val="00F94561"/>
    <w:rsid w:val="00F956B1"/>
    <w:rsid w:val="00F97ED6"/>
    <w:rsid w:val="00FA7719"/>
    <w:rsid w:val="00FB026D"/>
    <w:rsid w:val="00FC04AF"/>
    <w:rsid w:val="00FC0D2F"/>
    <w:rsid w:val="00FC3582"/>
    <w:rsid w:val="00FD331A"/>
    <w:rsid w:val="00FE1D52"/>
    <w:rsid w:val="00FE691F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878C5"/>
  <w15:docId w15:val="{5C0622FA-EACA-4E29-BDC2-1D667140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3EED"/>
    <w:rPr>
      <w:sz w:val="24"/>
      <w:szCs w:val="24"/>
    </w:rPr>
  </w:style>
  <w:style w:type="paragraph" w:styleId="Nagwek1">
    <w:name w:val="heading 1"/>
    <w:aliases w:val="N1"/>
    <w:basedOn w:val="Normalny"/>
    <w:next w:val="Normalny"/>
    <w:autoRedefine/>
    <w:qFormat/>
    <w:rsid w:val="00005F78"/>
    <w:pPr>
      <w:keepNext/>
      <w:widowControl w:val="0"/>
      <w:numPr>
        <w:numId w:val="1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ormalny"/>
    <w:next w:val="Normalny"/>
    <w:link w:val="Nagwek2Znak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character" w:styleId="Hipercze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ny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17EE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"/>
    <w:link w:val="Nagwek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Nagwek3Znak">
    <w:name w:val="Nagłówek 3 Znak"/>
    <w:link w:val="Nagwek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Akapitzlist">
    <w:name w:val="List Paragraph"/>
    <w:aliases w:val="lp1,Preambuła,Numerowanie,L1,Wypunktowanie,BulletC,Wyliczanie,Obiekt,normalny tekst,Akapit z listą31,Bullets,List Paragraph1,T_SZ_List Paragraph,WYPUNKTOWANIE Akapit z listą,List Paragraph2,Nagłowek 3,Podsis rysunku,Bullet List,FooterText"/>
    <w:basedOn w:val="Normalny"/>
    <w:link w:val="AkapitzlistZnak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lp1 Znak,Preambuła Znak,Numerowanie Znak,L1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005F78"/>
    <w:rPr>
      <w:rFonts w:eastAsia="Calibri"/>
      <w:lang w:val="x-none" w:eastAsia="x-none" w:bidi="ar-SA"/>
    </w:rPr>
  </w:style>
  <w:style w:type="paragraph" w:customStyle="1" w:styleId="TekstPodstawowy0">
    <w:name w:val="Tekst Podstawowy"/>
    <w:basedOn w:val="Normalny"/>
    <w:link w:val="TekstPodstawowyZnak0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0">
    <w:name w:val="Tekst Podstawowy Znak"/>
    <w:link w:val="TekstPodstawowy0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Tekstdymka">
    <w:name w:val="Balloon Text"/>
    <w:basedOn w:val="Normalny"/>
    <w:link w:val="TekstdymkaZnak"/>
    <w:uiPriority w:val="99"/>
    <w:semiHidden/>
    <w:rsid w:val="005714D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BF1241"/>
    <w:rPr>
      <w:sz w:val="20"/>
      <w:szCs w:val="20"/>
    </w:rPr>
  </w:style>
  <w:style w:type="character" w:styleId="Odwoanieprzypisudolnego">
    <w:name w:val="footnote reference"/>
    <w:semiHidden/>
    <w:rsid w:val="00BF1241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B91E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91EB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4F75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F75A7"/>
    <w:rPr>
      <w:sz w:val="16"/>
      <w:szCs w:val="16"/>
    </w:rPr>
  </w:style>
  <w:style w:type="paragraph" w:customStyle="1" w:styleId="ZnakZnak1">
    <w:name w:val="Znak Znak1"/>
    <w:basedOn w:val="Normalny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semiHidden/>
    <w:rsid w:val="00BD5E6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D5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NagwekZnak">
    <w:name w:val="Nagłówek Znak"/>
    <w:link w:val="Nagwek"/>
    <w:uiPriority w:val="99"/>
    <w:rsid w:val="00630210"/>
    <w:rPr>
      <w:sz w:val="24"/>
      <w:szCs w:val="24"/>
    </w:rPr>
  </w:style>
  <w:style w:type="paragraph" w:styleId="NormalnyWeb">
    <w:name w:val="Normal (Web)"/>
    <w:basedOn w:val="Normalny"/>
    <w:rsid w:val="003A25EE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TekstkomentarzaZnak">
    <w:name w:val="Tekst komentarza Znak"/>
    <w:link w:val="Tekstkomentarza"/>
    <w:semiHidden/>
    <w:locked/>
    <w:rsid w:val="00E31AF8"/>
  </w:style>
  <w:style w:type="character" w:customStyle="1" w:styleId="TekstprzypisudolnegoZnak">
    <w:name w:val="Tekst przypisu dolnego Znak"/>
    <w:link w:val="Tekstprzypisudolnego"/>
    <w:semiHidden/>
    <w:locked/>
    <w:rsid w:val="00015AF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918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Domylnaczcionkaakapitu"/>
    <w:rsid w:val="007544B3"/>
  </w:style>
  <w:style w:type="paragraph" w:styleId="Poprawka">
    <w:name w:val="Revision"/>
    <w:hidden/>
    <w:uiPriority w:val="99"/>
    <w:semiHidden/>
    <w:rsid w:val="007B383B"/>
    <w:rPr>
      <w:sz w:val="24"/>
      <w:szCs w:val="24"/>
    </w:rPr>
  </w:style>
  <w:style w:type="paragraph" w:customStyle="1" w:styleId="pf1">
    <w:name w:val="pf1"/>
    <w:basedOn w:val="Normalny"/>
    <w:rsid w:val="00215DD4"/>
    <w:pPr>
      <w:spacing w:before="100" w:beforeAutospacing="1" w:after="100" w:afterAutospacing="1"/>
    </w:pPr>
  </w:style>
  <w:style w:type="paragraph" w:customStyle="1" w:styleId="pf0">
    <w:name w:val="pf0"/>
    <w:basedOn w:val="Normalny"/>
    <w:rsid w:val="00215DD4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215DD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BF1A-9597-40E5-844D-E4352475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2004</Words>
  <Characters>12024</Characters>
  <Application>Microsoft Office Word</Application>
  <DocSecurity>0</DocSecurity>
  <Lines>100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</vt:lpstr>
      <vt:lpstr>ZAPYTANIE OFERTOWE</vt:lpstr>
    </vt:vector>
  </TitlesOfParts>
  <Company>MIR</Company>
  <LinksUpToDate>false</LinksUpToDate>
  <CharactersWithSpaces>14001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mailto:Marcin.Ziubrzycki@mir.gov.pl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Kaczyński Marcin</dc:creator>
  <cp:keywords/>
  <dc:description/>
  <cp:lastModifiedBy>Kozłowski Adam</cp:lastModifiedBy>
  <cp:revision>2</cp:revision>
  <cp:lastPrinted>2015-09-15T06:57:00Z</cp:lastPrinted>
  <dcterms:created xsi:type="dcterms:W3CDTF">2026-07-02T09:36:00Z</dcterms:created>
  <dcterms:modified xsi:type="dcterms:W3CDTF">2026-07-02T09:36:00Z</dcterms:modified>
</cp:coreProperties>
</file>