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660" w:line="240" w:lineRule="auto"/>
        <w:ind w:left="0" w:right="320" w:firstLine="0"/>
        <w:jc w:val="right"/>
      </w:pPr>
      <w:r>
        <w:rPr>
          <w:rStyle w:val="CharStyle3"/>
        </w:rPr>
        <w:t>Poznań, 3 marca 2025 r.</w:t>
      </w:r>
    </w:p>
    <w:p>
      <w:pPr>
        <w:pStyle w:val="Style2"/>
        <w:keepNext w:val="0"/>
        <w:keepLines w:val="0"/>
        <w:widowControl w:val="0"/>
        <w:shd w:val="clear" w:color="auto" w:fill="auto"/>
        <w:bidi w:val="0"/>
        <w:spacing w:before="0" w:after="0" w:line="228" w:lineRule="auto"/>
        <w:ind w:left="4980" w:right="0" w:firstLine="0"/>
        <w:jc w:val="both"/>
      </w:pPr>
      <w:r>
        <w:rPr>
          <w:rStyle w:val="CharStyle3"/>
          <w:b/>
          <w:bCs/>
        </w:rPr>
        <w:t>Pani</w:t>
      </w:r>
    </w:p>
    <w:p>
      <w:pPr>
        <w:pStyle w:val="Style2"/>
        <w:keepNext w:val="0"/>
        <w:keepLines w:val="0"/>
        <w:widowControl w:val="0"/>
        <w:shd w:val="clear" w:color="auto" w:fill="auto"/>
        <w:bidi w:val="0"/>
        <w:spacing w:before="0" w:after="540" w:line="228" w:lineRule="auto"/>
        <w:ind w:left="4980" w:right="0" w:firstLine="0"/>
        <w:jc w:val="both"/>
      </w:pPr>
      <w:r>
        <w:rPr>
          <w:rStyle w:val="CharStyle3"/>
          <w:b/>
          <w:bCs/>
        </w:rPr>
        <w:t>Paulina Hennig-Kloska Minister Klimatu i Środowiska</w:t>
      </w:r>
    </w:p>
    <w:p>
      <w:pPr>
        <w:pStyle w:val="Style2"/>
        <w:keepNext w:val="0"/>
        <w:keepLines w:val="0"/>
        <w:widowControl w:val="0"/>
        <w:shd w:val="clear" w:color="auto" w:fill="auto"/>
        <w:bidi w:val="0"/>
        <w:spacing w:before="0"/>
        <w:ind w:left="0" w:right="0" w:firstLine="0"/>
        <w:jc w:val="both"/>
      </w:pPr>
      <w:r>
        <w:rPr>
          <w:rStyle w:val="CharStyle3"/>
          <w:b/>
          <w:bCs/>
        </w:rPr>
        <w:t>Szanowna Pani Minister.</w:t>
      </w:r>
    </w:p>
    <w:p>
      <w:pPr>
        <w:pStyle w:val="Style2"/>
        <w:keepNext w:val="0"/>
        <w:keepLines w:val="0"/>
        <w:widowControl w:val="0"/>
        <w:shd w:val="clear" w:color="auto" w:fill="auto"/>
        <w:bidi w:val="0"/>
        <w:spacing w:before="0"/>
        <w:ind w:left="0" w:right="0" w:firstLine="0"/>
        <w:jc w:val="both"/>
      </w:pPr>
      <w:r>
        <w:rPr>
          <w:rStyle w:val="CharStyle3"/>
        </w:rPr>
        <w:t xml:space="preserve">W związku z wnioskiem Zarządów Okręgowych Polskiego Związku Łowieckiego z terenu Wielkopolski o zmianę uchwały nr XXVII/498/21 Sejmiku Województwa Wielkopolskiego z dnia 22 lutego 2021 r. </w:t>
      </w:r>
      <w:r>
        <w:rPr>
          <w:rStyle w:val="CharStyle3"/>
          <w:i/>
          <w:iCs/>
        </w:rPr>
        <w:t>w sprawie podziału województwa wielkopolskiego na obwody łowieckie i zaliczenia obwodów łowieckich do kategorii,</w:t>
      </w:r>
      <w:r>
        <w:rPr>
          <w:rStyle w:val="CharStyle3"/>
        </w:rPr>
        <w:t xml:space="preserve"> zwracam się z prośbą o podjęcie działań legislacyjnych mających na celu zmianę ustawy z dnia 13 października 1995 r. Prawo łowieckie (t.j. Dz. U. z 2023 r., poz. 1082 ze zm.) oraz rozporządzenia Ministra Środowiska z dnia 12 marca 2019 r. w sprawie wskaźników i czynników służących kategoryzacji obwodów łowieckich (Dz. U. z 2019 r., poz. 536) w celu usunięcia nieścisłości w zakresie sposobu przyznawania punktacji w procesie kategoryzacji obwodów łowieckich odpowiadającej wskaźnikowi średniej liczebności zwierzyny w obwodzie łowieckim oraz w zakresie sposobu zaliczenia obwodu łowieckiego do kategorii w przypadku gdy obwód otrzyma punkty ułamkowe.</w:t>
      </w:r>
    </w:p>
    <w:p>
      <w:pPr>
        <w:pStyle w:val="Style2"/>
        <w:keepNext w:val="0"/>
        <w:keepLines w:val="0"/>
        <w:widowControl w:val="0"/>
        <w:shd w:val="clear" w:color="auto" w:fill="auto"/>
        <w:bidi w:val="0"/>
        <w:spacing w:before="0"/>
        <w:ind w:left="0" w:right="0" w:firstLine="0"/>
        <w:jc w:val="both"/>
      </w:pPr>
      <w:r>
        <w:rPr>
          <w:rStyle w:val="CharStyle3"/>
        </w:rPr>
        <w:t>Art. 26a ustawy Prawo łowieckie wskazuje punktację, według której należy dokonać zaliczenia obwodu łowieckiego do jednej z kategorii. Przytoczony przepis odnosi się do pełnych punktów – ustawodawca nie przewidział sytuacji, w której dany obwód otrzymuje punkty ułamkowe, co jednak jest nieuniknione przy rzetelnym obliczeniu punktacji za wskaźnik pozyskania zwierzyny. Mając na uwadze fakt, iż kategorię „bardzo słabą” otrzymuje obwód, który uzyska do 10 punktów, natomiast kategorię „słabą” otrzymuje obwód, który przekroczy 11 punktów wskazać należy, iż liczba punktów 10,01 nie mieści się w żadnym z kryteriów wskazanych przez ustawę. Z uwagi na powyższą lukę legislacyjną, przy opracowaniu uchwały o podziale województwa wielkopolskiego na obwody łowieckie dokonano ich zaliczenia do kategorii z uwzględnieniem następującej zasady: „przekroczenie górnej wartości granicznej punktacji dla danej kategorii obliguje przyznanie wyższej kategorii”. Kierowanie się odmienną zasadą stanowiłoby naruszenie obowiązujących przepisów bowiem literalna analiza brzmienia przywołanego przepisu wskazuje, iż do kategorii „bardzo słabej” należy zaliczyć obwód, który uzyskał maksymalnie 10,00 pkt („do 10 punktów”). Analogicznie zatem należy postępować w przypadku zaliczania obwodów łowieckich do pozostałych kategorii.</w:t>
      </w:r>
    </w:p>
    <w:p>
      <w:pPr>
        <w:pStyle w:val="Style2"/>
        <w:keepNext w:val="0"/>
        <w:keepLines w:val="0"/>
        <w:widowControl w:val="0"/>
        <w:shd w:val="clear" w:color="auto" w:fill="auto"/>
        <w:bidi w:val="0"/>
        <w:spacing w:before="0" w:after="400" w:line="276" w:lineRule="auto"/>
        <w:ind w:left="0" w:right="0" w:firstLine="0"/>
        <w:jc w:val="both"/>
      </w:pPr>
      <w:r>
        <w:rPr>
          <w:rStyle w:val="CharStyle3"/>
        </w:rPr>
        <w:t>Natomiast zgodnie z § 2 ust. 3 pkt. 2 rozporządzenia Ministra Środowiska w sprawie wskaźników i czynników służących kategoryzacji obwodu łowieckiego za wskaźnik liczebności zwierzyny w zakresie muflonów przyznaje się 1 punkt gdy w obwodzie występuje do 30 muflonów.</w:t>
      </w:r>
    </w:p>
    <w:p>
      <w:pPr>
        <w:pStyle w:val="Style2"/>
        <w:keepNext w:val="0"/>
        <w:keepLines w:val="0"/>
        <w:widowControl w:val="0"/>
        <w:shd w:val="clear" w:color="auto" w:fill="auto"/>
        <w:bidi w:val="0"/>
        <w:spacing w:before="0"/>
        <w:ind w:left="0" w:right="0" w:firstLine="0"/>
        <w:jc w:val="both"/>
      </w:pPr>
      <w:r>
        <w:rPr>
          <w:rStyle w:val="CharStyle3"/>
        </w:rPr>
        <w:t>Rozporządzenie nie wskazuje możliwości przyznania 0 punktów gdy w danym obwodzie nie występują muflony. Należy zatem oprzeć się na wykładni językowej i literalnej powyższego przepisu, który nie przewiduje minimalnej liczby muflonów warunkujących przyznanie 1 punktu za to kryterium. Ponadto w obowiązującym systemie liczbowym występuje zasada wskazująca, iż chociaż zero z jednej strony oznacza brak istnienia desygnatu, do którego się odnosi, to jednakże zero jest także liczbą, a zatem także określa liczebność stanowiącą jeden z aspektów przedmiotowego rozporządzenia. Jeśli więc racjonalny prawodawca chciał przyznać 0 punktów za brak – czyli 0 – muflonów, to w wyraźny sposób wskazałby swą wolę, podobnie jak to uczynił w pozostałej części rozporządzenia. Uwzględniając powyższe, przy opracowaniu uchwały o podziale województwa wielkopolskiego na obwody łowieckie dokonano ich zaliczenia do kategorii przyznając w każdym obwodzie co najmniej 1 punkt za wskaźnik liczebności muflonów.</w:t>
      </w:r>
    </w:p>
    <w:p>
      <w:pPr>
        <w:pStyle w:val="Style2"/>
        <w:keepNext w:val="0"/>
        <w:keepLines w:val="0"/>
        <w:widowControl w:val="0"/>
        <w:shd w:val="clear" w:color="auto" w:fill="auto"/>
        <w:bidi w:val="0"/>
        <w:spacing w:before="0"/>
        <w:ind w:left="0" w:right="0" w:firstLine="0"/>
        <w:jc w:val="both"/>
      </w:pPr>
      <w:r>
        <w:rPr>
          <w:rStyle w:val="CharStyle3"/>
        </w:rPr>
        <w:t>Jak podnoszą Zarządy Okręgowe Polskiego Związku Łowieckiego z terenu Wielkopolski, w wyniku zastosowania ww. regulacji część obwodów w Wielkopolsce zostało zakwalifikowane do wyższej kategorii. Spowodowało to wzrost obciążeń dla dzierżawców z tytułu opłaty czynszu za dzierżawę obwodu łowieckiego, co przy wysokich kosztach odszkodowań łowieckich i niskich cenach skupu dziczyzny powoduje realne niebezpieczeństwo rezygnowania przez koła łowieckie z dzierżawy obwodów i brak chętnych do prowadzenia gospodarki łowieckiej w obwodach polnych szczególnie narażonych na duże ryzyko występowania szkód łowieckich.</w:t>
      </w:r>
    </w:p>
    <w:p>
      <w:pPr>
        <w:pStyle w:val="Style2"/>
        <w:keepNext w:val="0"/>
        <w:keepLines w:val="0"/>
        <w:widowControl w:val="0"/>
        <w:shd w:val="clear" w:color="auto" w:fill="auto"/>
        <w:bidi w:val="0"/>
        <w:spacing w:before="0"/>
        <w:ind w:left="0" w:right="0" w:firstLine="0"/>
        <w:jc w:val="both"/>
      </w:pPr>
      <w:r>
        <w:rPr>
          <w:rStyle w:val="CharStyle3"/>
        </w:rPr>
        <w:t>Zrealizowanie oczekiwań łowczych okręgowych z terenu Wielkopolski i przeprowadzenie zmiany uchwały Sejmiku Województwa Wielkopolskiego w zakresie zaliczenia obwodów łowieckich do poszczególnych kategorii, w pierwszej kolejności wymaga przeprowadzania zmian legislacyjnych mających na celu usunięcie nieścisłości w zakresie sposobu przyznawania punktacji w procesie kategoryzacji obwodów łowieckich.</w:t>
      </w:r>
    </w:p>
    <w:p>
      <w:pPr>
        <w:pStyle w:val="Style2"/>
        <w:keepNext w:val="0"/>
        <w:keepLines w:val="0"/>
        <w:widowControl w:val="0"/>
        <w:shd w:val="clear" w:color="auto" w:fill="auto"/>
        <w:bidi w:val="0"/>
        <w:spacing w:before="0"/>
        <w:ind w:left="0" w:right="0" w:firstLine="0"/>
        <w:jc w:val="both"/>
      </w:pPr>
      <w:r>
        <w:rPr>
          <w:rStyle w:val="CharStyle3"/>
        </w:rPr>
        <w:t>W związku z powyższym, mając na uwadze właściwe stosowanie ustawy Prawo łowieckie oraz rozporządzenia Ministra Środowiska w sprawie wskaźników i czynników służących kategoryzacji obwodów łowieckich, wniosek o zmianę przedmiotowych aktów prawnych jest w pełni uzasadniony.</w:t>
      </w:r>
    </w:p>
    <w:p>
      <w:pPr>
        <w:pStyle w:val="Style2"/>
        <w:keepNext w:val="0"/>
        <w:keepLines w:val="0"/>
        <w:widowControl w:val="0"/>
        <w:shd w:val="clear" w:color="auto" w:fill="auto"/>
        <w:bidi w:val="0"/>
        <w:spacing w:before="0" w:after="2940"/>
        <w:ind w:left="0" w:right="0" w:firstLine="0"/>
        <w:jc w:val="center"/>
      </w:pPr>
      <w:r>
        <w:rPr>
          <w:rStyle w:val="CharStyle3"/>
        </w:rPr>
        <w:t>Z poważaniem</w:t>
      </w:r>
    </w:p>
    <w:p>
      <w:pPr>
        <w:pStyle w:val="Style10"/>
        <w:keepNext w:val="0"/>
        <w:keepLines w:val="0"/>
        <w:widowControl w:val="0"/>
        <w:shd w:val="clear" w:color="auto" w:fill="auto"/>
        <w:bidi w:val="0"/>
        <w:spacing w:before="0" w:after="0" w:line="240" w:lineRule="auto"/>
        <w:ind w:left="0" w:right="0" w:firstLine="0"/>
        <w:jc w:val="both"/>
      </w:pPr>
      <w:r>
        <w:rPr>
          <w:rStyle w:val="CharStyle11"/>
          <w:u w:val="single"/>
        </w:rPr>
        <w:t>Do wiadomości:</w:t>
      </w:r>
    </w:p>
    <w:p>
      <w:pPr>
        <w:pStyle w:val="Style10"/>
        <w:keepNext w:val="0"/>
        <w:keepLines w:val="0"/>
        <w:widowControl w:val="0"/>
        <w:numPr>
          <w:ilvl w:val="0"/>
          <w:numId w:val="1"/>
        </w:numPr>
        <w:shd w:val="clear" w:color="auto" w:fill="auto"/>
        <w:tabs>
          <w:tab w:pos="730" w:val="left"/>
        </w:tabs>
        <w:bidi w:val="0"/>
        <w:spacing w:before="0" w:after="0" w:line="240" w:lineRule="auto"/>
        <w:ind w:left="0" w:right="0"/>
        <w:jc w:val="both"/>
      </w:pPr>
      <w:r>
        <w:rPr>
          <w:rStyle w:val="CharStyle11"/>
        </w:rPr>
        <w:t>Zarządy Okręgowe Polskiego Związku Łowieckiego z Wielkopolski (za pośrednictwem ZO PZŁ w Poznaniu)</w:t>
      </w:r>
    </w:p>
    <w:p>
      <w:pPr>
        <w:pStyle w:val="Style10"/>
        <w:keepNext w:val="0"/>
        <w:keepLines w:val="0"/>
        <w:widowControl w:val="0"/>
        <w:numPr>
          <w:ilvl w:val="0"/>
          <w:numId w:val="1"/>
        </w:numPr>
        <w:shd w:val="clear" w:color="auto" w:fill="auto"/>
        <w:tabs>
          <w:tab w:pos="730" w:val="left"/>
        </w:tabs>
        <w:bidi w:val="0"/>
        <w:spacing w:before="0" w:after="280" w:line="230" w:lineRule="auto"/>
        <w:ind w:left="0" w:right="0"/>
        <w:jc w:val="both"/>
      </w:pPr>
      <w:r>
        <w:rPr>
          <w:rStyle w:val="CharStyle11"/>
        </w:rPr>
        <w:t>Zarząd Główny Polskiego Związku Łowieckiego</w:t>
      </w:r>
    </w:p>
    <w:sectPr>
      <w:footerReference w:type="default" r:id="rId5"/>
      <w:footnotePr>
        <w:pos w:val="pageBottom"/>
        <w:numFmt w:val="decimal"/>
        <w:numRestart w:val="continuous"/>
      </w:footnotePr>
      <w:pgSz w:w="11900" w:h="16840"/>
      <w:pgMar w:top="994" w:right="1102" w:bottom="1308" w:left="1380" w:header="56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5414645</wp:posOffset>
              </wp:positionH>
              <wp:positionV relativeFrom="page">
                <wp:posOffset>9998075</wp:posOffset>
              </wp:positionV>
              <wp:extent cx="1682750" cy="478790"/>
              <wp:wrapNone/>
              <wp:docPr id="1" name="Shape 1"/>
              <a:graphic xmlns:a="http://schemas.openxmlformats.org/drawingml/2006/main">
                <a:graphicData uri="http://schemas.microsoft.com/office/word/2010/wordprocessingShape">
                  <wps:wsp>
                    <wps:cNvSpPr txBox="1"/>
                    <wps:spPr>
                      <a:xfrm>
                        <a:ext cx="1682750" cy="478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Fonts w:ascii="Tahoma" w:eastAsia="Tahoma" w:hAnsi="Tahoma" w:cs="Tahoma"/>
                              <w:b/>
                              <w:bCs/>
                              <w:color w:val="254B9F"/>
                            </w:rPr>
                            <w:t>WIELKOPOLSKA</w:t>
                          </w:r>
                        </w:p>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5"/>
                                <w:rFonts w:ascii="Calibri" w:eastAsia="Calibri" w:hAnsi="Calibri" w:cs="Calibri"/>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6.35000000000002pt;margin-top:787.25pt;width:132.5pt;height:37.700000000000003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Fonts w:ascii="Tahoma" w:eastAsia="Tahoma" w:hAnsi="Tahoma" w:cs="Tahoma"/>
                        <w:b/>
                        <w:bCs/>
                        <w:color w:val="254B9F"/>
                      </w:rPr>
                      <w:t>WIELKOPOLSKA</w:t>
                    </w:r>
                  </w:p>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5"/>
                          <w:rFonts w:ascii="Calibri" w:eastAsia="Calibri" w:hAnsi="Calibri" w:cs="Calibri"/>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Body text (2)_"/>
    <w:basedOn w:val="DefaultParagraphFont"/>
    <w:link w:val="Style10"/>
    <w:rPr>
      <w:rFonts w:ascii="Calibri" w:eastAsia="Calibri" w:hAnsi="Calibri" w:cs="Calibri"/>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280" w:line="271" w:lineRule="auto"/>
    </w:pPr>
    <w:rPr>
      <w:rFonts w:ascii="Calibri" w:eastAsia="Calibri" w:hAnsi="Calibri" w:cs="Calibri"/>
      <w:b w:val="0"/>
      <w:bCs w:val="0"/>
      <w:i w:val="0"/>
      <w:iCs w:val="0"/>
      <w:smallCaps w:val="0"/>
      <w:strike w:val="0"/>
      <w:sz w:val="24"/>
      <w:szCs w:val="24"/>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Body text (2)"/>
    <w:basedOn w:val="Normal"/>
    <w:link w:val="CharStyle11"/>
    <w:pPr>
      <w:widowControl w:val="0"/>
      <w:shd w:val="clear" w:color="auto" w:fill="auto"/>
      <w:spacing w:after="140"/>
      <w:ind w:firstLine="380"/>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wzór listownika DR_Marszalek</dc:title>
  <dc:subject/>
  <dc:creator>Sklepik Katarzyna</dc:creator>
  <cp:keywords/>
</cp:coreProperties>
</file>