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8F" w:rsidRDefault="00C13E8F" w:rsidP="00C13E8F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 xml:space="preserve">Aukcja (licytacja) w dniu 12 marca 2020 r. na sprzedaż nieruchomości położonych </w:t>
      </w:r>
      <w:r w:rsidR="00D85750">
        <w:rPr>
          <w:rStyle w:val="FontStyle17"/>
          <w:rFonts w:ascii="Arial" w:hAnsi="Arial" w:cs="Arial"/>
        </w:rPr>
        <w:br/>
      </w:r>
      <w:r>
        <w:rPr>
          <w:rStyle w:val="FontStyle17"/>
          <w:rFonts w:ascii="Arial" w:hAnsi="Arial" w:cs="Arial"/>
        </w:rPr>
        <w:t>w miejscowościach Tuczno, Helenowo, Jaksice, woj. kujawsko-pomorskie</w:t>
      </w:r>
    </w:p>
    <w:p w:rsidR="00C13E8F" w:rsidRDefault="00C13E8F" w:rsidP="00D53A8A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846071" w:rsidP="00D53A8A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AC3BC9" w:rsidRPr="00AC3BC9">
        <w:rPr>
          <w:rStyle w:val="FontStyle17"/>
          <w:rFonts w:ascii="Arial" w:hAnsi="Arial" w:cs="Arial"/>
        </w:rPr>
        <w:t xml:space="preserve">nieruchomości </w:t>
      </w:r>
      <w:r w:rsidR="00D53A8A" w:rsidRPr="00D53A8A">
        <w:rPr>
          <w:rStyle w:val="FontStyle17"/>
          <w:rFonts w:ascii="Arial" w:hAnsi="Arial" w:cs="Arial"/>
        </w:rPr>
        <w:t>niezabudowanych objętych prawem użytkowania wieczystego po zlikwidowanej bocznicy kolejowej relacji Tuczn</w:t>
      </w:r>
      <w:r w:rsidR="00D53A8A">
        <w:rPr>
          <w:rStyle w:val="FontStyle17"/>
          <w:rFonts w:ascii="Arial" w:hAnsi="Arial" w:cs="Arial"/>
        </w:rPr>
        <w:t xml:space="preserve">o-Jaksice położonych w Tucznie </w:t>
      </w:r>
      <w:r w:rsidR="00D53A8A" w:rsidRPr="00D53A8A">
        <w:rPr>
          <w:rStyle w:val="FontStyle17"/>
          <w:rFonts w:ascii="Arial" w:hAnsi="Arial" w:cs="Arial"/>
        </w:rPr>
        <w:t>i Helenowie, gmina Złotniki Kujawskie, oraz w Jaksicach, gmina Inowrocław, powiat inowrocławski, województwo kujawsko-pomorskie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32D20" w:rsidRPr="001F5387">
        <w:rPr>
          <w:rFonts w:ascii="Arial" w:hAnsi="Arial" w:cs="Arial"/>
        </w:rPr>
        <w:t xml:space="preserve"> jest Krajowa Spółka Cukrow</w:t>
      </w:r>
      <w:r w:rsidR="0085774D">
        <w:rPr>
          <w:rFonts w:ascii="Arial" w:hAnsi="Arial" w:cs="Arial"/>
        </w:rPr>
        <w:t>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85774D">
        <w:rPr>
          <w:rFonts w:ascii="Arial" w:hAnsi="Arial" w:cs="Arial"/>
        </w:rPr>
        <w:t xml:space="preserve">, </w:t>
      </w:r>
      <w:r w:rsidR="0085774D" w:rsidRPr="00E423DE">
        <w:rPr>
          <w:rFonts w:ascii="Arial" w:hAnsi="Arial" w:cs="Arial"/>
        </w:rPr>
        <w:t>BDO: 000009141</w:t>
      </w:r>
      <w:r w:rsidR="00532D20" w:rsidRPr="001F5387">
        <w:rPr>
          <w:rFonts w:ascii="Arial" w:hAnsi="Arial" w:cs="Arial"/>
        </w:rPr>
        <w:t xml:space="preserve"> </w:t>
      </w:r>
      <w:r w:rsidR="00F7515D" w:rsidRPr="001F5387">
        <w:rPr>
          <w:rFonts w:ascii="Arial" w:hAnsi="Arial" w:cs="Arial"/>
        </w:rPr>
        <w:t xml:space="preserve">(dalej: „Organizator </w:t>
      </w:r>
      <w:r w:rsidR="00D93BD4">
        <w:rPr>
          <w:rFonts w:ascii="Arial" w:hAnsi="Arial" w:cs="Arial"/>
        </w:rPr>
        <w:t>Aukcji</w:t>
      </w:r>
      <w:r w:rsidR="00F7515D" w:rsidRPr="001F5387">
        <w:rPr>
          <w:rFonts w:ascii="Arial" w:hAnsi="Arial" w:cs="Arial"/>
        </w:rPr>
        <w:t>” lub „</w:t>
      </w:r>
      <w:r w:rsidR="009962F7" w:rsidRPr="001F5387">
        <w:rPr>
          <w:rFonts w:ascii="Arial" w:hAnsi="Arial" w:cs="Arial"/>
        </w:rPr>
        <w:t>Spółka</w:t>
      </w:r>
      <w:r w:rsidR="00F7515D" w:rsidRPr="001F5387">
        <w:rPr>
          <w:rFonts w:ascii="Arial" w:hAnsi="Arial" w:cs="Arial"/>
        </w:rPr>
        <w:t>”)</w:t>
      </w:r>
      <w:r w:rsidR="00532D20" w:rsidRPr="001F5387">
        <w:rPr>
          <w:rFonts w:ascii="Arial" w:hAnsi="Arial" w:cs="Arial"/>
        </w:rPr>
        <w:t>.</w:t>
      </w:r>
      <w:r w:rsidR="00BD23E2" w:rsidRPr="00BD23E2">
        <w:rPr>
          <w:rFonts w:ascii="Arial" w:hAnsi="Arial" w:cs="Arial"/>
        </w:rPr>
        <w:t xml:space="preserve"> </w:t>
      </w:r>
      <w:r w:rsidR="00BD23E2" w:rsidRPr="00E423DE">
        <w:rPr>
          <w:rFonts w:ascii="Arial" w:hAnsi="Arial" w:cs="Arial"/>
        </w:rPr>
        <w:t>Krajowa Spółka Cukrowa S.A. oświadcza, że posiada</w:t>
      </w:r>
      <w:r w:rsidR="00BD23E2">
        <w:rPr>
          <w:rFonts w:ascii="Arial" w:hAnsi="Arial" w:cs="Arial"/>
        </w:rPr>
        <w:t xml:space="preserve"> status dużego przedsiębiorcy w </w:t>
      </w:r>
      <w:r w:rsidR="00BD23E2" w:rsidRPr="00E423DE">
        <w:rPr>
          <w:rFonts w:ascii="Arial" w:hAnsi="Arial" w:cs="Arial"/>
        </w:rPr>
        <w:t>rozumieniu przepisów ustawy z dnia 8 marca 2013 r. o przeciwdziałaniu nadmiernym opóźnieniom w transakcjach han</w:t>
      </w:r>
      <w:r w:rsidR="00BD23E2">
        <w:rPr>
          <w:rFonts w:ascii="Arial" w:hAnsi="Arial" w:cs="Arial"/>
        </w:rPr>
        <w:t>dlowych (t.j. Dz.U. 2019.118 ze </w:t>
      </w:r>
      <w:r w:rsidR="00BD23E2" w:rsidRPr="00E423DE">
        <w:rPr>
          <w:rFonts w:ascii="Arial" w:hAnsi="Arial" w:cs="Arial"/>
        </w:rPr>
        <w:t>zmianami).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D53A8A" w:rsidRPr="00D53A8A" w:rsidRDefault="00D53A8A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zespół nieruchomości niezabudowanych stanowiący teren po zlikwidowanej bocznicy kolejowej relacji Tuczno-Jaksice, obejmujący: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140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0,4957 ha położonej w miejscowości Tuczno, obręb Tuczno [0021], gmina Złotniki Kujawskie, powiat inowrocławski, woj. kujawsko-pomorskie, dla której w Sądzie Rejonowym w Inowrocławiu V Wydział Ksiąg Wieczystych prowadzona jest księga wieczysta nr BY1I/00024223/7,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283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0,6700 ha położonej w miejscowości Tuczno, obręb Tuczno [0021], gmina Złotniki Kujawskie, powiat inowrocławski, woj. kujawsko-pomorskie, dla której w Sądzie Rejonowym w Inowrocławiu V Wydział Ksiąg Wieczystych prowadzona jest księga wieczysta nr BY1I/00024223/7,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3/2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1,0365 ha położonej w miejscowości Helenowo, obręb Helenowo [0008], gmina Złotniki Kujawskie, powiat inowrocławski, woj. kujawsko-pomorskie, dla której w Sądzie Rejonowym w Inowrocławiu V Wydział Ksiąg Wieczystych prowadzona jest księga wieczysta nr BY1I/00080259/8,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lastRenderedPageBreak/>
        <w:t>prawo użytkowania wieczystego gruntu działki niezabudowanej nr 40 o pow. 0,8222 ha położonej w miejscowości Jaksice, obręb Jaksice [0013], gmina Inowrocław, powiat inowrocławski, woj. kujawsko – pomorskie, dla której w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Sądzie Rejonowym w Inowrocławiu V Wydział Ksiąg Wieczystych prowadzona jest księga wieczysta nr BY1I/00024222/0,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121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0,4800 ha położonej w miejscowości Jaksice, obręb Jaksice [0013], gmina Inowrocław, powiat inowrocławski, woj. kujawsko-pomorskie, dla której w Sądzie Rejonowym w Inowrocławiu V Wydział Ksiąg Wieczystych prowadzona jest księga wieczysta nr BY1I/00024222/0,</w:t>
      </w:r>
    </w:p>
    <w:p w:rsidR="00D53A8A" w:rsidRPr="00D53A8A" w:rsidRDefault="00D53A8A" w:rsidP="00D53A8A">
      <w:pPr>
        <w:pStyle w:val="Akapitzlist"/>
        <w:numPr>
          <w:ilvl w:val="0"/>
          <w:numId w:val="3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>prawo użytkowania wieczystego gruntu działki niezabudowanej nr 130/1 o</w:t>
      </w:r>
      <w:r>
        <w:rPr>
          <w:rFonts w:ascii="Arial" w:hAnsi="Arial" w:cs="Arial"/>
        </w:rPr>
        <w:t> </w:t>
      </w:r>
      <w:r w:rsidRPr="00D53A8A">
        <w:rPr>
          <w:rFonts w:ascii="Arial" w:hAnsi="Arial" w:cs="Arial"/>
        </w:rPr>
        <w:t>pow. 0,7178 ha położonej w miejscowości Jaksice, obręb Jaksice [0013], gmina Inowrocław, powiat inowrocławski, woj. kujawsko – pomorskie, dla której w Sądzie Rejonowym w Inowrocławiu V Wydział Ksiąg Wieczystych prowadzona jest księga wieczysta nr BY1I/00024222/0.</w:t>
      </w:r>
    </w:p>
    <w:p w:rsidR="00D53A8A" w:rsidRPr="00D53A8A" w:rsidRDefault="00D53A8A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D53A8A">
        <w:rPr>
          <w:rFonts w:ascii="Arial" w:hAnsi="Arial" w:cs="Arial"/>
        </w:rPr>
        <w:t xml:space="preserve">Na działce nr 3/2 jest ustanowiona służebność przesyłu na rzecz Polskich Sieci Elektroenergetycznych S.A. Konstancin-Jeziorna, Regon 0000197596, KRS 015668195 zapisana w księdze wieczystej nr BY1I/00080259/8 prowadzonej przez Sąd Rejonowy w Inowrocławiu V Wydział Ksiąg Wieczystych. 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>homości na piśmie, albo umowę 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>tawie z dnia 24 marca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</w:t>
      </w:r>
      <w:r w:rsidR="0085774D">
        <w:rPr>
          <w:rFonts w:ascii="Arial" w:hAnsi="Arial" w:cs="Arial"/>
        </w:rPr>
        <w:t>tj.</w:t>
      </w:r>
      <w:r w:rsidR="00AC3BC9">
        <w:rPr>
          <w:rFonts w:ascii="Arial" w:hAnsi="Arial" w:cs="Arial"/>
        </w:rPr>
        <w:t xml:space="preserve">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lastRenderedPageBreak/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Krajowej Spółce Cukrowej S.A. w miejscu prowadzenia działalności w Janikowie, przy ul. Topolowej 1, 88-160 Janikowo w budynku </w:t>
      </w:r>
      <w:r w:rsidR="00AC3BC9">
        <w:rPr>
          <w:rFonts w:ascii="Arial" w:hAnsi="Arial" w:cs="Arial"/>
          <w:bCs/>
        </w:rPr>
        <w:t xml:space="preserve">biura głównego w dniu </w:t>
      </w:r>
      <w:r w:rsidR="00BD23E2">
        <w:rPr>
          <w:rFonts w:ascii="Arial" w:hAnsi="Arial" w:cs="Arial"/>
          <w:bCs/>
        </w:rPr>
        <w:t>12</w:t>
      </w:r>
      <w:r w:rsidR="00AC3BC9">
        <w:rPr>
          <w:rFonts w:ascii="Arial" w:hAnsi="Arial" w:cs="Arial"/>
          <w:bCs/>
        </w:rPr>
        <w:t xml:space="preserve"> </w:t>
      </w:r>
      <w:r w:rsidR="00BD23E2">
        <w:rPr>
          <w:rFonts w:ascii="Arial" w:hAnsi="Arial" w:cs="Arial"/>
          <w:bCs/>
        </w:rPr>
        <w:t>marca</w:t>
      </w:r>
      <w:r w:rsidR="00D07CA2">
        <w:rPr>
          <w:rFonts w:ascii="Arial" w:hAnsi="Arial" w:cs="Arial"/>
          <w:bCs/>
        </w:rPr>
        <w:t xml:space="preserve"> 20</w:t>
      </w:r>
      <w:r w:rsidR="0085774D">
        <w:rPr>
          <w:rFonts w:ascii="Arial" w:hAnsi="Arial" w:cs="Arial"/>
          <w:bCs/>
        </w:rPr>
        <w:t>20</w:t>
      </w:r>
      <w:r w:rsidR="00BD23E2">
        <w:rPr>
          <w:rFonts w:ascii="Arial" w:hAnsi="Arial" w:cs="Arial"/>
          <w:bCs/>
        </w:rPr>
        <w:t xml:space="preserve"> r. o godz. 13</w:t>
      </w:r>
      <w:r w:rsidR="00AC3BC9" w:rsidRPr="00AC3BC9">
        <w:rPr>
          <w:rFonts w:ascii="Arial" w:hAnsi="Arial" w:cs="Arial"/>
          <w:bCs/>
        </w:rPr>
        <w:t>:00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>w Tucznie, przy ul. Bydgoskiej 10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D53A8A">
        <w:rPr>
          <w:rFonts w:ascii="Arial" w:hAnsi="Arial" w:cs="Arial"/>
        </w:rPr>
        <w:t>85</w:t>
      </w:r>
      <w:r w:rsidR="00721D43">
        <w:rPr>
          <w:rFonts w:ascii="Arial" w:hAnsi="Arial" w:cs="Arial"/>
        </w:rPr>
        <w:t>.000,00</w:t>
      </w:r>
      <w:r w:rsidR="002F04BD" w:rsidRPr="00BD2314">
        <w:rPr>
          <w:rFonts w:ascii="Arial" w:hAnsi="Arial" w:cs="Arial"/>
        </w:rPr>
        <w:t xml:space="preserve"> (słownie: </w:t>
      </w:r>
      <w:r w:rsidR="00D53A8A">
        <w:rPr>
          <w:rFonts w:ascii="Arial" w:hAnsi="Arial" w:cs="Arial"/>
        </w:rPr>
        <w:t>osiemdziesiąt pięć</w:t>
      </w:r>
      <w:r w:rsidR="00721D43">
        <w:rPr>
          <w:rFonts w:ascii="Arial" w:hAnsi="Arial" w:cs="Arial"/>
        </w:rPr>
        <w:t xml:space="preserve"> tysięcy</w:t>
      </w:r>
      <w:r w:rsidRPr="00BD2314">
        <w:rPr>
          <w:rFonts w:ascii="Arial" w:hAnsi="Arial" w:cs="Arial"/>
        </w:rPr>
        <w:t xml:space="preserve">) złotych brutto, przy czym sprzedaż </w:t>
      </w:r>
      <w:r w:rsidR="00D85F56">
        <w:rPr>
          <w:rFonts w:ascii="Arial" w:hAnsi="Arial" w:cs="Arial"/>
        </w:rPr>
        <w:t>ta zwolniona jest z podat</w:t>
      </w:r>
      <w:r w:rsidR="00721D43">
        <w:rPr>
          <w:rFonts w:ascii="Arial" w:hAnsi="Arial" w:cs="Arial"/>
        </w:rPr>
        <w:t>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D53A8A">
        <w:rPr>
          <w:rFonts w:ascii="Arial" w:hAnsi="Arial" w:cs="Arial"/>
        </w:rPr>
        <w:t>1</w:t>
      </w:r>
      <w:r w:rsidR="005E0D7D">
        <w:rPr>
          <w:rFonts w:ascii="Arial" w:hAnsi="Arial" w:cs="Arial"/>
        </w:rPr>
        <w:t>.0</w:t>
      </w:r>
      <w:r w:rsidR="00721D43">
        <w:rPr>
          <w:rFonts w:ascii="Arial" w:hAnsi="Arial" w:cs="Arial"/>
        </w:rPr>
        <w:t>00,00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721D43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D53A8A">
        <w:rPr>
          <w:rFonts w:ascii="Arial" w:hAnsi="Arial" w:cs="Arial"/>
        </w:rPr>
        <w:t>8.5</w:t>
      </w:r>
      <w:r w:rsidR="00721D43">
        <w:rPr>
          <w:rFonts w:ascii="Arial" w:hAnsi="Arial" w:cs="Arial"/>
        </w:rPr>
        <w:t>00,00</w:t>
      </w:r>
      <w:r w:rsidRPr="00BD2314">
        <w:rPr>
          <w:rFonts w:ascii="Arial" w:hAnsi="Arial" w:cs="Arial"/>
        </w:rPr>
        <w:t xml:space="preserve"> (słownie: </w:t>
      </w:r>
      <w:r w:rsidR="00D53A8A">
        <w:rPr>
          <w:rFonts w:ascii="Arial" w:hAnsi="Arial" w:cs="Arial"/>
        </w:rPr>
        <w:t>osiem</w:t>
      </w:r>
      <w:r w:rsidR="00721D43">
        <w:rPr>
          <w:rFonts w:ascii="Arial" w:hAnsi="Arial" w:cs="Arial"/>
        </w:rPr>
        <w:t xml:space="preserve"> tysięcy</w:t>
      </w:r>
      <w:r w:rsidR="00D53A8A">
        <w:rPr>
          <w:rFonts w:ascii="Arial" w:hAnsi="Arial" w:cs="Arial"/>
        </w:rPr>
        <w:t xml:space="preserve"> pięćset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BD23E2">
        <w:rPr>
          <w:rFonts w:ascii="Arial" w:hAnsi="Arial" w:cs="Arial"/>
        </w:rPr>
        <w:t>12</w:t>
      </w:r>
      <w:r w:rsidR="00721D43">
        <w:rPr>
          <w:rFonts w:ascii="Arial" w:hAnsi="Arial" w:cs="Arial"/>
        </w:rPr>
        <w:t xml:space="preserve"> </w:t>
      </w:r>
      <w:r w:rsidR="00BD23E2">
        <w:rPr>
          <w:rFonts w:ascii="Arial" w:hAnsi="Arial" w:cs="Arial"/>
        </w:rPr>
        <w:t>czerwca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</w:t>
      </w:r>
      <w:r w:rsidR="00E17FAA" w:rsidRPr="00D85F56">
        <w:rPr>
          <w:rFonts w:ascii="Arial" w:hAnsi="Arial" w:cs="Arial"/>
        </w:rPr>
        <w:lastRenderedPageBreak/>
        <w:t>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4546B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ED44B3">
        <w:rPr>
          <w:rFonts w:ascii="Arial" w:hAnsi="Arial" w:cs="Arial"/>
        </w:rPr>
        <w:t>9</w:t>
      </w:r>
      <w:r w:rsidR="00721D43">
        <w:rPr>
          <w:rFonts w:ascii="Arial" w:hAnsi="Arial" w:cs="Arial"/>
        </w:rPr>
        <w:t xml:space="preserve"> </w:t>
      </w:r>
      <w:r w:rsidR="00BD23E2">
        <w:rPr>
          <w:rFonts w:ascii="Arial" w:hAnsi="Arial" w:cs="Arial"/>
        </w:rPr>
        <w:t>marca</w:t>
      </w:r>
      <w:r w:rsidR="009F459D">
        <w:rPr>
          <w:rFonts w:ascii="Arial" w:hAnsi="Arial" w:cs="Arial"/>
        </w:rPr>
        <w:t xml:space="preserve"> 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9F459D">
        <w:rPr>
          <w:rFonts w:ascii="Arial" w:hAnsi="Arial" w:cs="Arial"/>
        </w:rPr>
        <w:t>w </w:t>
      </w:r>
      <w:r w:rsidR="00781E51" w:rsidRPr="00BD2314">
        <w:rPr>
          <w:rFonts w:ascii="Arial" w:hAnsi="Arial" w:cs="Arial"/>
        </w:rPr>
        <w:t xml:space="preserve">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5E0D7D">
        <w:rPr>
          <w:rFonts w:ascii="Arial" w:hAnsi="Arial" w:cs="Arial"/>
        </w:rPr>
        <w:t xml:space="preserve"> – Tuczno </w:t>
      </w:r>
      <w:r w:rsidR="00D53A8A">
        <w:rPr>
          <w:rFonts w:ascii="Arial" w:hAnsi="Arial" w:cs="Arial"/>
        </w:rPr>
        <w:t>działki po bocznicy kolejowej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ED44B3">
        <w:rPr>
          <w:rFonts w:ascii="Arial" w:hAnsi="Arial" w:cs="Arial"/>
        </w:rPr>
        <w:t>4</w:t>
      </w:r>
      <w:r w:rsidR="00452D63">
        <w:rPr>
          <w:rFonts w:ascii="Arial" w:hAnsi="Arial" w:cs="Arial"/>
        </w:rPr>
        <w:t xml:space="preserve"> </w:t>
      </w:r>
      <w:r w:rsidR="00BD23E2">
        <w:rPr>
          <w:rFonts w:ascii="Arial" w:hAnsi="Arial" w:cs="Arial"/>
        </w:rPr>
        <w:t>marca</w:t>
      </w:r>
      <w:r w:rsidR="009F459D">
        <w:rPr>
          <w:rFonts w:ascii="Arial" w:hAnsi="Arial" w:cs="Arial"/>
        </w:rPr>
        <w:t xml:space="preserve"> 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Tuc</w:t>
      </w:r>
      <w:r w:rsidR="00452D63">
        <w:rPr>
          <w:rFonts w:ascii="Arial" w:hAnsi="Arial" w:cs="Arial"/>
        </w:rPr>
        <w:t xml:space="preserve">zno </w:t>
      </w:r>
      <w:r w:rsidR="00D53A8A">
        <w:rPr>
          <w:rFonts w:ascii="Arial" w:hAnsi="Arial" w:cs="Arial"/>
        </w:rPr>
        <w:t>działki po bocznicy kolejowej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85774D" w:rsidRPr="001F5387" w:rsidRDefault="0085774D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85774D" w:rsidRDefault="00756772" w:rsidP="0085774D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756772" w:rsidRPr="001F5387" w:rsidRDefault="0085774D" w:rsidP="0085774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0939" w:rsidRPr="00200939" w:rsidRDefault="00200939" w:rsidP="0020093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 ORAZ WARUNKAMI POSTĘPOWANIA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 wydaniem przedmiotu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7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64" w:rsidRDefault="00AD1264" w:rsidP="00846071">
      <w:pPr>
        <w:spacing w:after="0" w:line="240" w:lineRule="auto"/>
      </w:pPr>
      <w:r>
        <w:separator/>
      </w:r>
    </w:p>
  </w:endnote>
  <w:endnote w:type="continuationSeparator" w:id="0">
    <w:p w:rsidR="00AD1264" w:rsidRDefault="00AD1264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64" w:rsidRDefault="00AD1264" w:rsidP="00846071">
      <w:pPr>
        <w:spacing w:after="0" w:line="240" w:lineRule="auto"/>
      </w:pPr>
      <w:r>
        <w:separator/>
      </w:r>
    </w:p>
  </w:footnote>
  <w:footnote w:type="continuationSeparator" w:id="0">
    <w:p w:rsidR="00AD1264" w:rsidRDefault="00AD1264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8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57AC5"/>
    <w:multiLevelType w:val="multilevel"/>
    <w:tmpl w:val="746CAC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30"/>
  </w:num>
  <w:num w:numId="10">
    <w:abstractNumId w:val="16"/>
  </w:num>
  <w:num w:numId="11">
    <w:abstractNumId w:val="13"/>
  </w:num>
  <w:num w:numId="12">
    <w:abstractNumId w:val="23"/>
  </w:num>
  <w:num w:numId="13">
    <w:abstractNumId w:val="9"/>
  </w:num>
  <w:num w:numId="14">
    <w:abstractNumId w:val="32"/>
  </w:num>
  <w:num w:numId="15">
    <w:abstractNumId w:val="28"/>
  </w:num>
  <w:num w:numId="16">
    <w:abstractNumId w:val="14"/>
  </w:num>
  <w:num w:numId="17">
    <w:abstractNumId w:val="10"/>
  </w:num>
  <w:num w:numId="18">
    <w:abstractNumId w:val="20"/>
  </w:num>
  <w:num w:numId="19">
    <w:abstractNumId w:val="33"/>
  </w:num>
  <w:num w:numId="20">
    <w:abstractNumId w:val="31"/>
  </w:num>
  <w:num w:numId="21">
    <w:abstractNumId w:val="12"/>
  </w:num>
  <w:num w:numId="22">
    <w:abstractNumId w:val="0"/>
  </w:num>
  <w:num w:numId="23">
    <w:abstractNumId w:val="29"/>
  </w:num>
  <w:num w:numId="24">
    <w:abstractNumId w:val="26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33980"/>
    <w:rsid w:val="00073DCE"/>
    <w:rsid w:val="00077405"/>
    <w:rsid w:val="0009223F"/>
    <w:rsid w:val="000A26AE"/>
    <w:rsid w:val="000A3C29"/>
    <w:rsid w:val="000B7C95"/>
    <w:rsid w:val="000D2E4F"/>
    <w:rsid w:val="001465D9"/>
    <w:rsid w:val="00174A6C"/>
    <w:rsid w:val="001771DB"/>
    <w:rsid w:val="001A5EDD"/>
    <w:rsid w:val="001D371D"/>
    <w:rsid w:val="001D5222"/>
    <w:rsid w:val="001E377E"/>
    <w:rsid w:val="001F5387"/>
    <w:rsid w:val="00200939"/>
    <w:rsid w:val="0020315E"/>
    <w:rsid w:val="002463C3"/>
    <w:rsid w:val="00265648"/>
    <w:rsid w:val="00266633"/>
    <w:rsid w:val="00281B7C"/>
    <w:rsid w:val="00290EFA"/>
    <w:rsid w:val="002966A9"/>
    <w:rsid w:val="002A73DD"/>
    <w:rsid w:val="002B4886"/>
    <w:rsid w:val="002E3219"/>
    <w:rsid w:val="002F04BD"/>
    <w:rsid w:val="00316F70"/>
    <w:rsid w:val="0033579C"/>
    <w:rsid w:val="0034369C"/>
    <w:rsid w:val="00351345"/>
    <w:rsid w:val="0038103C"/>
    <w:rsid w:val="00383F6B"/>
    <w:rsid w:val="00397738"/>
    <w:rsid w:val="003B0915"/>
    <w:rsid w:val="003E7F2B"/>
    <w:rsid w:val="003F35DA"/>
    <w:rsid w:val="003F562D"/>
    <w:rsid w:val="00407129"/>
    <w:rsid w:val="00416B94"/>
    <w:rsid w:val="004223C8"/>
    <w:rsid w:val="00452D63"/>
    <w:rsid w:val="004546B3"/>
    <w:rsid w:val="00460069"/>
    <w:rsid w:val="00477ADD"/>
    <w:rsid w:val="00485CF1"/>
    <w:rsid w:val="00486356"/>
    <w:rsid w:val="004E6946"/>
    <w:rsid w:val="005022B6"/>
    <w:rsid w:val="0050575A"/>
    <w:rsid w:val="0050598E"/>
    <w:rsid w:val="0050652F"/>
    <w:rsid w:val="00512E47"/>
    <w:rsid w:val="005277E4"/>
    <w:rsid w:val="00532D20"/>
    <w:rsid w:val="00545D5E"/>
    <w:rsid w:val="00593343"/>
    <w:rsid w:val="005C473E"/>
    <w:rsid w:val="005D5A59"/>
    <w:rsid w:val="005E0D7D"/>
    <w:rsid w:val="005E5487"/>
    <w:rsid w:val="005E7B2F"/>
    <w:rsid w:val="00606396"/>
    <w:rsid w:val="00610E59"/>
    <w:rsid w:val="00617906"/>
    <w:rsid w:val="006405F4"/>
    <w:rsid w:val="00670303"/>
    <w:rsid w:val="006821F2"/>
    <w:rsid w:val="00693094"/>
    <w:rsid w:val="006A081A"/>
    <w:rsid w:val="006C0445"/>
    <w:rsid w:val="006C69A9"/>
    <w:rsid w:val="006D0AFE"/>
    <w:rsid w:val="006F2CB5"/>
    <w:rsid w:val="00710DAB"/>
    <w:rsid w:val="00720B22"/>
    <w:rsid w:val="00721D43"/>
    <w:rsid w:val="00737883"/>
    <w:rsid w:val="00740000"/>
    <w:rsid w:val="00745FAB"/>
    <w:rsid w:val="00756772"/>
    <w:rsid w:val="007646EB"/>
    <w:rsid w:val="00781E51"/>
    <w:rsid w:val="00792553"/>
    <w:rsid w:val="007936EA"/>
    <w:rsid w:val="007966D9"/>
    <w:rsid w:val="007D26BC"/>
    <w:rsid w:val="007D283F"/>
    <w:rsid w:val="007D561F"/>
    <w:rsid w:val="007E47D9"/>
    <w:rsid w:val="008068C5"/>
    <w:rsid w:val="00840E1D"/>
    <w:rsid w:val="00841F5E"/>
    <w:rsid w:val="008432C9"/>
    <w:rsid w:val="0084384A"/>
    <w:rsid w:val="00846071"/>
    <w:rsid w:val="00846661"/>
    <w:rsid w:val="0085774D"/>
    <w:rsid w:val="00863C1D"/>
    <w:rsid w:val="008D42DB"/>
    <w:rsid w:val="008F3AC2"/>
    <w:rsid w:val="008F3C20"/>
    <w:rsid w:val="00913434"/>
    <w:rsid w:val="00926B16"/>
    <w:rsid w:val="00935A7E"/>
    <w:rsid w:val="00942665"/>
    <w:rsid w:val="00947C4F"/>
    <w:rsid w:val="00957DE5"/>
    <w:rsid w:val="0098343D"/>
    <w:rsid w:val="009962F7"/>
    <w:rsid w:val="00996DB8"/>
    <w:rsid w:val="009A507C"/>
    <w:rsid w:val="009C6563"/>
    <w:rsid w:val="009D7F17"/>
    <w:rsid w:val="009F459D"/>
    <w:rsid w:val="009F77C3"/>
    <w:rsid w:val="00A65ADE"/>
    <w:rsid w:val="00A75AAC"/>
    <w:rsid w:val="00A93FE6"/>
    <w:rsid w:val="00A971A8"/>
    <w:rsid w:val="00AB00F9"/>
    <w:rsid w:val="00AC3BC9"/>
    <w:rsid w:val="00AD1264"/>
    <w:rsid w:val="00AE597A"/>
    <w:rsid w:val="00B12497"/>
    <w:rsid w:val="00B4444B"/>
    <w:rsid w:val="00B7075C"/>
    <w:rsid w:val="00BB3D4A"/>
    <w:rsid w:val="00BB61B3"/>
    <w:rsid w:val="00BC4E82"/>
    <w:rsid w:val="00BD2314"/>
    <w:rsid w:val="00BD23E2"/>
    <w:rsid w:val="00BF04D2"/>
    <w:rsid w:val="00BF2F30"/>
    <w:rsid w:val="00C13E8F"/>
    <w:rsid w:val="00C36608"/>
    <w:rsid w:val="00C43E4E"/>
    <w:rsid w:val="00C5105F"/>
    <w:rsid w:val="00C6269E"/>
    <w:rsid w:val="00C824A2"/>
    <w:rsid w:val="00CA50E1"/>
    <w:rsid w:val="00D07CA2"/>
    <w:rsid w:val="00D142B6"/>
    <w:rsid w:val="00D22B7B"/>
    <w:rsid w:val="00D44460"/>
    <w:rsid w:val="00D53A8A"/>
    <w:rsid w:val="00D77351"/>
    <w:rsid w:val="00D85750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C2FC7"/>
    <w:rsid w:val="00ED392E"/>
    <w:rsid w:val="00ED44B3"/>
    <w:rsid w:val="00F07E07"/>
    <w:rsid w:val="00F20AC1"/>
    <w:rsid w:val="00F249BE"/>
    <w:rsid w:val="00F31246"/>
    <w:rsid w:val="00F5301B"/>
    <w:rsid w:val="00F60507"/>
    <w:rsid w:val="00F63355"/>
    <w:rsid w:val="00F7515D"/>
    <w:rsid w:val="00F7735C"/>
    <w:rsid w:val="00F8608B"/>
    <w:rsid w:val="00F9291C"/>
    <w:rsid w:val="00F93E5E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04B8A-801D-4CC5-953D-F096F21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3212</Words>
  <Characters>19272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2020-02-17T11:38:00Z</dcterms:created>
  <dcterms:modified xsi:type="dcterms:W3CDTF">2020-02-17T11:38:00Z</dcterms:modified>
</cp:coreProperties>
</file>