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00B87" w14:textId="5704EB28" w:rsidR="00261513" w:rsidRPr="00AA190F" w:rsidRDefault="00261513" w:rsidP="00261513">
      <w:pPr>
        <w:jc w:val="right"/>
        <w:rPr>
          <w:rFonts w:cs="Arial"/>
          <w:b/>
          <w:bCs/>
          <w:sz w:val="18"/>
          <w:szCs w:val="18"/>
          <w:lang w:val="pl-PL"/>
        </w:rPr>
      </w:pPr>
      <w:r w:rsidRPr="00AA190F">
        <w:rPr>
          <w:rFonts w:cs="Arial"/>
          <w:b/>
          <w:bCs/>
          <w:sz w:val="18"/>
          <w:szCs w:val="18"/>
          <w:lang w:val="pl-PL"/>
        </w:rPr>
        <w:t>Załącznik</w:t>
      </w:r>
    </w:p>
    <w:p w14:paraId="3F46E74D" w14:textId="72BE30A0" w:rsidR="00261513" w:rsidRPr="00AA190F" w:rsidRDefault="00261513" w:rsidP="00261513">
      <w:pPr>
        <w:jc w:val="right"/>
        <w:rPr>
          <w:rFonts w:cs="Arial"/>
          <w:b/>
          <w:bCs/>
          <w:sz w:val="18"/>
          <w:szCs w:val="18"/>
          <w:lang w:val="pl-PL"/>
        </w:rPr>
      </w:pPr>
      <w:r w:rsidRPr="00AA190F">
        <w:rPr>
          <w:rFonts w:cs="Arial"/>
          <w:b/>
          <w:bCs/>
          <w:sz w:val="18"/>
          <w:szCs w:val="18"/>
          <w:lang w:val="pl-PL"/>
        </w:rPr>
        <w:t>do uchwały nr 1</w:t>
      </w:r>
    </w:p>
    <w:p w14:paraId="1E2443BA" w14:textId="055C54D4" w:rsidR="00261513" w:rsidRPr="00AA190F" w:rsidRDefault="00261513" w:rsidP="00261513">
      <w:pPr>
        <w:jc w:val="right"/>
        <w:rPr>
          <w:rFonts w:cs="Arial"/>
          <w:b/>
          <w:bCs/>
          <w:sz w:val="18"/>
          <w:szCs w:val="18"/>
          <w:lang w:val="pl-PL"/>
        </w:rPr>
      </w:pPr>
      <w:r w:rsidRPr="00AA190F">
        <w:rPr>
          <w:rFonts w:cs="Arial"/>
          <w:b/>
          <w:bCs/>
          <w:sz w:val="18"/>
          <w:szCs w:val="18"/>
          <w:lang w:val="pl-PL"/>
        </w:rPr>
        <w:t>Komitetu do spraw Cyfryzacji</w:t>
      </w:r>
    </w:p>
    <w:p w14:paraId="7046E65F" w14:textId="68DF8FEF" w:rsidR="00261513" w:rsidRPr="00AA190F" w:rsidRDefault="00261513" w:rsidP="00261513">
      <w:pPr>
        <w:jc w:val="right"/>
        <w:rPr>
          <w:rFonts w:cs="Arial"/>
          <w:b/>
          <w:bCs/>
          <w:sz w:val="18"/>
          <w:szCs w:val="18"/>
          <w:lang w:val="pl-PL"/>
        </w:rPr>
      </w:pPr>
      <w:r w:rsidRPr="00AA190F">
        <w:rPr>
          <w:rFonts w:cs="Arial"/>
          <w:b/>
          <w:bCs/>
          <w:sz w:val="18"/>
          <w:szCs w:val="18"/>
          <w:lang w:val="pl-PL"/>
        </w:rPr>
        <w:t>z dnia</w:t>
      </w:r>
      <w:r w:rsidR="004B71A2" w:rsidRPr="00AA190F">
        <w:rPr>
          <w:rFonts w:cs="Arial"/>
          <w:b/>
          <w:bCs/>
          <w:sz w:val="18"/>
          <w:szCs w:val="18"/>
          <w:lang w:val="pl-PL"/>
        </w:rPr>
        <w:t xml:space="preserve"> </w:t>
      </w:r>
      <w:r w:rsidR="00BD080C" w:rsidRPr="00AA190F">
        <w:rPr>
          <w:rFonts w:cs="Arial"/>
          <w:b/>
          <w:bCs/>
          <w:sz w:val="18"/>
          <w:szCs w:val="18"/>
          <w:lang w:val="pl-PL"/>
        </w:rPr>
        <w:t>8 maja 2026 r.</w:t>
      </w:r>
    </w:p>
    <w:p w14:paraId="573417C0" w14:textId="77777777" w:rsidR="00261513" w:rsidRDefault="00261513" w:rsidP="002C2F49">
      <w:pPr>
        <w:jc w:val="center"/>
        <w:rPr>
          <w:rFonts w:cs="Arial"/>
          <w:b/>
          <w:lang w:val="pl-PL"/>
        </w:rPr>
      </w:pPr>
    </w:p>
    <w:p w14:paraId="6DD95057" w14:textId="0CF287A4" w:rsidR="00E04C49" w:rsidRPr="001B6667" w:rsidRDefault="00231DE6" w:rsidP="00A308C0">
      <w:pPr>
        <w:spacing w:after="240"/>
        <w:jc w:val="center"/>
        <w:rPr>
          <w:rFonts w:cs="Arial"/>
          <w:b/>
          <w:lang w:val="pl-PL"/>
        </w:rPr>
      </w:pPr>
      <w:r w:rsidRPr="001B6667">
        <w:rPr>
          <w:rFonts w:cs="Arial"/>
          <w:b/>
          <w:lang w:val="pl-PL"/>
        </w:rPr>
        <w:t>OPIS</w:t>
      </w:r>
      <w:r w:rsidR="002A649D">
        <w:rPr>
          <w:rFonts w:cs="Arial"/>
          <w:b/>
          <w:lang w:val="pl-PL"/>
        </w:rPr>
        <w:t>U</w:t>
      </w:r>
      <w:r w:rsidRPr="001B6667">
        <w:rPr>
          <w:rFonts w:cs="Arial"/>
          <w:b/>
          <w:lang w:val="pl-PL"/>
        </w:rPr>
        <w:t xml:space="preserve"> ZAŁOŻEŃ </w:t>
      </w:r>
      <w:r w:rsidR="00470022">
        <w:rPr>
          <w:rFonts w:cs="Arial"/>
          <w:b/>
          <w:lang w:val="pl-PL"/>
        </w:rPr>
        <w:t>PRZEDSIĘWZIĘCIA</w:t>
      </w:r>
      <w:r w:rsidR="00470022" w:rsidRPr="001B6667">
        <w:rPr>
          <w:rFonts w:cs="Arial"/>
          <w:b/>
          <w:lang w:val="pl-PL"/>
        </w:rPr>
        <w:t xml:space="preserve"> </w:t>
      </w:r>
      <w:r w:rsidRPr="001B6667">
        <w:rPr>
          <w:rFonts w:cs="Arial"/>
          <w:b/>
          <w:lang w:val="pl-PL"/>
        </w:rPr>
        <w:t>INFORMATYCZNEGO</w:t>
      </w:r>
      <w:r w:rsidR="00BA20E7">
        <w:rPr>
          <w:rFonts w:cs="Arial"/>
          <w:b/>
          <w:lang w:val="pl-PL"/>
        </w:rPr>
        <w:t xml:space="preserve"> </w:t>
      </w:r>
      <w:r w:rsidR="00BA20E7">
        <w:rPr>
          <w:rFonts w:cs="Arial"/>
          <w:b/>
          <w:lang w:val="pl-PL"/>
        </w:rPr>
        <w:br/>
        <w:t>O PUBLICZNYM ZASTOSOWANIU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7"/>
        <w:gridCol w:w="2350"/>
        <w:gridCol w:w="2334"/>
        <w:gridCol w:w="2729"/>
      </w:tblGrid>
      <w:tr w:rsidR="00D9223C" w:rsidRPr="00AA190F" w:rsidDel="00440618" w14:paraId="016646D4" w14:textId="77777777" w:rsidTr="00D17C22">
        <w:trPr>
          <w:trHeight w:val="57"/>
        </w:trPr>
        <w:tc>
          <w:tcPr>
            <w:tcW w:w="1319" w:type="pct"/>
            <w:shd w:val="clear" w:color="auto" w:fill="E7E6E6"/>
            <w:vAlign w:val="center"/>
          </w:tcPr>
          <w:p w14:paraId="44EC06ED" w14:textId="3F3661B8" w:rsidR="00D9223C" w:rsidRPr="001B6667" w:rsidDel="00440618" w:rsidRDefault="00866FA0" w:rsidP="001B6667">
            <w:pPr>
              <w:spacing w:after="120"/>
              <w:rPr>
                <w:rFonts w:cs="Arial"/>
                <w:b/>
                <w:lang w:val="pl-PL"/>
              </w:rPr>
            </w:pPr>
            <w:r>
              <w:rPr>
                <w:rFonts w:cs="Arial"/>
                <w:b/>
                <w:lang w:val="pl-PL"/>
              </w:rPr>
              <w:t>Tytuł</w:t>
            </w:r>
            <w:r w:rsidR="00D9223C" w:rsidRPr="001B6667">
              <w:rPr>
                <w:rFonts w:cs="Arial"/>
                <w:b/>
                <w:lang w:val="pl-PL"/>
              </w:rPr>
              <w:t xml:space="preserve"> </w:t>
            </w:r>
            <w:r w:rsidR="00DF701F">
              <w:rPr>
                <w:rFonts w:cs="Arial"/>
                <w:b/>
                <w:lang w:val="pl-PL"/>
              </w:rPr>
              <w:t>przedsięwzięcia</w:t>
            </w:r>
          </w:p>
        </w:tc>
        <w:tc>
          <w:tcPr>
            <w:tcW w:w="3681" w:type="pct"/>
            <w:gridSpan w:val="3"/>
            <w:shd w:val="clear" w:color="auto" w:fill="FFFFFF"/>
            <w:vAlign w:val="center"/>
          </w:tcPr>
          <w:p w14:paraId="2DD28C8A" w14:textId="62349881" w:rsidR="00D9223C" w:rsidRPr="00BC236F" w:rsidDel="00440618" w:rsidRDefault="007072AD" w:rsidP="001B6667">
            <w:pPr>
              <w:jc w:val="both"/>
              <w:rPr>
                <w:rFonts w:cs="Arial"/>
                <w:color w:val="000000" w:themeColor="text1"/>
                <w:sz w:val="22"/>
                <w:lang w:val="pl-PL"/>
              </w:rPr>
            </w:pPr>
            <w:r w:rsidRPr="00BC236F">
              <w:rPr>
                <w:rFonts w:cs="Arial"/>
                <w:color w:val="000000" w:themeColor="text1"/>
                <w:sz w:val="22"/>
                <w:lang w:val="pl-PL"/>
              </w:rPr>
              <w:t>Referencyjna i bezpieczna infrastruktura wewnątrzadministracyjna oraz Doradczy System Ekspertowy (DSE-L) dla wymiaru sprawiedliwości i struktur adwokatury</w:t>
            </w:r>
          </w:p>
        </w:tc>
      </w:tr>
      <w:tr w:rsidR="00D9223C" w:rsidRPr="00AA190F" w:rsidDel="00440618" w14:paraId="6A8CE40D" w14:textId="77777777" w:rsidTr="00D17C22">
        <w:trPr>
          <w:trHeight w:val="57"/>
        </w:trPr>
        <w:tc>
          <w:tcPr>
            <w:tcW w:w="1319" w:type="pct"/>
            <w:shd w:val="clear" w:color="auto" w:fill="E7E6E6"/>
            <w:vAlign w:val="center"/>
          </w:tcPr>
          <w:p w14:paraId="4BB7EB70" w14:textId="77777777" w:rsidR="00D9223C" w:rsidRPr="001B6667" w:rsidDel="00440618" w:rsidRDefault="00D9223C" w:rsidP="001B6667">
            <w:pPr>
              <w:spacing w:after="120"/>
              <w:rPr>
                <w:rFonts w:cs="Arial"/>
                <w:b/>
                <w:lang w:val="pl-PL"/>
              </w:rPr>
            </w:pPr>
            <w:r w:rsidRPr="001B6667">
              <w:rPr>
                <w:rFonts w:cs="Arial"/>
                <w:b/>
                <w:lang w:val="pl-PL"/>
              </w:rPr>
              <w:t>Wnioskodawca</w:t>
            </w:r>
          </w:p>
        </w:tc>
        <w:tc>
          <w:tcPr>
            <w:tcW w:w="3681" w:type="pct"/>
            <w:gridSpan w:val="3"/>
            <w:shd w:val="clear" w:color="auto" w:fill="FFFFFF"/>
            <w:vAlign w:val="center"/>
          </w:tcPr>
          <w:p w14:paraId="69CFF8E9" w14:textId="5D3DBD76" w:rsidR="00D9223C" w:rsidRPr="00244181" w:rsidDel="00440618" w:rsidRDefault="00244181" w:rsidP="005B05C3">
            <w:pPr>
              <w:spacing w:after="120"/>
              <w:rPr>
                <w:rFonts w:cs="Arial"/>
                <w:color w:val="000000" w:themeColor="text1"/>
                <w:sz w:val="22"/>
                <w:lang w:val="pl-PL"/>
              </w:rPr>
            </w:pPr>
            <w:r w:rsidRPr="00244181">
              <w:rPr>
                <w:rFonts w:cs="Arial"/>
                <w:color w:val="000000" w:themeColor="text1"/>
                <w:sz w:val="22"/>
                <w:lang w:val="pl-PL"/>
              </w:rPr>
              <w:t>Naczelna Rada Adwokacka</w:t>
            </w:r>
          </w:p>
        </w:tc>
      </w:tr>
      <w:tr w:rsidR="00D9223C" w:rsidRPr="00402AAE" w:rsidDel="00440618" w14:paraId="4E7E0E80" w14:textId="77777777" w:rsidTr="00D17C22">
        <w:trPr>
          <w:trHeight w:val="57"/>
        </w:trPr>
        <w:tc>
          <w:tcPr>
            <w:tcW w:w="1319" w:type="pct"/>
            <w:shd w:val="clear" w:color="auto" w:fill="E7E6E6"/>
            <w:vAlign w:val="center"/>
          </w:tcPr>
          <w:p w14:paraId="3A15A5A8" w14:textId="77777777" w:rsidR="00D9223C" w:rsidRPr="001B6667" w:rsidRDefault="00D9223C" w:rsidP="001B6667">
            <w:pPr>
              <w:spacing w:after="120"/>
              <w:rPr>
                <w:rFonts w:cs="Arial"/>
                <w:b/>
                <w:lang w:val="pl-PL"/>
              </w:rPr>
            </w:pPr>
            <w:r w:rsidRPr="001B6667">
              <w:rPr>
                <w:rFonts w:cs="Arial"/>
                <w:b/>
                <w:lang w:val="pl-PL"/>
              </w:rPr>
              <w:t>Beneficjent</w:t>
            </w:r>
          </w:p>
        </w:tc>
        <w:tc>
          <w:tcPr>
            <w:tcW w:w="3681" w:type="pct"/>
            <w:gridSpan w:val="3"/>
            <w:shd w:val="clear" w:color="auto" w:fill="FFFFFF"/>
            <w:vAlign w:val="center"/>
          </w:tcPr>
          <w:p w14:paraId="6B80FD30" w14:textId="6D0321F4" w:rsidR="00D9223C" w:rsidRPr="00244181" w:rsidDel="00440618" w:rsidRDefault="001859EC" w:rsidP="008E323E">
            <w:pPr>
              <w:rPr>
                <w:rFonts w:cs="Arial"/>
                <w:color w:val="000000" w:themeColor="text1"/>
                <w:sz w:val="22"/>
                <w:szCs w:val="22"/>
                <w:lang w:val="pl-PL"/>
              </w:rPr>
            </w:pPr>
            <w:r w:rsidRPr="00244181">
              <w:rPr>
                <w:rFonts w:cs="Arial"/>
                <w:color w:val="000000" w:themeColor="text1"/>
                <w:sz w:val="22"/>
                <w:szCs w:val="22"/>
                <w:lang w:val="pl-PL"/>
              </w:rPr>
              <w:t>Naczelna Rada Adwokacka</w:t>
            </w:r>
          </w:p>
        </w:tc>
      </w:tr>
      <w:tr w:rsidR="00D9223C" w:rsidRPr="00AA190F" w:rsidDel="00440618" w14:paraId="609B89D8" w14:textId="77777777" w:rsidTr="00D17C22">
        <w:trPr>
          <w:trHeight w:val="57"/>
        </w:trPr>
        <w:tc>
          <w:tcPr>
            <w:tcW w:w="1319" w:type="pct"/>
            <w:shd w:val="clear" w:color="auto" w:fill="E7E6E6"/>
            <w:vAlign w:val="center"/>
          </w:tcPr>
          <w:p w14:paraId="54FF2C46" w14:textId="77777777" w:rsidR="00D9223C" w:rsidRPr="001B6667" w:rsidRDefault="00534314" w:rsidP="001B6667">
            <w:pPr>
              <w:spacing w:after="120"/>
              <w:rPr>
                <w:rFonts w:cs="Arial"/>
                <w:b/>
                <w:lang w:val="pl-PL"/>
              </w:rPr>
            </w:pPr>
            <w:r>
              <w:rPr>
                <w:rFonts w:cs="Arial"/>
                <w:b/>
                <w:lang w:val="pl-PL"/>
              </w:rPr>
              <w:t>P</w:t>
            </w:r>
            <w:r w:rsidR="00D9223C" w:rsidRPr="001B6667">
              <w:rPr>
                <w:rFonts w:cs="Arial"/>
                <w:b/>
                <w:lang w:val="pl-PL"/>
              </w:rPr>
              <w:t>artnerzy</w:t>
            </w:r>
          </w:p>
        </w:tc>
        <w:tc>
          <w:tcPr>
            <w:tcW w:w="3681" w:type="pct"/>
            <w:gridSpan w:val="3"/>
            <w:shd w:val="clear" w:color="auto" w:fill="FFFFFF"/>
            <w:vAlign w:val="center"/>
          </w:tcPr>
          <w:p w14:paraId="1D91050F" w14:textId="723BC913" w:rsidR="001859EC" w:rsidRPr="00244181" w:rsidRDefault="001859EC" w:rsidP="001859EC">
            <w:pPr>
              <w:rPr>
                <w:rFonts w:cs="Arial"/>
                <w:color w:val="000000" w:themeColor="text1"/>
                <w:sz w:val="22"/>
                <w:lang w:val="pl-PL"/>
              </w:rPr>
            </w:pPr>
            <w:r w:rsidRPr="00244181">
              <w:rPr>
                <w:rFonts w:cs="Arial"/>
                <w:color w:val="000000" w:themeColor="text1"/>
                <w:sz w:val="22"/>
                <w:lang w:val="pl-PL"/>
              </w:rPr>
              <w:t>Politechnika Krakowska im. Tadeusza Kościuszki</w:t>
            </w:r>
            <w:r w:rsidR="00C86C11">
              <w:rPr>
                <w:rFonts w:cs="Arial"/>
                <w:color w:val="000000" w:themeColor="text1"/>
                <w:sz w:val="22"/>
                <w:lang w:val="pl-PL"/>
              </w:rPr>
              <w:t xml:space="preserve"> </w:t>
            </w:r>
          </w:p>
          <w:p w14:paraId="5C526939" w14:textId="47BE7FDB" w:rsidR="00D9223C" w:rsidRPr="00244181" w:rsidDel="00440618" w:rsidRDefault="001859EC" w:rsidP="001859EC">
            <w:pPr>
              <w:rPr>
                <w:rFonts w:cs="Arial"/>
                <w:color w:val="000000" w:themeColor="text1"/>
                <w:sz w:val="22"/>
                <w:lang w:val="pl-PL"/>
              </w:rPr>
            </w:pPr>
            <w:r w:rsidRPr="00244181">
              <w:rPr>
                <w:rFonts w:cs="Arial"/>
                <w:color w:val="000000" w:themeColor="text1"/>
                <w:sz w:val="22"/>
                <w:lang w:val="pl-PL"/>
              </w:rPr>
              <w:t>Szkoła Główna Handlowa</w:t>
            </w:r>
            <w:r w:rsidR="00C86C11">
              <w:rPr>
                <w:rFonts w:cs="Arial"/>
                <w:color w:val="000000" w:themeColor="text1"/>
                <w:sz w:val="22"/>
                <w:lang w:val="pl-PL"/>
              </w:rPr>
              <w:t xml:space="preserve"> w Warszawie</w:t>
            </w:r>
          </w:p>
        </w:tc>
      </w:tr>
      <w:tr w:rsidR="00D9223C" w:rsidRPr="00AA190F" w:rsidDel="00440618" w14:paraId="38418C25" w14:textId="77777777" w:rsidTr="00D17C22">
        <w:trPr>
          <w:trHeight w:val="57"/>
        </w:trPr>
        <w:tc>
          <w:tcPr>
            <w:tcW w:w="1319" w:type="pct"/>
            <w:shd w:val="clear" w:color="auto" w:fill="E7E6E6"/>
            <w:vAlign w:val="center"/>
          </w:tcPr>
          <w:p w14:paraId="4A041103" w14:textId="77777777" w:rsidR="00D9223C" w:rsidRPr="001B6667" w:rsidRDefault="00D9223C" w:rsidP="001B6667">
            <w:pPr>
              <w:spacing w:after="120"/>
              <w:rPr>
                <w:rFonts w:cs="Arial"/>
                <w:b/>
                <w:lang w:val="pl-PL"/>
              </w:rPr>
            </w:pPr>
            <w:r w:rsidRPr="001B6667">
              <w:rPr>
                <w:rFonts w:cs="Arial"/>
                <w:b/>
                <w:lang w:val="pl-PL"/>
              </w:rPr>
              <w:t>Źródło finansowania</w:t>
            </w:r>
          </w:p>
        </w:tc>
        <w:tc>
          <w:tcPr>
            <w:tcW w:w="3681" w:type="pct"/>
            <w:gridSpan w:val="3"/>
            <w:shd w:val="clear" w:color="auto" w:fill="FFFFFF"/>
            <w:vAlign w:val="center"/>
          </w:tcPr>
          <w:p w14:paraId="190D8F5C" w14:textId="6BA60BD8" w:rsidR="00D9223C" w:rsidRPr="00BC236F" w:rsidDel="00440618" w:rsidRDefault="001859EC" w:rsidP="008E323E">
            <w:pPr>
              <w:rPr>
                <w:rFonts w:cs="Arial"/>
                <w:color w:val="000000" w:themeColor="text1"/>
                <w:sz w:val="22"/>
                <w:lang w:val="pl-PL"/>
              </w:rPr>
            </w:pPr>
            <w:r w:rsidRPr="00BC236F">
              <w:rPr>
                <w:rFonts w:cs="Arial"/>
                <w:color w:val="000000" w:themeColor="text1"/>
                <w:sz w:val="22"/>
                <w:lang w:val="pl-PL"/>
              </w:rPr>
              <w:t>Działanie FERC.02.01 Wysoka jakość i dostępność e-usług publicznych</w:t>
            </w:r>
          </w:p>
        </w:tc>
      </w:tr>
      <w:tr w:rsidR="00885C3A" w:rsidRPr="00402AAE" w:rsidDel="00440618" w14:paraId="6CD43788" w14:textId="77777777" w:rsidTr="00D17C22">
        <w:trPr>
          <w:trHeight w:val="57"/>
        </w:trPr>
        <w:tc>
          <w:tcPr>
            <w:tcW w:w="1319" w:type="pct"/>
            <w:shd w:val="clear" w:color="auto" w:fill="E7E6E6"/>
            <w:vAlign w:val="center"/>
          </w:tcPr>
          <w:p w14:paraId="45AA4B78" w14:textId="264DF99C" w:rsidR="00885C3A" w:rsidRPr="001B6667" w:rsidRDefault="00F051E7" w:rsidP="001B6667">
            <w:pPr>
              <w:spacing w:after="120"/>
              <w:rPr>
                <w:rFonts w:cs="Arial"/>
                <w:b/>
                <w:lang w:val="pl-PL"/>
              </w:rPr>
            </w:pPr>
            <w:r w:rsidRPr="00F051E7">
              <w:rPr>
                <w:rFonts w:cs="Arial"/>
                <w:b/>
                <w:lang w:val="pl-PL"/>
              </w:rPr>
              <w:t xml:space="preserve">Całkowity koszt </w:t>
            </w:r>
            <w:r w:rsidR="00DF701F">
              <w:rPr>
                <w:rFonts w:cs="Arial"/>
                <w:b/>
                <w:lang w:val="pl-PL"/>
              </w:rPr>
              <w:t>przedsięwzięcia</w:t>
            </w:r>
          </w:p>
        </w:tc>
        <w:tc>
          <w:tcPr>
            <w:tcW w:w="3681" w:type="pct"/>
            <w:gridSpan w:val="3"/>
            <w:shd w:val="clear" w:color="auto" w:fill="FFFFFF"/>
            <w:vAlign w:val="center"/>
          </w:tcPr>
          <w:p w14:paraId="311E273E" w14:textId="3FC566AD" w:rsidR="00885C3A" w:rsidRPr="00BC236F" w:rsidRDefault="007072AD" w:rsidP="008E323E">
            <w:pPr>
              <w:rPr>
                <w:rFonts w:cs="Arial"/>
                <w:color w:val="000000" w:themeColor="text1"/>
                <w:sz w:val="22"/>
                <w:lang w:val="pl-PL"/>
              </w:rPr>
            </w:pPr>
            <w:r w:rsidRPr="00BC236F">
              <w:rPr>
                <w:rFonts w:cs="Arial"/>
                <w:color w:val="000000" w:themeColor="text1"/>
                <w:sz w:val="22"/>
                <w:lang w:val="pl-PL"/>
              </w:rPr>
              <w:t>21.079.000,0</w:t>
            </w:r>
            <w:r w:rsidR="00244181" w:rsidRPr="00BC236F">
              <w:rPr>
                <w:rFonts w:cs="Arial"/>
                <w:color w:val="000000" w:themeColor="text1"/>
                <w:sz w:val="22"/>
                <w:lang w:val="pl-PL"/>
              </w:rPr>
              <w:t>0 zł</w:t>
            </w:r>
          </w:p>
        </w:tc>
      </w:tr>
      <w:tr w:rsidR="00885C3A" w:rsidRPr="00402AAE" w:rsidDel="00440618" w14:paraId="012ECFF1" w14:textId="77777777" w:rsidTr="00D17C22">
        <w:trPr>
          <w:trHeight w:val="57"/>
        </w:trPr>
        <w:tc>
          <w:tcPr>
            <w:tcW w:w="1319" w:type="pct"/>
            <w:shd w:val="clear" w:color="auto" w:fill="E7E6E6"/>
            <w:vAlign w:val="center"/>
          </w:tcPr>
          <w:p w14:paraId="24635D96" w14:textId="64C9CD16" w:rsidR="00885C3A" w:rsidRPr="001B6667" w:rsidRDefault="00F051E7" w:rsidP="00F051E7">
            <w:pPr>
              <w:spacing w:after="120"/>
              <w:rPr>
                <w:rFonts w:cs="Arial"/>
                <w:b/>
                <w:lang w:val="pl-PL"/>
              </w:rPr>
            </w:pPr>
            <w:r>
              <w:rPr>
                <w:rFonts w:cs="Arial"/>
                <w:b/>
                <w:lang w:val="pl-PL"/>
              </w:rPr>
              <w:t>Planowany o</w:t>
            </w:r>
            <w:r w:rsidR="008615CB">
              <w:rPr>
                <w:rFonts w:cs="Arial"/>
                <w:b/>
                <w:lang w:val="pl-PL"/>
              </w:rPr>
              <w:t>kres</w:t>
            </w:r>
            <w:r w:rsidR="008615CB" w:rsidRPr="001B6667">
              <w:rPr>
                <w:rFonts w:cs="Arial"/>
                <w:b/>
                <w:lang w:val="pl-PL"/>
              </w:rPr>
              <w:t xml:space="preserve"> </w:t>
            </w:r>
            <w:r w:rsidR="00885C3A" w:rsidRPr="001B6667">
              <w:rPr>
                <w:rFonts w:cs="Arial"/>
                <w:b/>
                <w:lang w:val="pl-PL"/>
              </w:rPr>
              <w:t xml:space="preserve">realizacji </w:t>
            </w:r>
            <w:r w:rsidR="00DF701F">
              <w:rPr>
                <w:rFonts w:cs="Arial"/>
                <w:b/>
                <w:lang w:val="pl-PL"/>
              </w:rPr>
              <w:t>przedsięwzięcia</w:t>
            </w:r>
          </w:p>
        </w:tc>
        <w:tc>
          <w:tcPr>
            <w:tcW w:w="3681" w:type="pct"/>
            <w:gridSpan w:val="3"/>
            <w:shd w:val="clear" w:color="auto" w:fill="FFFFFF"/>
            <w:vAlign w:val="center"/>
          </w:tcPr>
          <w:p w14:paraId="1309FCAA" w14:textId="597E9D82" w:rsidR="00885C3A" w:rsidRPr="00BC236F" w:rsidRDefault="007072AD" w:rsidP="008E323E">
            <w:pPr>
              <w:rPr>
                <w:rFonts w:cs="Arial"/>
                <w:color w:val="000000" w:themeColor="text1"/>
                <w:sz w:val="22"/>
                <w:lang w:val="pl-PL"/>
              </w:rPr>
            </w:pPr>
            <w:r w:rsidRPr="00BC236F">
              <w:rPr>
                <w:rFonts w:cs="Arial"/>
                <w:color w:val="000000" w:themeColor="text1"/>
                <w:sz w:val="22"/>
                <w:lang w:val="pl-PL" w:eastAsia="pl-PL"/>
              </w:rPr>
              <w:t>01.01.2027 – 31.12.2029</w:t>
            </w:r>
          </w:p>
        </w:tc>
      </w:tr>
      <w:tr w:rsidR="00F26E20" w:rsidRPr="001B6667" w14:paraId="6FD2655D" w14:textId="77777777" w:rsidTr="00D17C22">
        <w:trPr>
          <w:trHeight w:val="57"/>
        </w:trPr>
        <w:tc>
          <w:tcPr>
            <w:tcW w:w="1319" w:type="pct"/>
            <w:shd w:val="clear" w:color="auto" w:fill="E7E6E6"/>
            <w:vAlign w:val="center"/>
          </w:tcPr>
          <w:p w14:paraId="7BEBFD48" w14:textId="77777777" w:rsidR="00F26E20" w:rsidRPr="001B6667" w:rsidRDefault="00F26E20" w:rsidP="001B6667">
            <w:pPr>
              <w:spacing w:after="120"/>
              <w:rPr>
                <w:rFonts w:cs="Arial"/>
                <w:b/>
                <w:lang w:val="pl-PL"/>
              </w:rPr>
            </w:pPr>
            <w:r w:rsidRPr="001B6667">
              <w:rPr>
                <w:rFonts w:cs="Arial"/>
                <w:b/>
                <w:lang w:val="pl-PL"/>
              </w:rPr>
              <w:t>Osoba kontaktowa</w:t>
            </w:r>
          </w:p>
        </w:tc>
        <w:tc>
          <w:tcPr>
            <w:tcW w:w="1167" w:type="pct"/>
            <w:shd w:val="clear" w:color="auto" w:fill="FFFFFF"/>
            <w:vAlign w:val="center"/>
          </w:tcPr>
          <w:p w14:paraId="27609DDB" w14:textId="4B8936AC" w:rsidR="00F26E20" w:rsidRPr="007E7291" w:rsidRDefault="007E7291" w:rsidP="007E7291">
            <w:pPr>
              <w:jc w:val="center"/>
              <w:rPr>
                <w:rFonts w:cs="Arial"/>
                <w:color w:val="000000" w:themeColor="text1"/>
                <w:sz w:val="22"/>
                <w:lang w:val="pl-PL"/>
              </w:rPr>
            </w:pPr>
            <w:r w:rsidRPr="007E7291">
              <w:rPr>
                <w:rFonts w:cs="Arial"/>
                <w:color w:val="000000" w:themeColor="text1"/>
                <w:sz w:val="22"/>
                <w:lang w:val="pl-PL"/>
              </w:rPr>
              <w:t>Adam Kozień</w:t>
            </w:r>
          </w:p>
        </w:tc>
        <w:tc>
          <w:tcPr>
            <w:tcW w:w="1159" w:type="pct"/>
            <w:vAlign w:val="center"/>
          </w:tcPr>
          <w:p w14:paraId="4094B2C0" w14:textId="1A89A6FE" w:rsidR="00F26E20" w:rsidRPr="007E7291" w:rsidRDefault="007E7291" w:rsidP="007E7291">
            <w:pPr>
              <w:jc w:val="center"/>
              <w:rPr>
                <w:rFonts w:cs="Arial"/>
                <w:color w:val="000000" w:themeColor="text1"/>
                <w:sz w:val="22"/>
                <w:lang w:val="pl-PL"/>
              </w:rPr>
            </w:pPr>
            <w:r>
              <w:rPr>
                <w:rFonts w:cs="Arial"/>
                <w:color w:val="000000" w:themeColor="text1"/>
                <w:sz w:val="22"/>
                <w:lang w:val="pl-PL"/>
              </w:rPr>
              <w:t>a</w:t>
            </w:r>
            <w:r w:rsidRPr="007E7291">
              <w:rPr>
                <w:rFonts w:cs="Arial"/>
                <w:color w:val="000000" w:themeColor="text1"/>
                <w:sz w:val="22"/>
                <w:lang w:val="pl-PL"/>
              </w:rPr>
              <w:t>dam.kozien@nra.pl</w:t>
            </w:r>
          </w:p>
        </w:tc>
        <w:tc>
          <w:tcPr>
            <w:tcW w:w="1355" w:type="pct"/>
            <w:shd w:val="clear" w:color="auto" w:fill="FFFFFF"/>
            <w:vAlign w:val="center"/>
          </w:tcPr>
          <w:p w14:paraId="239A4193" w14:textId="19165C28" w:rsidR="00F26E20" w:rsidRPr="007E7291" w:rsidRDefault="007E7291" w:rsidP="007E7291">
            <w:pPr>
              <w:jc w:val="center"/>
              <w:rPr>
                <w:rFonts w:cs="Arial"/>
                <w:color w:val="000000" w:themeColor="text1"/>
                <w:sz w:val="22"/>
                <w:lang w:val="pl-PL"/>
              </w:rPr>
            </w:pPr>
            <w:r w:rsidRPr="007E7291">
              <w:rPr>
                <w:rFonts w:cs="Arial"/>
                <w:color w:val="000000" w:themeColor="text1"/>
                <w:sz w:val="22"/>
                <w:lang w:val="pl-PL"/>
              </w:rPr>
              <w:t>721 586 722</w:t>
            </w:r>
          </w:p>
        </w:tc>
      </w:tr>
    </w:tbl>
    <w:p w14:paraId="75878D21" w14:textId="77777777" w:rsidR="00D83767" w:rsidRPr="002C2F49" w:rsidRDefault="00D83767" w:rsidP="002C2F49">
      <w:pPr>
        <w:tabs>
          <w:tab w:val="left" w:pos="6000"/>
        </w:tabs>
        <w:rPr>
          <w:rFonts w:cs="Arial"/>
          <w:lang w:val="pl-PL"/>
        </w:rPr>
      </w:pPr>
    </w:p>
    <w:p w14:paraId="145781A2" w14:textId="68951490" w:rsidR="00AB4172" w:rsidRDefault="00AB4172" w:rsidP="00485E7E">
      <w:pPr>
        <w:pStyle w:val="Nagwek1"/>
        <w:spacing w:before="240" w:after="0"/>
        <w:ind w:left="426" w:hanging="426"/>
        <w:jc w:val="both"/>
        <w:rPr>
          <w:rFonts w:cs="Arial"/>
          <w:lang w:val="pl-PL" w:eastAsia="pl-PL"/>
        </w:rPr>
      </w:pPr>
      <w:bookmarkStart w:id="0" w:name="_Toc462924046"/>
      <w:r w:rsidRPr="001B6667">
        <w:rPr>
          <w:rFonts w:cs="Arial"/>
          <w:lang w:val="pl-PL" w:eastAsia="pl-PL"/>
        </w:rPr>
        <w:t xml:space="preserve">POWODY PODJĘCIA </w:t>
      </w:r>
      <w:r w:rsidR="00470022" w:rsidRPr="00470022">
        <w:rPr>
          <w:rFonts w:cs="Arial"/>
          <w:lang w:val="pl-PL" w:eastAsia="pl-PL"/>
        </w:rPr>
        <w:t>przedsięwzięcia</w:t>
      </w:r>
      <w:bookmarkEnd w:id="0"/>
    </w:p>
    <w:p w14:paraId="7C14F1D9" w14:textId="77777777" w:rsidR="009C7AD9" w:rsidRPr="009C7AD9" w:rsidRDefault="009C7AD9" w:rsidP="009C7AD9">
      <w:pPr>
        <w:pStyle w:val="Tekstpodstawowy"/>
        <w:ind w:left="710"/>
        <w:rPr>
          <w:color w:val="7F7F7F" w:themeColor="text1" w:themeTint="80"/>
          <w:sz w:val="20"/>
          <w:szCs w:val="20"/>
          <w:lang w:val="pl-PL" w:eastAsia="pl-PL"/>
        </w:rPr>
      </w:pPr>
      <w:r w:rsidRPr="009C7AD9">
        <w:rPr>
          <w:color w:val="7F7F7F" w:themeColor="text1" w:themeTint="80"/>
          <w:sz w:val="20"/>
          <w:szCs w:val="20"/>
          <w:lang w:val="pl-PL" w:eastAsia="pl-PL"/>
        </w:rPr>
        <w:t>&lt;&lt;maksymalnie 2000 znaków&gt;&gt;</w:t>
      </w:r>
    </w:p>
    <w:p w14:paraId="4A8F1568" w14:textId="77777777" w:rsidR="00D94004" w:rsidRPr="00D94004" w:rsidRDefault="00D94004" w:rsidP="00D94004">
      <w:pPr>
        <w:pStyle w:val="Nagwek2"/>
        <w:tabs>
          <w:tab w:val="num" w:pos="1134"/>
        </w:tabs>
        <w:rPr>
          <w:lang w:val="pl-PL" w:eastAsia="pl-PL"/>
        </w:rPr>
      </w:pPr>
      <w:bookmarkStart w:id="1" w:name="_Toc462924047"/>
      <w:r w:rsidRPr="00D94004">
        <w:rPr>
          <w:lang w:val="pl-PL" w:eastAsia="pl-PL"/>
        </w:rPr>
        <w:t>Identyfikacja problemu i potrzeb</w:t>
      </w:r>
    </w:p>
    <w:p w14:paraId="4F8F9344" w14:textId="2280C7A4" w:rsidR="007072AD" w:rsidRPr="00BC236F" w:rsidRDefault="007072AD" w:rsidP="00BC236F">
      <w:pPr>
        <w:pStyle w:val="Tekstpodstawowy2"/>
        <w:spacing w:after="0"/>
        <w:jc w:val="both"/>
        <w:rPr>
          <w:rFonts w:cs="Arial"/>
          <w:color w:val="000000" w:themeColor="text1"/>
          <w:sz w:val="22"/>
          <w:szCs w:val="22"/>
          <w:lang w:val="pl-PL" w:eastAsia="pl-PL"/>
        </w:rPr>
      </w:pPr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 xml:space="preserve">Planowane przedsięwzięcie stanowi duże, horyzontalne przedsięwzięcie wewnątrzadministracyjne (typ projektu nr 1 w ramach FERC Działania 2.1), nakierowane na głęboką cyfryzację procesów </w:t>
      </w:r>
      <w:proofErr w:type="spellStart"/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>back-office</w:t>
      </w:r>
      <w:proofErr w:type="spellEnd"/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 xml:space="preserve"> w wymiarze sprawiedliwości oraz strukturach samorządu adwokackiego. Rezygnacja z powszechnej dostępności obywatelskiej na rzecz dedykowanego, lokalnego systemu (on-</w:t>
      </w:r>
      <w:proofErr w:type="spellStart"/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>premise</w:t>
      </w:r>
      <w:proofErr w:type="spellEnd"/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>) wynika bezpośrednio z konieczności bezwzględnego spełnienia rygorystycznych, ustawowych wymogów ochrony tajemnicy prawniczej. Projekt buduje przełomową, suwerenną i referencyjną infrastrukturę bezpiecznej sztucznej inteligencji dla administracji publicznej.</w:t>
      </w:r>
    </w:p>
    <w:p w14:paraId="27BFBFFF" w14:textId="4A6516FF" w:rsidR="007072AD" w:rsidRPr="00BC236F" w:rsidRDefault="007072AD" w:rsidP="00BC236F">
      <w:pPr>
        <w:pStyle w:val="Tekstpodstawowy2"/>
        <w:spacing w:after="0"/>
        <w:jc w:val="both"/>
        <w:rPr>
          <w:rFonts w:cs="Arial"/>
          <w:color w:val="000000" w:themeColor="text1"/>
          <w:sz w:val="22"/>
          <w:szCs w:val="22"/>
          <w:lang w:val="pl-PL" w:eastAsia="pl-PL"/>
        </w:rPr>
      </w:pPr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>Wdrożenie systemu DSE-L, mimo swojej wewnątrzadministracyjnej architektury (A2A), bezpośrednio determinuje realizację kluczowych potrzeb obywateli, przedsiębiorców oraz całego wymiaru sprawiedliwości:</w:t>
      </w:r>
    </w:p>
    <w:p w14:paraId="05FE6C1E" w14:textId="2E543DAA" w:rsidR="007072AD" w:rsidRPr="00BC236F" w:rsidRDefault="007072AD" w:rsidP="00BC236F">
      <w:pPr>
        <w:pStyle w:val="Tekstpodstawowy2"/>
        <w:numPr>
          <w:ilvl w:val="0"/>
          <w:numId w:val="15"/>
        </w:numPr>
        <w:spacing w:after="0"/>
        <w:jc w:val="both"/>
        <w:rPr>
          <w:rFonts w:cs="Arial"/>
          <w:color w:val="000000" w:themeColor="text1"/>
          <w:sz w:val="22"/>
          <w:szCs w:val="22"/>
          <w:lang w:val="pl-PL" w:eastAsia="pl-PL"/>
        </w:rPr>
      </w:pPr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 xml:space="preserve">Likwidacja zatorów administracyjnych w sądownictwie: Przeciążenie urzędników pracą rutynową generuje wielomiesięczne opóźnienia w rozpatrywaniu spraw. Automatyzacja weryfikacji pism na poziomie </w:t>
      </w:r>
      <w:proofErr w:type="spellStart"/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>back-office</w:t>
      </w:r>
      <w:proofErr w:type="spellEnd"/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 xml:space="preserve"> radykalnie podnosi sprawność i standaryzację procesów publicznych, co przekłada się bezpośrednio na skrócenie czasu trwania postępowań dla obywateli i przedsiębiorców</w:t>
      </w:r>
    </w:p>
    <w:p w14:paraId="3C8ECB41" w14:textId="258DDE68" w:rsidR="007072AD" w:rsidRPr="00BC236F" w:rsidRDefault="007072AD" w:rsidP="00BC236F">
      <w:pPr>
        <w:pStyle w:val="Tekstpodstawowy2"/>
        <w:numPr>
          <w:ilvl w:val="0"/>
          <w:numId w:val="15"/>
        </w:numPr>
        <w:spacing w:after="0"/>
        <w:jc w:val="both"/>
        <w:rPr>
          <w:rFonts w:cs="Arial"/>
          <w:color w:val="000000" w:themeColor="text1"/>
          <w:sz w:val="22"/>
          <w:szCs w:val="22"/>
          <w:lang w:val="pl-PL" w:eastAsia="pl-PL"/>
        </w:rPr>
      </w:pPr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 xml:space="preserve">Bezwzględna ochrona prywatności i danych wrażliwych obywateli: Tradycyjne przetwarzanie danych procesowych niesie ze sobą ryzyko naruszenia tajemnic prawnie chronionych. Izolacja logiczna i zaawansowane algorytmy eliminują ryzyko wycieku </w:t>
      </w:r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lastRenderedPageBreak/>
        <w:t xml:space="preserve">danych osobowych poza bezpieczne granice infrastruktury państwowej, w pełni chroniąc konstytucyjne prawa obywateli oraz reżim tajemnicy adwokackiej, obrończej </w:t>
      </w:r>
      <w:r w:rsidR="00BC236F">
        <w:rPr>
          <w:rFonts w:cs="Arial"/>
          <w:color w:val="000000" w:themeColor="text1"/>
          <w:sz w:val="22"/>
          <w:szCs w:val="22"/>
          <w:lang w:val="pl-PL" w:eastAsia="pl-PL"/>
        </w:rPr>
        <w:br/>
      </w:r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>i sędziowskiej.</w:t>
      </w:r>
    </w:p>
    <w:p w14:paraId="6CE76545" w14:textId="4E9A0A15" w:rsidR="007072AD" w:rsidRPr="00BC236F" w:rsidRDefault="007072AD" w:rsidP="00BC236F">
      <w:pPr>
        <w:pStyle w:val="Tekstpodstawowy2"/>
        <w:numPr>
          <w:ilvl w:val="0"/>
          <w:numId w:val="15"/>
        </w:numPr>
        <w:spacing w:after="0"/>
        <w:jc w:val="both"/>
        <w:rPr>
          <w:rFonts w:cs="Arial"/>
          <w:color w:val="000000" w:themeColor="text1"/>
          <w:sz w:val="22"/>
          <w:szCs w:val="22"/>
          <w:lang w:val="pl-PL" w:eastAsia="pl-PL"/>
        </w:rPr>
      </w:pPr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>Zwiększenie transparentności i dostępności do zasobów wiedzy prawnej: Proces publikacji orzecznictwa jest obecnie opóźniony przez bariery manualnej weryfikacji. Automatyzacja tego procesu pozwala na masowe tworzenie bezpiecznych, zanonimizowanych i ustrukturyzowanych zbiorów dokumentów w otwartych formatach, stymulując ich wtórne wykorzystanie (re-</w:t>
      </w:r>
      <w:proofErr w:type="spellStart"/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>use</w:t>
      </w:r>
      <w:proofErr w:type="spellEnd"/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 xml:space="preserve">) przez inne organy publiczne </w:t>
      </w:r>
      <w:r w:rsidR="00BC236F">
        <w:rPr>
          <w:rFonts w:cs="Arial"/>
          <w:color w:val="000000" w:themeColor="text1"/>
          <w:sz w:val="22"/>
          <w:szCs w:val="22"/>
          <w:lang w:val="pl-PL" w:eastAsia="pl-PL"/>
        </w:rPr>
        <w:br/>
      </w:r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>i społeczeństwo.</w:t>
      </w:r>
    </w:p>
    <w:p w14:paraId="432A2A34" w14:textId="4990648C" w:rsidR="007072AD" w:rsidRPr="00BC236F" w:rsidRDefault="007072AD" w:rsidP="00BC236F">
      <w:pPr>
        <w:pStyle w:val="Tekstpodstawowy2"/>
        <w:numPr>
          <w:ilvl w:val="0"/>
          <w:numId w:val="15"/>
        </w:numPr>
        <w:spacing w:after="0"/>
        <w:jc w:val="both"/>
        <w:rPr>
          <w:rFonts w:cs="Arial"/>
          <w:color w:val="000000" w:themeColor="text1"/>
          <w:sz w:val="22"/>
          <w:szCs w:val="22"/>
          <w:lang w:val="pl-PL" w:eastAsia="pl-PL"/>
        </w:rPr>
      </w:pPr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 xml:space="preserve">Eliminacja błędów formalnych na etapie </w:t>
      </w:r>
      <w:proofErr w:type="spellStart"/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>przedprocesowym</w:t>
      </w:r>
      <w:proofErr w:type="spellEnd"/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>: Poprzez udostępnienie bezpiecznych, ustandaryzowanych interfejsów API A2A dla struktur samorządu adwokackiego, profesjonalni pełnomocnicy zyskują narzędzie do walidacji pism przed ich przedłożeniem organom publicznym. Bezpośrednio zapobiega to masowym zwrotom pism z przyczyn oczywistych braków formalnych, podnosząc jakość i kulturę cyfrową obsługi prawnej obywateli.</w:t>
      </w:r>
    </w:p>
    <w:p w14:paraId="71FCE524" w14:textId="06819A5B" w:rsidR="007072AD" w:rsidRPr="00BC236F" w:rsidRDefault="007072AD" w:rsidP="00BC236F">
      <w:pPr>
        <w:pStyle w:val="Tekstpodstawowy2"/>
        <w:numPr>
          <w:ilvl w:val="0"/>
          <w:numId w:val="15"/>
        </w:numPr>
        <w:spacing w:after="0"/>
        <w:jc w:val="both"/>
        <w:rPr>
          <w:rFonts w:cs="Arial"/>
          <w:color w:val="000000" w:themeColor="text1"/>
          <w:sz w:val="22"/>
          <w:szCs w:val="22"/>
          <w:lang w:val="pl-PL" w:eastAsia="pl-PL"/>
        </w:rPr>
      </w:pPr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 xml:space="preserve">Wyznaczanie standardów etycznych i zgodności z prawem unijnym: Wdrożenie niezależnego audytu etycznego sztucznej inteligencji (AI </w:t>
      </w:r>
      <w:proofErr w:type="spellStart"/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>Fairness</w:t>
      </w:r>
      <w:proofErr w:type="spellEnd"/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 xml:space="preserve">) w fazie testowej wyprzedza rynkowe standardy i odpowiada na społeczną potrzebę budowy zaufania </w:t>
      </w:r>
      <w:r w:rsidR="00BC236F">
        <w:rPr>
          <w:rFonts w:cs="Arial"/>
          <w:color w:val="000000" w:themeColor="text1"/>
          <w:sz w:val="22"/>
          <w:szCs w:val="22"/>
          <w:lang w:val="pl-PL" w:eastAsia="pl-PL"/>
        </w:rPr>
        <w:br/>
      </w:r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 xml:space="preserve">do algorytmów podejmujących lub wspomagających decyzje w sektorze publicznym, zgodnie z wymogami unijnego AI </w:t>
      </w:r>
      <w:proofErr w:type="spellStart"/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>Act</w:t>
      </w:r>
      <w:proofErr w:type="spellEnd"/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>.</w:t>
      </w:r>
    </w:p>
    <w:p w14:paraId="13D807D8" w14:textId="0A38A07C" w:rsidR="00EB4014" w:rsidRPr="00BC236F" w:rsidRDefault="00EB4014" w:rsidP="00BC236F">
      <w:pPr>
        <w:pStyle w:val="Tekstpodstawowy2"/>
        <w:numPr>
          <w:ilvl w:val="0"/>
          <w:numId w:val="15"/>
        </w:numPr>
        <w:spacing w:after="0"/>
        <w:jc w:val="both"/>
        <w:rPr>
          <w:rFonts w:cs="Arial"/>
          <w:color w:val="000000" w:themeColor="text1"/>
          <w:sz w:val="22"/>
          <w:szCs w:val="22"/>
          <w:lang w:val="pl-PL" w:eastAsia="pl-PL"/>
        </w:rPr>
      </w:pPr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 xml:space="preserve">Pełna </w:t>
      </w:r>
      <w:proofErr w:type="spellStart"/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>inkluzywność</w:t>
      </w:r>
      <w:proofErr w:type="spellEnd"/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>, projektowanie uniwersalne i standardy e-dostępności (</w:t>
      </w:r>
      <w:r w:rsidRPr="00BC236F">
        <w:rPr>
          <w:rFonts w:cs="Arial"/>
          <w:i/>
          <w:iCs/>
          <w:color w:val="000000" w:themeColor="text1"/>
          <w:sz w:val="22"/>
          <w:szCs w:val="22"/>
          <w:lang w:val="pl-PL" w:eastAsia="pl-PL"/>
        </w:rPr>
        <w:t>Digital Accessibility</w:t>
      </w:r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 xml:space="preserve">): Choć system DSE-L funkcjonuje w modelu wewnątrzadministracyjnym, jego interfejsy zostaną w pełni oparte na zasadach projektowania uniwersalnego, zapewniając możliwość w pełni samodzielnego i efektywnego korzystania z usług cyfrowych przez wszystkich użytkowników końcowych (w tym sędziów, asystentów, urzędników oraz profesjonalnych pełnomocników). Projekt systemowo zapobiega wykluczeniu cyfrowemu, bezpośrednio odpowiadając na potrzeby osób </w:t>
      </w:r>
      <w:r w:rsidR="00BC236F">
        <w:rPr>
          <w:rFonts w:cs="Arial"/>
          <w:color w:val="000000" w:themeColor="text1"/>
          <w:sz w:val="22"/>
          <w:szCs w:val="22"/>
          <w:lang w:val="pl-PL" w:eastAsia="pl-PL"/>
        </w:rPr>
        <w:br/>
      </w:r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 xml:space="preserve">z niepełnosprawnościami (w tym osób niewidomych i słabosłyszących), osób starszych, osób z ograniczeniami ruchowymi, a także obcokrajowców (wielojęzyczność interfejsu) oraz użytkowników urządzeń mobilnych. Dostępność produktów projektu zostanie zapewniona poprzez pełną kompatybilność z technologiami asystującymi (m.in. czytnikami ekranu) oraz wdrożenie obligatoryjnych audytów cząstkowych i eksperckich na każdym etapie powstawania poszczególnych funkcjonalności (zgodnie </w:t>
      </w:r>
      <w:r w:rsidR="00BC236F">
        <w:rPr>
          <w:rFonts w:cs="Arial"/>
          <w:color w:val="000000" w:themeColor="text1"/>
          <w:sz w:val="22"/>
          <w:szCs w:val="22"/>
          <w:lang w:val="pl-PL" w:eastAsia="pl-PL"/>
        </w:rPr>
        <w:br/>
      </w:r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>ze standardem WCAG 2.1 na poziomie AA), co całkowicie eliminuje ryzyko wystąpienia barier na poziomie interfejsu użytkownika (UI/UX).</w:t>
      </w:r>
    </w:p>
    <w:p w14:paraId="4A76E31A" w14:textId="77777777" w:rsidR="007072AD" w:rsidRDefault="007072AD" w:rsidP="00D94004">
      <w:pPr>
        <w:pStyle w:val="Tekstpodstawowy2"/>
        <w:spacing w:after="0"/>
        <w:rPr>
          <w:rFonts w:cs="Arial"/>
          <w:color w:val="0070C0"/>
          <w:sz w:val="22"/>
          <w:szCs w:val="22"/>
          <w:lang w:val="pl-PL" w:eastAsia="pl-PL"/>
        </w:rPr>
      </w:pPr>
    </w:p>
    <w:p w14:paraId="574F4264" w14:textId="1837FA39" w:rsidR="006C485E" w:rsidRPr="00485E7E" w:rsidRDefault="006C485E" w:rsidP="00485E7E">
      <w:pPr>
        <w:pStyle w:val="Nagwek2"/>
        <w:numPr>
          <w:ilvl w:val="0"/>
          <w:numId w:val="0"/>
        </w:numPr>
        <w:ind w:left="900"/>
        <w:jc w:val="both"/>
        <w:rPr>
          <w:b w:val="0"/>
          <w:color w:val="0070C0"/>
          <w:sz w:val="22"/>
          <w:szCs w:val="22"/>
          <w:lang w:val="pl-PL" w:eastAsia="pl-PL"/>
        </w:rPr>
      </w:pPr>
    </w:p>
    <w:tbl>
      <w:tblPr>
        <w:tblW w:w="936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2"/>
        <w:gridCol w:w="2847"/>
        <w:gridCol w:w="3307"/>
      </w:tblGrid>
      <w:tr w:rsidR="00D94004" w:rsidRPr="009718C9" w14:paraId="45173F35" w14:textId="77777777" w:rsidTr="00480C5A">
        <w:tc>
          <w:tcPr>
            <w:tcW w:w="3212" w:type="dxa"/>
            <w:shd w:val="clear" w:color="auto" w:fill="E7E6E6"/>
          </w:tcPr>
          <w:p w14:paraId="16B2DA0F" w14:textId="77777777" w:rsidR="00D94004" w:rsidRPr="009718C9" w:rsidRDefault="00D94004" w:rsidP="00480C5A">
            <w:pPr>
              <w:spacing w:before="120" w:after="120"/>
              <w:jc w:val="center"/>
              <w:rPr>
                <w:b/>
                <w:sz w:val="20"/>
                <w:szCs w:val="24"/>
                <w:lang w:val="pl-PL"/>
              </w:rPr>
            </w:pPr>
            <w:r w:rsidRPr="009718C9">
              <w:rPr>
                <w:b/>
                <w:sz w:val="20"/>
                <w:szCs w:val="24"/>
                <w:lang w:val="pl-PL"/>
              </w:rPr>
              <w:t>Interesariusz</w:t>
            </w:r>
          </w:p>
        </w:tc>
        <w:tc>
          <w:tcPr>
            <w:tcW w:w="2847" w:type="dxa"/>
            <w:shd w:val="clear" w:color="auto" w:fill="E7E6E6"/>
          </w:tcPr>
          <w:p w14:paraId="66644238" w14:textId="77777777" w:rsidR="00D94004" w:rsidRPr="00BC236F" w:rsidRDefault="00D94004" w:rsidP="00480C5A">
            <w:pPr>
              <w:spacing w:before="120"/>
              <w:jc w:val="center"/>
              <w:rPr>
                <w:b/>
                <w:color w:val="000000" w:themeColor="text1"/>
                <w:sz w:val="20"/>
                <w:szCs w:val="24"/>
                <w:lang w:val="pl-PL"/>
              </w:rPr>
            </w:pPr>
            <w:r w:rsidRPr="00BC236F">
              <w:rPr>
                <w:b/>
                <w:color w:val="000000" w:themeColor="text1"/>
                <w:sz w:val="20"/>
                <w:szCs w:val="24"/>
                <w:lang w:val="pl-PL"/>
              </w:rPr>
              <w:t>Zidentyfikowany problem</w:t>
            </w:r>
          </w:p>
        </w:tc>
        <w:tc>
          <w:tcPr>
            <w:tcW w:w="3307" w:type="dxa"/>
            <w:shd w:val="clear" w:color="auto" w:fill="E7E6E6"/>
          </w:tcPr>
          <w:p w14:paraId="2F4D5734" w14:textId="77777777" w:rsidR="00D94004" w:rsidRPr="009718C9" w:rsidRDefault="00D94004" w:rsidP="00480C5A">
            <w:pPr>
              <w:spacing w:before="120"/>
              <w:jc w:val="center"/>
              <w:rPr>
                <w:b/>
                <w:sz w:val="20"/>
                <w:szCs w:val="24"/>
                <w:lang w:val="pl-PL"/>
              </w:rPr>
            </w:pPr>
            <w:r w:rsidRPr="009718C9">
              <w:rPr>
                <w:b/>
                <w:sz w:val="20"/>
                <w:szCs w:val="24"/>
                <w:lang w:val="pl-PL"/>
              </w:rPr>
              <w:t>Szacowana wielkość grupy</w:t>
            </w:r>
          </w:p>
        </w:tc>
      </w:tr>
      <w:tr w:rsidR="00D94004" w:rsidRPr="00AA190F" w14:paraId="116DAFDC" w14:textId="77777777" w:rsidTr="00480C5A">
        <w:tc>
          <w:tcPr>
            <w:tcW w:w="3212" w:type="dxa"/>
          </w:tcPr>
          <w:p w14:paraId="27E09B83" w14:textId="50B9578F" w:rsidR="00D94004" w:rsidRPr="009431B0" w:rsidRDefault="006110EB" w:rsidP="00480C5A">
            <w:pPr>
              <w:rPr>
                <w:i/>
                <w:sz w:val="20"/>
                <w:szCs w:val="24"/>
                <w:lang w:val="pl-PL"/>
              </w:rPr>
            </w:pPr>
            <w:r w:rsidRPr="006110EB">
              <w:rPr>
                <w:i/>
                <w:sz w:val="20"/>
                <w:szCs w:val="24"/>
                <w:lang w:val="pl-PL"/>
              </w:rPr>
              <w:t xml:space="preserve">Pracownicy sekretariatów i urzędnicy sądowi (Sądownictwo powszechne – pion </w:t>
            </w:r>
            <w:proofErr w:type="spellStart"/>
            <w:r w:rsidRPr="006110EB">
              <w:rPr>
                <w:i/>
                <w:sz w:val="20"/>
                <w:szCs w:val="24"/>
                <w:lang w:val="pl-PL"/>
              </w:rPr>
              <w:t>back-office</w:t>
            </w:r>
            <w:proofErr w:type="spellEnd"/>
            <w:r w:rsidRPr="006110EB">
              <w:rPr>
                <w:i/>
                <w:sz w:val="20"/>
                <w:szCs w:val="24"/>
                <w:lang w:val="pl-PL"/>
              </w:rPr>
              <w:t>)</w:t>
            </w:r>
          </w:p>
        </w:tc>
        <w:tc>
          <w:tcPr>
            <w:tcW w:w="2847" w:type="dxa"/>
          </w:tcPr>
          <w:p w14:paraId="6EBAC076" w14:textId="7FB6EB92" w:rsidR="00D94004" w:rsidRPr="00BC236F" w:rsidRDefault="006110EB" w:rsidP="00480C5A">
            <w:pPr>
              <w:pStyle w:val="Tekstpodstawowy2"/>
              <w:spacing w:after="0"/>
              <w:ind w:left="79"/>
              <w:rPr>
                <w:i/>
                <w:color w:val="000000" w:themeColor="text1"/>
                <w:sz w:val="20"/>
                <w:szCs w:val="20"/>
                <w:lang w:val="pl-PL"/>
              </w:rPr>
            </w:pPr>
            <w:r w:rsidRPr="00BC236F">
              <w:rPr>
                <w:rFonts w:cs="Arial"/>
                <w:color w:val="000000" w:themeColor="text1"/>
                <w:sz w:val="20"/>
                <w:szCs w:val="20"/>
                <w:lang w:val="pl-PL" w:eastAsia="pl-PL"/>
              </w:rPr>
              <w:t xml:space="preserve">Drastyczne obciążenie pracą rutynową i manualną weryfikacją pism procesowych pod kątem braków formalnych. Skutkuje to powstawaniem zatorów urzędniczych, wydłużeniem czasu dekretacji i analizy wstępnej dokumentów oraz zwiększonym ryzykiem </w:t>
            </w:r>
            <w:r w:rsidRPr="00BC236F">
              <w:rPr>
                <w:rFonts w:cs="Arial"/>
                <w:color w:val="000000" w:themeColor="text1"/>
                <w:sz w:val="20"/>
                <w:szCs w:val="20"/>
                <w:lang w:val="pl-PL" w:eastAsia="pl-PL"/>
              </w:rPr>
              <w:lastRenderedPageBreak/>
              <w:t xml:space="preserve">błędu ludzkiego przy masowej 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szCs w:val="20"/>
                <w:lang w:val="pl-PL" w:eastAsia="pl-PL"/>
              </w:rPr>
              <w:t>anonimizacji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szCs w:val="20"/>
                <w:lang w:val="pl-PL" w:eastAsia="pl-PL"/>
              </w:rPr>
              <w:t xml:space="preserve"> orzecznictwa.</w:t>
            </w:r>
          </w:p>
        </w:tc>
        <w:tc>
          <w:tcPr>
            <w:tcW w:w="3307" w:type="dxa"/>
          </w:tcPr>
          <w:p w14:paraId="460FDE4E" w14:textId="750A1C0B" w:rsidR="006110EB" w:rsidRPr="006110EB" w:rsidRDefault="006110EB" w:rsidP="006110EB">
            <w:pPr>
              <w:jc w:val="center"/>
              <w:rPr>
                <w:i/>
                <w:sz w:val="20"/>
                <w:szCs w:val="24"/>
                <w:lang w:val="pl-PL"/>
              </w:rPr>
            </w:pPr>
            <w:r w:rsidRPr="006110EB">
              <w:rPr>
                <w:i/>
                <w:sz w:val="20"/>
                <w:szCs w:val="24"/>
                <w:lang w:val="pl-PL"/>
              </w:rPr>
              <w:lastRenderedPageBreak/>
              <w:t>35 000 osób</w:t>
            </w:r>
          </w:p>
          <w:p w14:paraId="69D03079" w14:textId="77777777" w:rsidR="006110EB" w:rsidRPr="006110EB" w:rsidRDefault="006110EB" w:rsidP="006110EB">
            <w:pPr>
              <w:jc w:val="center"/>
              <w:rPr>
                <w:i/>
                <w:sz w:val="20"/>
                <w:szCs w:val="24"/>
                <w:lang w:val="pl-PL"/>
              </w:rPr>
            </w:pPr>
          </w:p>
          <w:p w14:paraId="72E07F80" w14:textId="77777777" w:rsidR="006110EB" w:rsidRPr="006110EB" w:rsidRDefault="006110EB" w:rsidP="006110EB">
            <w:pPr>
              <w:jc w:val="center"/>
              <w:rPr>
                <w:i/>
                <w:sz w:val="20"/>
                <w:szCs w:val="24"/>
                <w:lang w:val="pl-PL"/>
              </w:rPr>
            </w:pPr>
          </w:p>
          <w:p w14:paraId="0D7660D6" w14:textId="298840C5" w:rsidR="00D94004" w:rsidRPr="009431B0" w:rsidRDefault="006110EB" w:rsidP="006110EB">
            <w:pPr>
              <w:jc w:val="center"/>
              <w:rPr>
                <w:i/>
                <w:sz w:val="20"/>
                <w:szCs w:val="24"/>
                <w:lang w:val="pl-PL"/>
              </w:rPr>
            </w:pPr>
            <w:r w:rsidRPr="006110EB">
              <w:rPr>
                <w:i/>
                <w:sz w:val="20"/>
                <w:szCs w:val="24"/>
                <w:lang w:val="pl-PL"/>
              </w:rPr>
              <w:t>(kadra urzędnicza i administracyjna sądów powszechnych w Polsce)</w:t>
            </w:r>
          </w:p>
        </w:tc>
      </w:tr>
      <w:tr w:rsidR="006110EB" w:rsidRPr="00AA190F" w14:paraId="1523385C" w14:textId="77777777" w:rsidTr="00480C5A">
        <w:tc>
          <w:tcPr>
            <w:tcW w:w="3212" w:type="dxa"/>
          </w:tcPr>
          <w:p w14:paraId="7B4C9D75" w14:textId="65C96714" w:rsidR="006110EB" w:rsidRPr="006110EB" w:rsidRDefault="006110EB" w:rsidP="00480C5A">
            <w:pPr>
              <w:rPr>
                <w:i/>
                <w:sz w:val="20"/>
                <w:szCs w:val="24"/>
                <w:lang w:val="pl-PL"/>
              </w:rPr>
            </w:pPr>
            <w:r w:rsidRPr="006110EB">
              <w:rPr>
                <w:i/>
                <w:sz w:val="20"/>
                <w:szCs w:val="24"/>
                <w:lang w:val="pl-PL"/>
              </w:rPr>
              <w:t>Profesjonalni pełnomocnicy (Adwokaci i aplikanci adwokaccy)</w:t>
            </w:r>
          </w:p>
        </w:tc>
        <w:tc>
          <w:tcPr>
            <w:tcW w:w="2847" w:type="dxa"/>
          </w:tcPr>
          <w:p w14:paraId="45418F4F" w14:textId="1A9BBF26" w:rsidR="006110EB" w:rsidRPr="00BC236F" w:rsidRDefault="006110EB" w:rsidP="00480C5A">
            <w:pPr>
              <w:pStyle w:val="Tekstpodstawowy2"/>
              <w:spacing w:after="0"/>
              <w:ind w:left="79"/>
              <w:rPr>
                <w:rFonts w:cs="Arial"/>
                <w:color w:val="000000" w:themeColor="text1"/>
                <w:sz w:val="20"/>
                <w:szCs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szCs w:val="20"/>
                <w:lang w:val="pl-PL" w:eastAsia="pl-PL"/>
              </w:rPr>
              <w:t>Brak dostępu do bezpiecznych, zautomatyzowanych narzędzi walidacji pism procesowych w standardzie A2A przed ich fizycznym wniesieniem do sądu. Skutkuje to masowymi zwrotami pism z przyczyn oczywistych braków formalnych, co paraliżuje pracę kancelarii i opóźnia bieg spraw ich klientów.</w:t>
            </w:r>
          </w:p>
        </w:tc>
        <w:tc>
          <w:tcPr>
            <w:tcW w:w="3307" w:type="dxa"/>
          </w:tcPr>
          <w:p w14:paraId="480240E5" w14:textId="1FE2CDEE" w:rsidR="006110EB" w:rsidRPr="006110EB" w:rsidRDefault="006110EB" w:rsidP="006110EB">
            <w:pPr>
              <w:jc w:val="center"/>
              <w:rPr>
                <w:i/>
                <w:sz w:val="20"/>
                <w:szCs w:val="24"/>
                <w:lang w:val="pl-PL"/>
              </w:rPr>
            </w:pPr>
            <w:r w:rsidRPr="006110EB">
              <w:rPr>
                <w:i/>
                <w:sz w:val="20"/>
                <w:szCs w:val="24"/>
                <w:lang w:val="pl-PL"/>
              </w:rPr>
              <w:t>25 000 osób</w:t>
            </w:r>
          </w:p>
          <w:p w14:paraId="19807EBD" w14:textId="77777777" w:rsidR="006110EB" w:rsidRPr="006110EB" w:rsidRDefault="006110EB" w:rsidP="006110EB">
            <w:pPr>
              <w:jc w:val="center"/>
              <w:rPr>
                <w:i/>
                <w:sz w:val="20"/>
                <w:szCs w:val="24"/>
                <w:lang w:val="pl-PL"/>
              </w:rPr>
            </w:pPr>
          </w:p>
          <w:p w14:paraId="718AE190" w14:textId="77777777" w:rsidR="006110EB" w:rsidRPr="006110EB" w:rsidRDefault="006110EB" w:rsidP="006110EB">
            <w:pPr>
              <w:jc w:val="center"/>
              <w:rPr>
                <w:i/>
                <w:sz w:val="20"/>
                <w:szCs w:val="24"/>
                <w:lang w:val="pl-PL"/>
              </w:rPr>
            </w:pPr>
          </w:p>
          <w:p w14:paraId="7F23A2A3" w14:textId="77FC4765" w:rsidR="006110EB" w:rsidRPr="006110EB" w:rsidRDefault="006110EB" w:rsidP="006110EB">
            <w:pPr>
              <w:jc w:val="center"/>
              <w:rPr>
                <w:i/>
                <w:sz w:val="20"/>
                <w:szCs w:val="24"/>
                <w:lang w:val="pl-PL"/>
              </w:rPr>
            </w:pPr>
            <w:r w:rsidRPr="006110EB">
              <w:rPr>
                <w:i/>
                <w:sz w:val="20"/>
                <w:szCs w:val="24"/>
                <w:lang w:val="pl-PL"/>
              </w:rPr>
              <w:t>(aktywni zawodowo adwokaci oraz aplikanci zrzeszeni w strukturach Naczelnej Rady Adwokackiej)</w:t>
            </w:r>
          </w:p>
        </w:tc>
      </w:tr>
      <w:tr w:rsidR="006110EB" w:rsidRPr="00AA190F" w14:paraId="1633156A" w14:textId="77777777" w:rsidTr="00480C5A">
        <w:tc>
          <w:tcPr>
            <w:tcW w:w="3212" w:type="dxa"/>
          </w:tcPr>
          <w:p w14:paraId="5C13CE8A" w14:textId="418A320A" w:rsidR="006110EB" w:rsidRPr="006110EB" w:rsidRDefault="006110EB" w:rsidP="00480C5A">
            <w:pPr>
              <w:rPr>
                <w:i/>
                <w:sz w:val="20"/>
                <w:szCs w:val="24"/>
                <w:lang w:val="pl-PL"/>
              </w:rPr>
            </w:pPr>
            <w:r w:rsidRPr="006110EB">
              <w:rPr>
                <w:i/>
                <w:sz w:val="20"/>
                <w:szCs w:val="24"/>
                <w:lang w:val="pl-PL"/>
              </w:rPr>
              <w:t>Administratorzy systemów publicznych i inżynierowie AI (Politechnika Krakowska / Pion IT)</w:t>
            </w:r>
          </w:p>
        </w:tc>
        <w:tc>
          <w:tcPr>
            <w:tcW w:w="2847" w:type="dxa"/>
          </w:tcPr>
          <w:p w14:paraId="7EE7641D" w14:textId="5760D883" w:rsidR="006110EB" w:rsidRPr="00BC236F" w:rsidRDefault="006110EB" w:rsidP="00480C5A">
            <w:pPr>
              <w:pStyle w:val="Tekstpodstawowy2"/>
              <w:spacing w:after="0"/>
              <w:ind w:left="79"/>
              <w:rPr>
                <w:rFonts w:cs="Arial"/>
                <w:color w:val="000000" w:themeColor="text1"/>
                <w:sz w:val="20"/>
                <w:szCs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szCs w:val="20"/>
                <w:lang w:val="pl-PL" w:eastAsia="pl-PL"/>
              </w:rPr>
              <w:t>Brak suwerennej, fizycznie i logicznie odizolowanej infrastruktury obliczeniowej wysokiej wydajności (klaster GPU). Uniemożliwia to bezpieczne trenowanie i wdrażanie lokalnych modeli LLM na wrażliwych danych prawniczych bez ryzyka naruszenia tajemnic ustawowych i uzależnienia od dostawców chmur komercyjnych.</w:t>
            </w:r>
          </w:p>
        </w:tc>
        <w:tc>
          <w:tcPr>
            <w:tcW w:w="3307" w:type="dxa"/>
          </w:tcPr>
          <w:p w14:paraId="7125099E" w14:textId="5B02E7B8" w:rsidR="006110EB" w:rsidRPr="006110EB" w:rsidRDefault="006110EB" w:rsidP="006110EB">
            <w:pPr>
              <w:jc w:val="center"/>
              <w:rPr>
                <w:i/>
                <w:sz w:val="20"/>
                <w:szCs w:val="24"/>
                <w:lang w:val="pl-PL"/>
              </w:rPr>
            </w:pPr>
            <w:r w:rsidRPr="006110EB">
              <w:rPr>
                <w:i/>
                <w:sz w:val="20"/>
                <w:szCs w:val="24"/>
                <w:lang w:val="pl-PL"/>
              </w:rPr>
              <w:t>50–100 osób</w:t>
            </w:r>
          </w:p>
          <w:p w14:paraId="34EEE198" w14:textId="77777777" w:rsidR="006110EB" w:rsidRPr="006110EB" w:rsidRDefault="006110EB" w:rsidP="006110EB">
            <w:pPr>
              <w:jc w:val="center"/>
              <w:rPr>
                <w:i/>
                <w:sz w:val="20"/>
                <w:szCs w:val="24"/>
                <w:lang w:val="pl-PL"/>
              </w:rPr>
            </w:pPr>
          </w:p>
          <w:p w14:paraId="4B514CF9" w14:textId="77777777" w:rsidR="006110EB" w:rsidRPr="006110EB" w:rsidRDefault="006110EB" w:rsidP="006110EB">
            <w:pPr>
              <w:jc w:val="center"/>
              <w:rPr>
                <w:i/>
                <w:sz w:val="20"/>
                <w:szCs w:val="24"/>
                <w:lang w:val="pl-PL"/>
              </w:rPr>
            </w:pPr>
          </w:p>
          <w:p w14:paraId="0DF8A087" w14:textId="0902D49C" w:rsidR="006110EB" w:rsidRPr="006110EB" w:rsidRDefault="006110EB" w:rsidP="006110EB">
            <w:pPr>
              <w:jc w:val="center"/>
              <w:rPr>
                <w:i/>
                <w:sz w:val="20"/>
                <w:szCs w:val="24"/>
                <w:lang w:val="pl-PL"/>
              </w:rPr>
            </w:pPr>
            <w:r w:rsidRPr="006110EB">
              <w:rPr>
                <w:i/>
                <w:sz w:val="20"/>
                <w:szCs w:val="24"/>
                <w:lang w:val="pl-PL"/>
              </w:rPr>
              <w:t>(zespół inżynierów danych, administratorów HPC oraz programistów odpowiedzialnych za rozwój i utrzymanie systemu)</w:t>
            </w:r>
          </w:p>
        </w:tc>
      </w:tr>
      <w:tr w:rsidR="006110EB" w:rsidRPr="00AA190F" w14:paraId="450DE9F4" w14:textId="77777777" w:rsidTr="00480C5A">
        <w:tc>
          <w:tcPr>
            <w:tcW w:w="3212" w:type="dxa"/>
          </w:tcPr>
          <w:p w14:paraId="1AE1763A" w14:textId="6916DD2E" w:rsidR="006110EB" w:rsidRPr="006110EB" w:rsidRDefault="006110EB" w:rsidP="00480C5A">
            <w:pPr>
              <w:rPr>
                <w:i/>
                <w:sz w:val="20"/>
                <w:szCs w:val="24"/>
                <w:lang w:val="pl-PL"/>
              </w:rPr>
            </w:pPr>
            <w:r w:rsidRPr="006110EB">
              <w:rPr>
                <w:i/>
                <w:sz w:val="20"/>
                <w:szCs w:val="24"/>
                <w:lang w:val="pl-PL"/>
              </w:rPr>
              <w:t>Obywatele i przedsiębiorcy (Uczestnicy postępowań – beneficjenci pośredni)</w:t>
            </w:r>
          </w:p>
        </w:tc>
        <w:tc>
          <w:tcPr>
            <w:tcW w:w="2847" w:type="dxa"/>
          </w:tcPr>
          <w:p w14:paraId="5681447E" w14:textId="3187892F" w:rsidR="006110EB" w:rsidRPr="00BC236F" w:rsidRDefault="006110EB" w:rsidP="00480C5A">
            <w:pPr>
              <w:pStyle w:val="Tekstpodstawowy2"/>
              <w:spacing w:after="0"/>
              <w:ind w:left="79"/>
              <w:rPr>
                <w:rFonts w:cs="Arial"/>
                <w:color w:val="000000" w:themeColor="text1"/>
                <w:sz w:val="20"/>
                <w:szCs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szCs w:val="20"/>
                <w:lang w:val="pl-PL" w:eastAsia="pl-PL"/>
              </w:rPr>
              <w:t>Przewlekłość postępowań sądowych wywołana zatorami na etapie kancelaryjnym oraz ryzyko naruszenia prywatności (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szCs w:val="20"/>
                <w:lang w:val="pl-PL" w:eastAsia="pl-PL"/>
              </w:rPr>
              <w:t>deanonimizacji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szCs w:val="20"/>
                <w:lang w:val="pl-PL" w:eastAsia="pl-PL"/>
              </w:rPr>
              <w:t>) w publicznie dostępnych bazach orzecznictwa z powodu niedoskonałości manualnego maskowania danych wrażliwych.</w:t>
            </w:r>
          </w:p>
        </w:tc>
        <w:tc>
          <w:tcPr>
            <w:tcW w:w="3307" w:type="dxa"/>
          </w:tcPr>
          <w:p w14:paraId="42CC7CD9" w14:textId="198069E5" w:rsidR="006110EB" w:rsidRPr="006110EB" w:rsidRDefault="006110EB" w:rsidP="006110EB">
            <w:pPr>
              <w:jc w:val="center"/>
              <w:rPr>
                <w:i/>
                <w:sz w:val="20"/>
                <w:szCs w:val="24"/>
                <w:lang w:val="pl-PL"/>
              </w:rPr>
            </w:pPr>
            <w:r w:rsidRPr="006110EB">
              <w:rPr>
                <w:i/>
                <w:sz w:val="20"/>
                <w:szCs w:val="24"/>
                <w:lang w:val="pl-PL"/>
              </w:rPr>
              <w:t>12–15 mln osób rocznie</w:t>
            </w:r>
          </w:p>
          <w:p w14:paraId="39DE778F" w14:textId="77777777" w:rsidR="006110EB" w:rsidRPr="006110EB" w:rsidRDefault="006110EB" w:rsidP="006110EB">
            <w:pPr>
              <w:jc w:val="center"/>
              <w:rPr>
                <w:i/>
                <w:sz w:val="20"/>
                <w:szCs w:val="24"/>
                <w:lang w:val="pl-PL"/>
              </w:rPr>
            </w:pPr>
          </w:p>
          <w:p w14:paraId="269D83EA" w14:textId="77777777" w:rsidR="006110EB" w:rsidRPr="006110EB" w:rsidRDefault="006110EB" w:rsidP="006110EB">
            <w:pPr>
              <w:jc w:val="center"/>
              <w:rPr>
                <w:i/>
                <w:sz w:val="20"/>
                <w:szCs w:val="24"/>
                <w:lang w:val="pl-PL"/>
              </w:rPr>
            </w:pPr>
          </w:p>
          <w:p w14:paraId="382D832B" w14:textId="1B654C97" w:rsidR="006110EB" w:rsidRPr="006110EB" w:rsidRDefault="006110EB" w:rsidP="006110EB">
            <w:pPr>
              <w:jc w:val="center"/>
              <w:rPr>
                <w:i/>
                <w:sz w:val="20"/>
                <w:szCs w:val="24"/>
                <w:lang w:val="pl-PL"/>
              </w:rPr>
            </w:pPr>
            <w:r w:rsidRPr="006110EB">
              <w:rPr>
                <w:i/>
                <w:sz w:val="20"/>
                <w:szCs w:val="24"/>
                <w:lang w:val="pl-PL"/>
              </w:rPr>
              <w:t>(strony i uczestnicy postępowań cywilnych, karnych i</w:t>
            </w:r>
            <w:r>
              <w:rPr>
                <w:i/>
                <w:sz w:val="20"/>
                <w:szCs w:val="24"/>
                <w:lang w:val="pl-PL"/>
              </w:rPr>
              <w:t> </w:t>
            </w:r>
            <w:r w:rsidRPr="006110EB">
              <w:rPr>
                <w:i/>
                <w:sz w:val="20"/>
                <w:szCs w:val="24"/>
                <w:lang w:val="pl-PL"/>
              </w:rPr>
              <w:t>gospodarczych w skali kraju)</w:t>
            </w:r>
          </w:p>
        </w:tc>
      </w:tr>
    </w:tbl>
    <w:p w14:paraId="380054A7" w14:textId="77777777" w:rsidR="00D94004" w:rsidRPr="00D94004" w:rsidRDefault="00D94004" w:rsidP="00485E7E">
      <w:pPr>
        <w:pStyle w:val="Tekstpodstawowy2"/>
        <w:ind w:left="0"/>
        <w:rPr>
          <w:lang w:val="pl-PL" w:eastAsia="pl-PL"/>
        </w:rPr>
      </w:pPr>
    </w:p>
    <w:p w14:paraId="7FBC5A50" w14:textId="77777777" w:rsidR="00AB4172" w:rsidRPr="001B6667" w:rsidRDefault="00AB4172" w:rsidP="00B614D2">
      <w:pPr>
        <w:pStyle w:val="Nagwek2"/>
        <w:tabs>
          <w:tab w:val="num" w:pos="1134"/>
        </w:tabs>
        <w:jc w:val="both"/>
        <w:rPr>
          <w:lang w:val="pl-PL" w:eastAsia="pl-PL"/>
        </w:rPr>
      </w:pPr>
      <w:r w:rsidRPr="001B6667">
        <w:rPr>
          <w:lang w:val="pl-PL" w:eastAsia="pl-PL"/>
        </w:rPr>
        <w:t>Opis stanu obecnego</w:t>
      </w:r>
      <w:bookmarkEnd w:id="1"/>
    </w:p>
    <w:p w14:paraId="2A11FB30" w14:textId="7B9876EF" w:rsidR="00156E64" w:rsidRPr="00BC236F" w:rsidRDefault="00156E64" w:rsidP="009C7AD9">
      <w:pPr>
        <w:pStyle w:val="Tekstpodstawowy2"/>
        <w:ind w:left="851"/>
        <w:rPr>
          <w:rFonts w:cs="Arial"/>
          <w:color w:val="000000" w:themeColor="text1"/>
          <w:sz w:val="22"/>
          <w:szCs w:val="22"/>
          <w:lang w:val="pl-PL" w:eastAsia="pl-PL"/>
        </w:rPr>
      </w:pPr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>Rodzaj danych przetwarzanych w ramach procesów biznesowych:</w:t>
      </w:r>
    </w:p>
    <w:p w14:paraId="5DD09ACE" w14:textId="0341D8E0" w:rsidR="00156E64" w:rsidRPr="00BC236F" w:rsidRDefault="00156E64" w:rsidP="00BC236F">
      <w:pPr>
        <w:pStyle w:val="Tekstpodstawowy2"/>
        <w:numPr>
          <w:ilvl w:val="0"/>
          <w:numId w:val="17"/>
        </w:numPr>
        <w:jc w:val="both"/>
        <w:rPr>
          <w:rFonts w:cs="Arial"/>
          <w:color w:val="000000" w:themeColor="text1"/>
          <w:sz w:val="22"/>
          <w:szCs w:val="22"/>
          <w:lang w:val="pl-PL" w:eastAsia="pl-PL"/>
        </w:rPr>
      </w:pPr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>Niestrukturalne dane o złożonej semantyce: Główny zasób informacyjny stanowią specyficzne dla polskiej jurysdykcji i administracji dokumenty tekstowe (orzeczenia sądowe, akta spraw, analizy prawne, glosy). Charakteryzują się one skomplikowaną strukturą językową, wymagającą zaawansowanego mapowania wektorowego i kontekstowego.</w:t>
      </w:r>
    </w:p>
    <w:p w14:paraId="2A7E5D0C" w14:textId="75F882E6" w:rsidR="00156E64" w:rsidRPr="00BC236F" w:rsidRDefault="00156E64" w:rsidP="00BC236F">
      <w:pPr>
        <w:pStyle w:val="Tekstpodstawowy2"/>
        <w:numPr>
          <w:ilvl w:val="0"/>
          <w:numId w:val="17"/>
        </w:numPr>
        <w:jc w:val="both"/>
        <w:rPr>
          <w:rFonts w:cs="Arial"/>
          <w:color w:val="000000" w:themeColor="text1"/>
          <w:sz w:val="22"/>
          <w:szCs w:val="22"/>
          <w:lang w:val="pl-PL" w:eastAsia="pl-PL"/>
        </w:rPr>
      </w:pPr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 xml:space="preserve">Informacje podlegające restrykcyjnej ochronie prawnej: Przetwarzane zasoby zawierają dane wrażliwe oraz informacje objęte ustawowymi tajemnicami (np. sędziowską, adwokacką, radcowską). Obecny reżim prawno-organizacyjny całkowicie wyklucza możliwość procesowania tych danych w chmurach publicznych lub zewnętrznych </w:t>
      </w:r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lastRenderedPageBreak/>
        <w:t xml:space="preserve">centrach danych zlokalizowanych poza bezpośrednią, suwerenną jurysdykcją krajową, co generuje krytyczną potrzebę utrzymywania infrastruktury </w:t>
      </w:r>
      <w:proofErr w:type="spellStart"/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>wewnątrzjednostkowej</w:t>
      </w:r>
      <w:proofErr w:type="spellEnd"/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>.</w:t>
      </w:r>
    </w:p>
    <w:p w14:paraId="511478B5" w14:textId="5E9C37B5" w:rsidR="00156E64" w:rsidRPr="00BC236F" w:rsidRDefault="00156E64" w:rsidP="00BC236F">
      <w:pPr>
        <w:pStyle w:val="Tekstpodstawowy2"/>
        <w:ind w:left="851"/>
        <w:jc w:val="both"/>
        <w:rPr>
          <w:rFonts w:cs="Arial"/>
          <w:color w:val="000000" w:themeColor="text1"/>
          <w:sz w:val="22"/>
          <w:szCs w:val="22"/>
          <w:lang w:val="pl-PL" w:eastAsia="pl-PL"/>
        </w:rPr>
      </w:pPr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>Dotychczasowy sposób realizacji procesów i usług:</w:t>
      </w:r>
    </w:p>
    <w:p w14:paraId="75A1E35C" w14:textId="487252B6" w:rsidR="00156E64" w:rsidRPr="00BC236F" w:rsidRDefault="00156E64" w:rsidP="00BC236F">
      <w:pPr>
        <w:pStyle w:val="Tekstpodstawowy2"/>
        <w:numPr>
          <w:ilvl w:val="0"/>
          <w:numId w:val="16"/>
        </w:numPr>
        <w:jc w:val="both"/>
        <w:rPr>
          <w:rFonts w:cs="Arial"/>
          <w:color w:val="000000" w:themeColor="text1"/>
          <w:sz w:val="22"/>
          <w:szCs w:val="22"/>
          <w:lang w:val="pl-PL" w:eastAsia="pl-PL"/>
        </w:rPr>
      </w:pPr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 xml:space="preserve">Tradycyjna analiza korpusów tekstowych: Procesy przetwarzania, przeszukiwania oraz analizy rozległych zbiorów dokumentów prawnych, orzecznictwa i dokumentacji administracyjnej realizowane są obecnie w sposób </w:t>
      </w:r>
      <w:proofErr w:type="spellStart"/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>semi</w:t>
      </w:r>
      <w:proofErr w:type="spellEnd"/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>-automatyczny. Wykorzystywane są klasyczne, relacyjne bazy danych oraz algorytmy wyszukiwania indeksowego, oparte wyłącznie na sztywnych słowach kluczowych.</w:t>
      </w:r>
    </w:p>
    <w:p w14:paraId="63EA6AD4" w14:textId="58D22E8E" w:rsidR="00156E64" w:rsidRPr="00BC236F" w:rsidRDefault="00156E64" w:rsidP="00BC236F">
      <w:pPr>
        <w:pStyle w:val="Tekstpodstawowy2"/>
        <w:ind w:left="851"/>
        <w:jc w:val="both"/>
        <w:rPr>
          <w:rFonts w:cs="Arial"/>
          <w:color w:val="000000" w:themeColor="text1"/>
          <w:sz w:val="22"/>
          <w:szCs w:val="22"/>
          <w:lang w:val="pl-PL" w:eastAsia="pl-PL"/>
        </w:rPr>
      </w:pPr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>Poziom digitalizacji danego obszaru:</w:t>
      </w:r>
    </w:p>
    <w:p w14:paraId="046F85D3" w14:textId="145C4FCA" w:rsidR="00156E64" w:rsidRPr="00BC236F" w:rsidRDefault="00156E64" w:rsidP="00BC236F">
      <w:pPr>
        <w:pStyle w:val="Tekstpodstawowy2"/>
        <w:numPr>
          <w:ilvl w:val="0"/>
          <w:numId w:val="16"/>
        </w:numPr>
        <w:jc w:val="both"/>
        <w:rPr>
          <w:rFonts w:cs="Arial"/>
          <w:color w:val="000000" w:themeColor="text1"/>
          <w:sz w:val="22"/>
          <w:szCs w:val="22"/>
          <w:lang w:val="pl-PL" w:eastAsia="pl-PL"/>
        </w:rPr>
      </w:pPr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>Silosowość i brak kognitywnego przetwarzania: Pomimo faktu, że większość dokumentów źródłowych funkcjonuje w postaci cyfrowej (pliki PDF, DOCX, rekordy SQL), poziom ich zaawansowanej cyfryzacji jest relatywnie niski. Systemy nie posiadają cech inteligentnego wnioskowania, automatycznego streszczania, semantycznego łączenia faktów ani kontekstowego przeszukiwania bazy wiedzy w czasie rzeczywistym</w:t>
      </w:r>
    </w:p>
    <w:p w14:paraId="7004D5F8" w14:textId="6D483D05" w:rsidR="00156E64" w:rsidRPr="00BC236F" w:rsidRDefault="00156E64" w:rsidP="00BC236F">
      <w:pPr>
        <w:pStyle w:val="Tekstpodstawowy2"/>
        <w:numPr>
          <w:ilvl w:val="0"/>
          <w:numId w:val="16"/>
        </w:numPr>
        <w:jc w:val="both"/>
        <w:rPr>
          <w:rFonts w:cs="Arial"/>
          <w:color w:val="000000" w:themeColor="text1"/>
          <w:sz w:val="22"/>
          <w:szCs w:val="22"/>
          <w:lang w:val="pl-PL" w:eastAsia="pl-PL"/>
        </w:rPr>
      </w:pPr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>Brak gotowości na standardy interoperacyjności: Obecna architektura informatyczna nie pozwala na budowanie bezpiecznych, zunifikowanych interfejsów API, które mogłyby w sposób kontrolowany udostępniać zaawansowane usługi AI systemom dziedzinowym (np. systemom elektronicznego zarządzania dokumentacją EZD RP), bez ryzyka naruszenia integralności danych.</w:t>
      </w:r>
    </w:p>
    <w:p w14:paraId="28892FF7" w14:textId="7537DA30" w:rsidR="00AB4172" w:rsidRPr="00BC236F" w:rsidRDefault="00AB4172" w:rsidP="00A964F0">
      <w:pPr>
        <w:pStyle w:val="Nagwek1"/>
        <w:jc w:val="both"/>
        <w:rPr>
          <w:rFonts w:cs="Arial"/>
          <w:color w:val="000000" w:themeColor="text1"/>
          <w:lang w:val="pl-PL" w:eastAsia="pl-PL"/>
        </w:rPr>
      </w:pPr>
      <w:bookmarkStart w:id="2" w:name="_Toc462924055"/>
      <w:r w:rsidRPr="00BC236F">
        <w:rPr>
          <w:rFonts w:cs="Arial"/>
          <w:color w:val="000000" w:themeColor="text1"/>
          <w:lang w:val="pl-PL" w:eastAsia="pl-PL"/>
        </w:rPr>
        <w:t xml:space="preserve">EFEKTY </w:t>
      </w:r>
      <w:bookmarkEnd w:id="2"/>
      <w:r w:rsidR="00470022" w:rsidRPr="00BC236F">
        <w:rPr>
          <w:rFonts w:cs="Arial"/>
          <w:color w:val="000000" w:themeColor="text1"/>
          <w:lang w:val="pl-PL" w:eastAsia="pl-PL"/>
        </w:rPr>
        <w:t>przedsięwzięcia</w:t>
      </w:r>
    </w:p>
    <w:tbl>
      <w:tblPr>
        <w:tblW w:w="963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4"/>
        <w:gridCol w:w="7655"/>
      </w:tblGrid>
      <w:tr w:rsidR="00CA7463" w:rsidRPr="00BC236F" w14:paraId="6146B879" w14:textId="77777777" w:rsidTr="7E20EF53">
        <w:trPr>
          <w:trHeight w:val="383"/>
        </w:trPr>
        <w:tc>
          <w:tcPr>
            <w:tcW w:w="1984" w:type="dxa"/>
            <w:shd w:val="clear" w:color="auto" w:fill="E7E6E6"/>
          </w:tcPr>
          <w:p w14:paraId="0885ED34" w14:textId="363EAF3B" w:rsidR="00CA7463" w:rsidRPr="00BC236F" w:rsidRDefault="21BEEF7A" w:rsidP="000074EC">
            <w:pPr>
              <w:rPr>
                <w:rFonts w:eastAsia="MS MinNew Roman" w:cs="Arial"/>
                <w:b/>
                <w:bCs/>
                <w:color w:val="000000" w:themeColor="text1"/>
                <w:sz w:val="20"/>
                <w:lang w:val="pl-PL"/>
              </w:rPr>
            </w:pPr>
            <w:r w:rsidRPr="00BC236F">
              <w:rPr>
                <w:rFonts w:eastAsia="MS MinNew Roman" w:cs="Arial"/>
                <w:b/>
                <w:bCs/>
                <w:color w:val="000000" w:themeColor="text1"/>
                <w:sz w:val="20"/>
                <w:lang w:val="pl-PL"/>
              </w:rPr>
              <w:t>W jaki sposób przedsięwzięcie realizuje Strategię Cyfryzacji Państwa?</w:t>
            </w:r>
          </w:p>
        </w:tc>
        <w:tc>
          <w:tcPr>
            <w:tcW w:w="7655" w:type="dxa"/>
            <w:shd w:val="clear" w:color="auto" w:fill="FFFFFF" w:themeFill="background1"/>
          </w:tcPr>
          <w:p w14:paraId="14E99D5D" w14:textId="7C4D1530" w:rsidR="00CA7463" w:rsidRPr="00BC236F" w:rsidRDefault="00F66689" w:rsidP="00BC236F">
            <w:pPr>
              <w:pStyle w:val="Tekstpodstawowy2"/>
              <w:ind w:left="34"/>
              <w:jc w:val="both"/>
              <w:rPr>
                <w:rFonts w:cs="Arial"/>
                <w:color w:val="000000" w:themeColor="text1"/>
                <w:sz w:val="20"/>
                <w:szCs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szCs w:val="20"/>
                <w:lang w:val="pl-PL" w:eastAsia="pl-PL"/>
              </w:rPr>
              <w:t>Przedsięwzięcie Doradczy System Ekspertowy (DSE-L) w wariancie lokalnym (on-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szCs w:val="20"/>
                <w:lang w:val="pl-PL" w:eastAsia="pl-PL"/>
              </w:rPr>
              <w:t>premise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szCs w:val="20"/>
                <w:lang w:val="pl-PL" w:eastAsia="pl-PL"/>
              </w:rPr>
              <w:t xml:space="preserve">) realizuje cele Strategii Cyfryzacji Państwa poprzez głęboką transformację cyfrową procesów 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szCs w:val="20"/>
                <w:lang w:val="pl-PL" w:eastAsia="pl-PL"/>
              </w:rPr>
              <w:t>back-office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szCs w:val="20"/>
                <w:lang w:val="pl-PL" w:eastAsia="pl-PL"/>
              </w:rPr>
              <w:t xml:space="preserve"> i automatyzację asysty decyzyjnej w wymiarze sprawiedliwości przy użyciu zaawansowanego AI (LLM, RAG). Projekt kluczowo wzmacnia suwerenność cyfrową państwa: zastosowanie </w:t>
            </w:r>
            <w:r w:rsidR="00A5471E" w:rsidRPr="00BC236F">
              <w:rPr>
                <w:rFonts w:cs="Arial"/>
                <w:color w:val="000000" w:themeColor="text1"/>
                <w:sz w:val="20"/>
                <w:szCs w:val="20"/>
                <w:lang w:val="pl-PL" w:eastAsia="pl-PL"/>
              </w:rPr>
              <w:t>logicznie</w:t>
            </w:r>
            <w:r w:rsidRPr="00BC236F">
              <w:rPr>
                <w:rFonts w:cs="Arial"/>
                <w:color w:val="000000" w:themeColor="text1"/>
                <w:sz w:val="20"/>
                <w:szCs w:val="20"/>
                <w:lang w:val="pl-PL" w:eastAsia="pl-PL"/>
              </w:rPr>
              <w:t xml:space="preserve"> odizolowanej sieci oraz architektury Zero Trust zapewnia pełną kontrolę nad wrażliwymi danymi prawnymi i najwyższe bezpieczeństwo ich przetwarzania. Wykorzystanie otwartego stosu technologicznego (open-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szCs w:val="20"/>
                <w:lang w:val="pl-PL" w:eastAsia="pl-PL"/>
              </w:rPr>
              <w:t>source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szCs w:val="20"/>
                <w:lang w:val="pl-PL" w:eastAsia="pl-PL"/>
              </w:rPr>
              <w:t xml:space="preserve">) i 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szCs w:val="20"/>
                <w:lang w:val="pl-PL" w:eastAsia="pl-PL"/>
              </w:rPr>
              <w:t>interoperacyjnych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szCs w:val="20"/>
                <w:lang w:val="pl-PL" w:eastAsia="pl-PL"/>
              </w:rPr>
              <w:t xml:space="preserve"> standardów eliminuje ryzyko uzależnienia od dostawców spoza EOG (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szCs w:val="20"/>
                <w:lang w:val="pl-PL" w:eastAsia="pl-PL"/>
              </w:rPr>
              <w:t>vendor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szCs w:val="20"/>
                <w:lang w:val="pl-PL" w:eastAsia="pl-PL"/>
              </w:rPr>
              <w:t xml:space="preserve"> lock-in) oraz gwarantuje pełną 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szCs w:val="20"/>
                <w:lang w:val="pl-PL" w:eastAsia="pl-PL"/>
              </w:rPr>
              <w:t>migrowalność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szCs w:val="20"/>
                <w:lang w:val="pl-PL" w:eastAsia="pl-PL"/>
              </w:rPr>
              <w:t xml:space="preserve"> usług. Ponadto realizacja projektu przez konsorcjum z udziałem Politechniki Krakowskiej pozwala trwale osadzić kompetencje inżynierii danych w sektorze publicznym, budując niezależną zdolność administracji do samodzielnego utrzymania i rozwoju kluczowych usług cyfrowych.</w:t>
            </w:r>
          </w:p>
        </w:tc>
      </w:tr>
      <w:tr w:rsidR="00CA7463" w:rsidRPr="00BC236F" w14:paraId="2BF301F6" w14:textId="77777777" w:rsidTr="7E20EF53">
        <w:trPr>
          <w:trHeight w:val="383"/>
        </w:trPr>
        <w:tc>
          <w:tcPr>
            <w:tcW w:w="1984" w:type="dxa"/>
            <w:shd w:val="clear" w:color="auto" w:fill="E7E6E6"/>
          </w:tcPr>
          <w:p w14:paraId="711FE2EE" w14:textId="1D2234CA" w:rsidR="00CA7463" w:rsidRPr="00BC236F" w:rsidRDefault="00CA7463" w:rsidP="000074EC">
            <w:pPr>
              <w:rPr>
                <w:rFonts w:eastAsia="MS MinNew Roman" w:cs="Arial"/>
                <w:b/>
                <w:bCs/>
                <w:color w:val="000000" w:themeColor="text1"/>
                <w:sz w:val="20"/>
                <w:szCs w:val="24"/>
                <w:lang w:val="pl-PL"/>
              </w:rPr>
            </w:pPr>
            <w:r w:rsidRPr="00BC236F">
              <w:rPr>
                <w:rFonts w:eastAsia="MS MinNew Roman" w:cs="Arial"/>
                <w:b/>
                <w:bCs/>
                <w:color w:val="000000" w:themeColor="text1"/>
                <w:sz w:val="20"/>
                <w:szCs w:val="24"/>
                <w:lang w:val="pl-PL"/>
              </w:rPr>
              <w:t>Jakie inne strategie, polityki publiczne lub wymagania strategiczne realizuje przedsięwzięcie?</w:t>
            </w:r>
          </w:p>
        </w:tc>
        <w:tc>
          <w:tcPr>
            <w:tcW w:w="7655" w:type="dxa"/>
            <w:shd w:val="clear" w:color="auto" w:fill="FFFFFF" w:themeFill="background1"/>
          </w:tcPr>
          <w:p w14:paraId="6F51B0A8" w14:textId="0B1F43F0" w:rsidR="00CA7463" w:rsidRPr="00BC236F" w:rsidRDefault="00F66689" w:rsidP="00BC236F">
            <w:pPr>
              <w:spacing w:after="160" w:line="259" w:lineRule="auto"/>
              <w:jc w:val="both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Przedsięwzięcie DSE-L wpisuje się w cel szczegółowy CS1.2 Priorytetu II FERC (Działanie FERC.02.01, typ projektu nr 1), realizując wymogi Rozporządzenia Ogólnego (UE) 2021/1060 dla operacji o znaczeniu strategicznym oraz unijnego AI 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Act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 w zakresie bezpieczeństwa algorytmicznego (AI 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Fairness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). Poprzez architekturę on-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premise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 i izolację klastra HPC 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Core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 projekt zapewnia kontrolę nad danymi, 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cyberbezpieczeństwo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, ciągłość działania oraz odporność usług publicznych w reżimie RODO. Natywna integracja z EZD RP oraz poszanowanie Krajowych Ram Interoperacyjności (KRI) przy użyciu otwartych formatów (JSON, XML, PDF/A) gwarantują interoperacyjność systemów i otwartość standardów. Moduł 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anonimizacji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 NER usuwa bariery prawne, stymulując ponowne wykorzystanie danych, a interfejsy realizują ustawę o dostępności cyfrowej (WCAG 2.1/2.2 AA).</w:t>
            </w:r>
          </w:p>
        </w:tc>
      </w:tr>
    </w:tbl>
    <w:p w14:paraId="2C4AEE2F" w14:textId="77777777" w:rsidR="00CA7463" w:rsidRPr="00BC236F" w:rsidRDefault="00CA7463" w:rsidP="00CA7463">
      <w:pPr>
        <w:pStyle w:val="Tekstpodstawowy"/>
        <w:rPr>
          <w:color w:val="000000" w:themeColor="text1"/>
          <w:lang w:val="pl-PL" w:eastAsia="pl-PL"/>
        </w:rPr>
      </w:pPr>
    </w:p>
    <w:p w14:paraId="3201E661" w14:textId="6F2D34F7" w:rsidR="00AB4172" w:rsidRPr="00BC236F" w:rsidRDefault="00534314" w:rsidP="00B614D2">
      <w:pPr>
        <w:pStyle w:val="Nagwek2"/>
        <w:tabs>
          <w:tab w:val="num" w:pos="1134"/>
        </w:tabs>
        <w:jc w:val="both"/>
        <w:rPr>
          <w:color w:val="000000" w:themeColor="text1"/>
          <w:lang w:val="pl-PL" w:eastAsia="pl-PL"/>
        </w:rPr>
      </w:pPr>
      <w:bookmarkStart w:id="3" w:name="_Toc462924056"/>
      <w:r w:rsidRPr="00BC236F">
        <w:rPr>
          <w:color w:val="000000" w:themeColor="text1"/>
          <w:lang w:val="pl-PL" w:eastAsia="pl-PL"/>
        </w:rPr>
        <w:lastRenderedPageBreak/>
        <w:t>Cele i k</w:t>
      </w:r>
      <w:r w:rsidR="00AB4172" w:rsidRPr="00BC236F">
        <w:rPr>
          <w:color w:val="000000" w:themeColor="text1"/>
          <w:lang w:val="pl-PL" w:eastAsia="pl-PL"/>
        </w:rPr>
        <w:t xml:space="preserve">orzyści wynikające z </w:t>
      </w:r>
      <w:bookmarkEnd w:id="3"/>
      <w:r w:rsidR="00470022" w:rsidRPr="00BC236F">
        <w:rPr>
          <w:color w:val="000000" w:themeColor="text1"/>
          <w:lang w:val="pl-PL" w:eastAsia="pl-PL"/>
        </w:rPr>
        <w:t xml:space="preserve">realizacji </w:t>
      </w:r>
      <w:r w:rsidR="00470022" w:rsidRPr="00BC236F">
        <w:rPr>
          <w:color w:val="000000" w:themeColor="text1"/>
          <w:lang w:val="pl-PL"/>
        </w:rPr>
        <w:t>przedsięwzięcia</w:t>
      </w:r>
      <w:r w:rsidR="00470022" w:rsidRPr="00BC236F">
        <w:rPr>
          <w:color w:val="000000" w:themeColor="text1"/>
          <w:lang w:val="pl-PL" w:eastAsia="pl-PL"/>
        </w:rPr>
        <w:t xml:space="preserve"> </w:t>
      </w:r>
      <w:r w:rsidR="009C7AD9" w:rsidRPr="00BC236F">
        <w:rPr>
          <w:b w:val="0"/>
          <w:color w:val="000000" w:themeColor="text1"/>
          <w:sz w:val="20"/>
          <w:szCs w:val="20"/>
          <w:lang w:val="pl-PL" w:eastAsia="pl-PL"/>
        </w:rPr>
        <w:t>&lt;&lt;maksymalnie 2000 znaków&gt;&gt;</w:t>
      </w:r>
    </w:p>
    <w:p w14:paraId="0DEFF44D" w14:textId="331F6CB1" w:rsidR="00307FB8" w:rsidRPr="00BC236F" w:rsidRDefault="005661B3" w:rsidP="00BC236F">
      <w:pPr>
        <w:pStyle w:val="Tekstpodstawowy2"/>
        <w:jc w:val="both"/>
        <w:rPr>
          <w:rFonts w:cs="Arial"/>
          <w:color w:val="000000" w:themeColor="text1"/>
          <w:sz w:val="22"/>
          <w:szCs w:val="22"/>
          <w:lang w:val="pl-PL" w:eastAsia="pl-PL"/>
        </w:rPr>
      </w:pPr>
      <w:r w:rsidRPr="00BC236F">
        <w:rPr>
          <w:rFonts w:cs="Arial"/>
          <w:color w:val="000000" w:themeColor="text1"/>
          <w:sz w:val="22"/>
          <w:szCs w:val="22"/>
          <w:lang w:val="pl-PL" w:eastAsia="pl-PL"/>
        </w:rPr>
        <w:t>Główny cel projektu został określony w oparciu o zidentyfikowane problemy wymienione w pkt 1.1. i jest nim</w:t>
      </w:r>
      <w:r w:rsidR="00C059CA" w:rsidRPr="00BC236F">
        <w:rPr>
          <w:rFonts w:cs="Arial"/>
          <w:color w:val="000000" w:themeColor="text1"/>
          <w:sz w:val="22"/>
          <w:szCs w:val="22"/>
          <w:lang w:val="pl-PL" w:eastAsia="pl-PL"/>
        </w:rPr>
        <w:t xml:space="preserve"> budowa i wdrożenie Doradczego Systemu Ekspertowego (DSE-L) oraz odizolowanej infrastruktury on-</w:t>
      </w:r>
      <w:proofErr w:type="spellStart"/>
      <w:r w:rsidR="00C059CA" w:rsidRPr="00BC236F">
        <w:rPr>
          <w:rFonts w:cs="Arial"/>
          <w:color w:val="000000" w:themeColor="text1"/>
          <w:sz w:val="22"/>
          <w:szCs w:val="22"/>
          <w:lang w:val="pl-PL" w:eastAsia="pl-PL"/>
        </w:rPr>
        <w:t>premise</w:t>
      </w:r>
      <w:proofErr w:type="spellEnd"/>
      <w:r w:rsidR="00C059CA" w:rsidRPr="00BC236F">
        <w:rPr>
          <w:rFonts w:cs="Arial"/>
          <w:color w:val="000000" w:themeColor="text1"/>
          <w:sz w:val="22"/>
          <w:szCs w:val="22"/>
          <w:lang w:val="pl-PL" w:eastAsia="pl-PL"/>
        </w:rPr>
        <w:t xml:space="preserve"> (klastra GPU) na potrzeby głębokiej cyfryzacji horyzontalnych procesów </w:t>
      </w:r>
      <w:proofErr w:type="spellStart"/>
      <w:r w:rsidR="00C059CA" w:rsidRPr="00BC236F">
        <w:rPr>
          <w:rFonts w:cs="Arial"/>
          <w:color w:val="000000" w:themeColor="text1"/>
          <w:sz w:val="22"/>
          <w:szCs w:val="22"/>
          <w:lang w:val="pl-PL" w:eastAsia="pl-PL"/>
        </w:rPr>
        <w:t>back-office</w:t>
      </w:r>
      <w:proofErr w:type="spellEnd"/>
      <w:r w:rsidR="00C059CA" w:rsidRPr="00BC236F">
        <w:rPr>
          <w:rFonts w:cs="Arial"/>
          <w:color w:val="000000" w:themeColor="text1"/>
          <w:sz w:val="22"/>
          <w:szCs w:val="22"/>
          <w:lang w:val="pl-PL" w:eastAsia="pl-PL"/>
        </w:rPr>
        <w:t xml:space="preserve"> (typ projektu nr 1) w wymiarze sprawiedliwości </w:t>
      </w:r>
      <w:r w:rsidR="00BC236F">
        <w:rPr>
          <w:rFonts w:cs="Arial"/>
          <w:color w:val="000000" w:themeColor="text1"/>
          <w:sz w:val="22"/>
          <w:szCs w:val="22"/>
          <w:lang w:val="pl-PL" w:eastAsia="pl-PL"/>
        </w:rPr>
        <w:br/>
      </w:r>
      <w:r w:rsidR="00C059CA" w:rsidRPr="00BC236F">
        <w:rPr>
          <w:rFonts w:cs="Arial"/>
          <w:color w:val="000000" w:themeColor="text1"/>
          <w:sz w:val="22"/>
          <w:szCs w:val="22"/>
          <w:lang w:val="pl-PL" w:eastAsia="pl-PL"/>
        </w:rPr>
        <w:t>i strukturach adwokatury. Osiągnięcie celów przełoży się na wymierne korzyści operacyjne: skrócenie czasu wstępnej walidacji i analizy pism o 70% przy czasie odpowiedzi systemu &lt; 3 sekundy dla pism do 20 stron, skuteczność detekcji braków formalnych na poziomie F1-Score ≥ 95% oraz 100% skuteczności (Zero-</w:t>
      </w:r>
      <w:proofErr w:type="spellStart"/>
      <w:r w:rsidR="00C059CA" w:rsidRPr="00BC236F">
        <w:rPr>
          <w:rFonts w:cs="Arial"/>
          <w:color w:val="000000" w:themeColor="text1"/>
          <w:sz w:val="22"/>
          <w:szCs w:val="22"/>
          <w:lang w:val="pl-PL" w:eastAsia="pl-PL"/>
        </w:rPr>
        <w:t>Leakage</w:t>
      </w:r>
      <w:proofErr w:type="spellEnd"/>
      <w:r w:rsidR="00C059CA" w:rsidRPr="00BC236F">
        <w:rPr>
          <w:rFonts w:cs="Arial"/>
          <w:color w:val="000000" w:themeColor="text1"/>
          <w:sz w:val="22"/>
          <w:szCs w:val="22"/>
          <w:lang w:val="pl-PL" w:eastAsia="pl-PL"/>
        </w:rPr>
        <w:t xml:space="preserve">) automatycznej </w:t>
      </w:r>
      <w:proofErr w:type="spellStart"/>
      <w:r w:rsidR="00C059CA" w:rsidRPr="00BC236F">
        <w:rPr>
          <w:rFonts w:cs="Arial"/>
          <w:color w:val="000000" w:themeColor="text1"/>
          <w:sz w:val="22"/>
          <w:szCs w:val="22"/>
          <w:lang w:val="pl-PL" w:eastAsia="pl-PL"/>
        </w:rPr>
        <w:t>anonimizacji</w:t>
      </w:r>
      <w:proofErr w:type="spellEnd"/>
      <w:r w:rsidR="00C059CA" w:rsidRPr="00BC236F">
        <w:rPr>
          <w:rFonts w:cs="Arial"/>
          <w:color w:val="000000" w:themeColor="text1"/>
          <w:sz w:val="22"/>
          <w:szCs w:val="22"/>
          <w:lang w:val="pl-PL" w:eastAsia="pl-PL"/>
        </w:rPr>
        <w:t xml:space="preserve"> semantycznej (NER) przy wskaźniku </w:t>
      </w:r>
      <w:proofErr w:type="spellStart"/>
      <w:r w:rsidR="00C059CA" w:rsidRPr="00BC236F">
        <w:rPr>
          <w:rFonts w:cs="Arial"/>
          <w:color w:val="000000" w:themeColor="text1"/>
          <w:sz w:val="22"/>
          <w:szCs w:val="22"/>
          <w:lang w:val="pl-PL" w:eastAsia="pl-PL"/>
        </w:rPr>
        <w:t>over-maskingu</w:t>
      </w:r>
      <w:proofErr w:type="spellEnd"/>
      <w:r w:rsidR="00C059CA" w:rsidRPr="00BC236F">
        <w:rPr>
          <w:rFonts w:cs="Arial"/>
          <w:color w:val="000000" w:themeColor="text1"/>
          <w:sz w:val="22"/>
          <w:szCs w:val="22"/>
          <w:lang w:val="pl-PL" w:eastAsia="pl-PL"/>
        </w:rPr>
        <w:t xml:space="preserve"> &lt; 3%. Moduł asysty decyzyjnej RAG zagwarantuje stopień zgodności merytorycznej na poziomie ≥ 4.5 w skali 1-5 przy 0% wskaźniku halucynacji. Wprost do założeń programu FERC (Działanie 2.1) dopasowano obowiązujący wskaźnik rezultatu: „Liczba użytkowników korzystających z rozwiniętych/wdrożonych e-usług publicznych / systemów teleinformatycznych”, którego docelowa wartość wynosi minimum 20 000 unikalnych użytkowników rocznie w okresie trwałości. Sposób i częstotliwość pomiaru korzyści opiera się na automatycznym monitoringu oraz cyklicznej ewaluacji: parametry techniczne wydajności klastra HPC i czas odpowiedzi API A2A będą mierzone w trybie ciągłym (w czasie rzeczywistym) przez komponenty analityczne w warstwie brzegowej DMZ, podczas gdy wskaźnik unikalnych użytkowników będzie weryfikowany w cyklu rocznym na podstawie logów połączeń systemów dziedzinowych. Subiektywna satysfakcja i jakość użytkowa badana </w:t>
      </w:r>
      <w:proofErr w:type="gramStart"/>
      <w:r w:rsidR="00C059CA" w:rsidRPr="00BC236F">
        <w:rPr>
          <w:rFonts w:cs="Arial"/>
          <w:color w:val="000000" w:themeColor="text1"/>
          <w:sz w:val="22"/>
          <w:szCs w:val="22"/>
          <w:lang w:val="pl-PL" w:eastAsia="pl-PL"/>
        </w:rPr>
        <w:t>będzie</w:t>
      </w:r>
      <w:proofErr w:type="gramEnd"/>
      <w:r w:rsidR="00C059CA" w:rsidRPr="00BC236F">
        <w:rPr>
          <w:rFonts w:cs="Arial"/>
          <w:color w:val="000000" w:themeColor="text1"/>
          <w:sz w:val="22"/>
          <w:szCs w:val="22"/>
          <w:lang w:val="pl-PL" w:eastAsia="pl-PL"/>
        </w:rPr>
        <w:t xml:space="preserve"> okresowo – na etapie projektowym w pętlach testowych UCD (wymagany wynik użyteczności SUS &gt; 75 punktów), a w fazie trwałości za pomocą kwartalnych mikro-ankiet (CSAT/NPS) działających w tle zintegrowanych systemów klasy EZD RP</w:t>
      </w:r>
      <w:r w:rsidR="00BC236F">
        <w:rPr>
          <w:rFonts w:cs="Arial"/>
          <w:color w:val="000000" w:themeColor="text1"/>
          <w:sz w:val="22"/>
          <w:szCs w:val="22"/>
          <w:lang w:val="pl-PL" w:eastAsia="pl-PL"/>
        </w:rPr>
        <w:t>.</w:t>
      </w:r>
    </w:p>
    <w:tbl>
      <w:tblPr>
        <w:tblW w:w="963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4"/>
        <w:gridCol w:w="7655"/>
      </w:tblGrid>
      <w:tr w:rsidR="00A96AEA" w:rsidRPr="00AA190F" w14:paraId="418209B6" w14:textId="77777777" w:rsidTr="2B856525">
        <w:trPr>
          <w:trHeight w:val="383"/>
        </w:trPr>
        <w:tc>
          <w:tcPr>
            <w:tcW w:w="1984" w:type="dxa"/>
            <w:shd w:val="clear" w:color="auto" w:fill="E7E6E6"/>
          </w:tcPr>
          <w:p w14:paraId="497BF860" w14:textId="77777777" w:rsidR="00A96AEA" w:rsidRPr="001B6667" w:rsidRDefault="00A96AEA" w:rsidP="002F56B5">
            <w:pPr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</w:pPr>
            <w:r w:rsidRPr="001B6667"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  <w:t>Cel - 1</w:t>
            </w:r>
          </w:p>
        </w:tc>
        <w:tc>
          <w:tcPr>
            <w:tcW w:w="7655" w:type="dxa"/>
            <w:shd w:val="clear" w:color="auto" w:fill="FFFFFF" w:themeFill="background1"/>
          </w:tcPr>
          <w:p w14:paraId="3841E2B2" w14:textId="77777777" w:rsidR="00BC236F" w:rsidRDefault="00BC236F" w:rsidP="00BC236F">
            <w:pPr>
              <w:pStyle w:val="Tekstpodstawowy2"/>
              <w:ind w:left="34"/>
              <w:jc w:val="both"/>
              <w:rPr>
                <w:rFonts w:cs="Arial"/>
                <w:color w:val="000000" w:themeColor="text1"/>
                <w:sz w:val="20"/>
                <w:lang w:val="pl-PL" w:eastAsia="pl-PL"/>
              </w:rPr>
            </w:pPr>
          </w:p>
          <w:p w14:paraId="26C8AE5D" w14:textId="579989A2" w:rsidR="005661B3" w:rsidRPr="00BC236F" w:rsidRDefault="005661B3" w:rsidP="00BC236F">
            <w:pPr>
              <w:pStyle w:val="Tekstpodstawowy2"/>
              <w:ind w:left="34"/>
              <w:jc w:val="both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Zwiększenie efektywności procesów administracyjnych w wymiarze sprawiedliwości i samorządzie adwokackim poprzez wdrożenie platformy oraz Doradczego Systemu Ekspertowego opartego na sztucznej inteligencji, wspierającego automatyzację procesów 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back-office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, analizę dokumentów oraz 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anonimizację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 orzecznictwa.</w:t>
            </w:r>
          </w:p>
          <w:p w14:paraId="33F462E0" w14:textId="5A933470" w:rsidR="00A96AEA" w:rsidRPr="001B6667" w:rsidRDefault="00C059CA" w:rsidP="00BC236F">
            <w:pPr>
              <w:pStyle w:val="Tekstpodstawowy2"/>
              <w:ind w:left="34"/>
              <w:jc w:val="both"/>
              <w:rPr>
                <w:rFonts w:cs="Arial"/>
                <w:color w:val="0070C0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Celem przedsięwzięcia jest budowa i wdrożenie bezpiecznej, referencyjnej platformy wewnątrzadministracyjnej oraz Doradczego Systemu Ekspertowego (DSE-L) opartego o sztuczną inteligencję, służącego do głębokiej cyfryzacji procesów 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back-office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 w wymiarze sprawiedliwości i strukturach adwokatury. W odpowiedzi na zidentyfikowane potrzeby, odizolowana architektura lokalna (on-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premise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) zapewni bezwzględną ochronę tajemnicy prawniczej oraz danych wrażliwych obywateli. Realizacja projektu pozwoli na likwidację zatorów administracyjnych w sądownictwie poprzez automatyzację weryfikacji pism i ekstrakcję cech dokumentów. Dodatkowo system zautomatyzuje masową 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anonimizację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 orzecznictwa za pomocą algorytmów NER w celu stymulowania ich wtórnego wykorzystania (re-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use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) oraz wyeliminuje błędy formalne dzięki interfejsom API A2A dla samorządu adwokackiego,</w:t>
            </w:r>
            <w:r w:rsidR="00B76D4E"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 mającym charakter interfejsu modelowego,</w:t>
            </w: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 wyznaczając standardy etyczne zgodne z unijnym AI 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Act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.</w:t>
            </w:r>
          </w:p>
        </w:tc>
      </w:tr>
      <w:tr w:rsidR="007063B2" w:rsidRPr="00AA190F" w14:paraId="580219D7" w14:textId="77777777" w:rsidTr="2B856525">
        <w:trPr>
          <w:trHeight w:val="383"/>
        </w:trPr>
        <w:tc>
          <w:tcPr>
            <w:tcW w:w="1984" w:type="dxa"/>
            <w:shd w:val="clear" w:color="auto" w:fill="E7E6E6"/>
          </w:tcPr>
          <w:p w14:paraId="34BB58E5" w14:textId="77777777" w:rsidR="007063B2" w:rsidRPr="001B6667" w:rsidRDefault="007063B2" w:rsidP="002F56B5">
            <w:pPr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</w:pPr>
            <w:r w:rsidRPr="001B6667"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  <w:t>Cel strategiczny</w:t>
            </w:r>
          </w:p>
        </w:tc>
        <w:tc>
          <w:tcPr>
            <w:tcW w:w="7655" w:type="dxa"/>
            <w:shd w:val="clear" w:color="auto" w:fill="FFFFFF" w:themeFill="background1"/>
          </w:tcPr>
          <w:p w14:paraId="124E1180" w14:textId="19028BAF" w:rsidR="005661B3" w:rsidRPr="00BC236F" w:rsidRDefault="009D348D" w:rsidP="00BC236F">
            <w:pPr>
              <w:spacing w:after="160" w:line="259" w:lineRule="auto"/>
              <w:jc w:val="both"/>
              <w:rPr>
                <w:rFonts w:cs="Arial"/>
                <w:color w:val="000000" w:themeColor="text1"/>
                <w:sz w:val="20"/>
                <w:lang w:val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Cel przedsięwzięcia bezpośrednio wpisuje się w cele strategiczne programu Fundusze Europejskie na Rozwój Cyfrowy 2021-2027 (FERC), w szczególności Priorytetu FERC.02 „Zaawansowane usługi cyfrowe” oraz Działania FERC.02.01 „Wysoka jakość i dostępność e-usług publicznych”. Inwestycja realizuje cel szczegółowy CS1.2 w zakresie wdrażania zaawansowanych technologii cyfrowych (Sztuczna Inteligencja, systemy HPC) w strukturach administracji publicznej i wymiaru sprawiedliwości. Cel ten wynika wprost z dokumentów strategicznych rządu i FERC, pozycjonując projekt jako duże, horyzontalne przedsięwzięcie wewnątrzadministracyjne (typ projektu nr 1). Realizuje on strategię głębokiej </w:t>
            </w: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lastRenderedPageBreak/>
              <w:t xml:space="preserve">cyfryzacji procesów 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back-office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 w wymiarze sprawiedliwości oraz strukturach samorządu adwokackiego, tworząc referencyjną infrastrukturę bezpiecznego AI, spełniającą rygorystyczne, ustawowe wymogi ochrony tajemnicy prawniczej.</w:t>
            </w:r>
            <w:r w:rsidR="005661B3"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 </w:t>
            </w:r>
            <w:r w:rsidR="005661B3" w:rsidRPr="00BC236F">
              <w:rPr>
                <w:rFonts w:cs="Arial"/>
                <w:color w:val="000000" w:themeColor="text1"/>
                <w:sz w:val="20"/>
                <w:lang w:val="pl-PL"/>
              </w:rPr>
              <w:t>Ponadto cel ten wpisuje się w Strategię Cyfryzacji Państwa do 2035 roku przyjętą Uchwałą nr 130 Rady Ministrów z dnia 9 czerwca 2026 poprzez rozwój nowoczesnych usług publicznych oraz wykorzystanie sztucznej inteligencji w administracji publicznej.</w:t>
            </w:r>
          </w:p>
        </w:tc>
      </w:tr>
      <w:tr w:rsidR="000F667D" w:rsidRPr="00AA190F" w14:paraId="183243E3" w14:textId="77777777" w:rsidTr="2B856525">
        <w:trPr>
          <w:trHeight w:val="383"/>
        </w:trPr>
        <w:tc>
          <w:tcPr>
            <w:tcW w:w="1984" w:type="dxa"/>
            <w:shd w:val="clear" w:color="auto" w:fill="E7E6E6"/>
          </w:tcPr>
          <w:p w14:paraId="63A62BBD" w14:textId="77777777" w:rsidR="000F667D" w:rsidRPr="001B6667" w:rsidRDefault="000F667D" w:rsidP="002F56B5">
            <w:pPr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</w:pPr>
            <w:r w:rsidRPr="001B6667"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  <w:lastRenderedPageBreak/>
              <w:t>Korzyść:</w:t>
            </w:r>
          </w:p>
        </w:tc>
        <w:tc>
          <w:tcPr>
            <w:tcW w:w="7655" w:type="dxa"/>
            <w:shd w:val="clear" w:color="auto" w:fill="FFFFFF" w:themeFill="background1"/>
          </w:tcPr>
          <w:p w14:paraId="01007F21" w14:textId="0B777529" w:rsidR="005661B3" w:rsidRPr="00BC236F" w:rsidRDefault="005661B3" w:rsidP="00BC236F">
            <w:pPr>
              <w:spacing w:after="160" w:line="259" w:lineRule="auto"/>
              <w:jc w:val="both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Podniesienie efektywności procesów administracyjnych poprzez automatyzację analizy dokumentów, ograniczenie liczby błędów formalnych, skrócenie czasu obsługi spraw oraz zwiększenie bezpieczeństwa przetwarzania danych i możliwości ponownego wykorzystania orzecznictwa.</w:t>
            </w:r>
          </w:p>
          <w:p w14:paraId="78E8DB4E" w14:textId="0A768CB4" w:rsidR="000F667D" w:rsidRPr="001B6667" w:rsidRDefault="009D348D" w:rsidP="00BC236F">
            <w:pPr>
              <w:spacing w:after="160" w:line="259" w:lineRule="auto"/>
              <w:jc w:val="both"/>
              <w:rPr>
                <w:rFonts w:eastAsia="MS MinNew Roman" w:cs="Arial"/>
                <w:b/>
                <w:sz w:val="20"/>
                <w:lang w:val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Główną korzyścią z realizacji projektu DSE-L jest głęboka cyfryzacja procesów 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back-office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 w wymiarze sprawiedliwości i strukturach adwokatury poprzez wdrożenie referencyjnej infrastruktury bezpiecznego AI na odizolowanym klastrze sprzętowym on-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premise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. Rozwiązanie to całkowicie eliminuje ryzyko wycieku danych wrażliwych i gwarantuje pełną ochronę tajemnicy prawniczej. Wdrożenie systemu przynosi przełomowe efekty operacyjne: skraca czas wstępnej walidacji formalno-prawnej pism o 70% przy skuteczności detekcji braków na poziomie F1-Score ≥ 95%, automatyzuje publikację orzecznictwa dzięki bezbłędnej 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anonimizacji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 semantycznej NER (Zero-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Leakage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) oraz optymalizuje przygotowanie projektów pism i uzasadnień za pomocą architektury RAG z 0% wskaźnikiem halucynacji. W ujęciu społecznym automatyzacja zaplecza likwiduje zatory administracyjne w sądownictwie, bezpośrednio skracając czas rozpatrywania spraw obywateli i przedsiębiorców.</w:t>
            </w:r>
          </w:p>
        </w:tc>
      </w:tr>
      <w:tr w:rsidR="000F667D" w:rsidRPr="00AA190F" w14:paraId="73BB3819" w14:textId="77777777" w:rsidTr="2B856525">
        <w:trPr>
          <w:trHeight w:val="274"/>
        </w:trPr>
        <w:tc>
          <w:tcPr>
            <w:tcW w:w="1984" w:type="dxa"/>
            <w:shd w:val="clear" w:color="auto" w:fill="E7E6E6"/>
          </w:tcPr>
          <w:p w14:paraId="5B631B61" w14:textId="77777777" w:rsidR="000F667D" w:rsidRPr="001B6667" w:rsidRDefault="000F667D" w:rsidP="002F56B5">
            <w:pPr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</w:pPr>
            <w:r w:rsidRPr="001B6667">
              <w:rPr>
                <w:rFonts w:cs="Arial"/>
                <w:b/>
                <w:sz w:val="20"/>
                <w:szCs w:val="24"/>
                <w:lang w:val="pl-PL"/>
              </w:rPr>
              <w:t>KPI:</w:t>
            </w:r>
          </w:p>
        </w:tc>
        <w:tc>
          <w:tcPr>
            <w:tcW w:w="7655" w:type="dxa"/>
            <w:shd w:val="clear" w:color="auto" w:fill="FFFFFF" w:themeFill="background1"/>
          </w:tcPr>
          <w:p w14:paraId="2CC3D2B4" w14:textId="77777777" w:rsidR="005661B3" w:rsidRPr="00BC236F" w:rsidRDefault="005661B3" w:rsidP="00BC236F">
            <w:pPr>
              <w:pStyle w:val="Tekstpodstawowy2"/>
              <w:spacing w:after="0" w:line="259" w:lineRule="auto"/>
              <w:ind w:left="0"/>
              <w:jc w:val="both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Projekt będzie realizował obligatoryjne wskaźniki produktu i rezultatu wynikające z programu Fundusze Europejskie na Rozwój Cyfrowy 2021-2027 określone dla Działania 2.1 „Wysoka jakość i dostępność cyfrowa e-usług publicznych”, zgodnie ze Szczegółowym Opisem Priorytetów (SZOP) oraz dokumentacją konkursową, adekwatne do zakresu przedsięwzięcia obejmującego zarówno rozwój usług 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wewnątrzadmnistracyjnych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 (A2A) jak i e-usług publicznych świadczonych na rzecz użytkowników zewnętrznych. Dodatkowo na potrzeby monitorowania osiągnięcia celów przedsięwzięcia, zdefiniowano autorskie wskaźniki efektywności (KPI) odzwierciedlające zakładane rezultaty organizacyjne i jakościowe projektu. </w:t>
            </w:r>
          </w:p>
          <w:p w14:paraId="6F770BD8" w14:textId="77777777" w:rsidR="005661B3" w:rsidRPr="00BC236F" w:rsidRDefault="005661B3" w:rsidP="00BC236F">
            <w:pPr>
              <w:pStyle w:val="Tekstpodstawowy2"/>
              <w:spacing w:after="0" w:line="259" w:lineRule="auto"/>
              <w:ind w:left="0"/>
              <w:jc w:val="both"/>
              <w:rPr>
                <w:rFonts w:cs="Arial"/>
                <w:color w:val="000000" w:themeColor="text1"/>
                <w:sz w:val="20"/>
                <w:lang w:val="pl-PL" w:eastAsia="pl-PL"/>
              </w:rPr>
            </w:pPr>
          </w:p>
          <w:p w14:paraId="450E501C" w14:textId="77777777" w:rsidR="005661B3" w:rsidRPr="00BC236F" w:rsidRDefault="005661B3" w:rsidP="00BC236F">
            <w:pPr>
              <w:pStyle w:val="Tekstpodstawowy2"/>
              <w:spacing w:after="0" w:line="259" w:lineRule="auto"/>
              <w:ind w:left="0"/>
              <w:jc w:val="both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Obligatoryjne wskaźniki produktu:</w:t>
            </w:r>
          </w:p>
          <w:p w14:paraId="70D4F673" w14:textId="703908E6" w:rsidR="005661B3" w:rsidRPr="00BC236F" w:rsidRDefault="005661B3" w:rsidP="00BC236F">
            <w:pPr>
              <w:pStyle w:val="Tekstpodstawowy2"/>
              <w:numPr>
                <w:ilvl w:val="0"/>
                <w:numId w:val="20"/>
              </w:numPr>
              <w:spacing w:after="0" w:line="259" w:lineRule="auto"/>
              <w:jc w:val="both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WLWK- RCO014 - instytucje publiczne otrzymujące wsparcie na opracowanie usług, produktów i procesów cyfrowych,</w:t>
            </w:r>
          </w:p>
          <w:p w14:paraId="34FF8F0B" w14:textId="77777777" w:rsidR="005661B3" w:rsidRPr="00BC236F" w:rsidRDefault="005661B3" w:rsidP="00BC236F">
            <w:pPr>
              <w:pStyle w:val="Tekstpodstawowy2"/>
              <w:numPr>
                <w:ilvl w:val="0"/>
                <w:numId w:val="20"/>
              </w:numPr>
              <w:spacing w:after="0" w:line="259" w:lineRule="auto"/>
              <w:jc w:val="both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WLWK- PLR0008 – liczba podmiotów wspartych w zakresie rozwoju usług, produktów i procesów cyfrowych,</w:t>
            </w:r>
          </w:p>
          <w:p w14:paraId="4B1F56D0" w14:textId="3426853A" w:rsidR="005661B3" w:rsidRPr="00BC236F" w:rsidRDefault="005661B3" w:rsidP="00BC236F">
            <w:pPr>
              <w:pStyle w:val="Tekstpodstawowy2"/>
              <w:numPr>
                <w:ilvl w:val="0"/>
                <w:numId w:val="20"/>
              </w:numPr>
              <w:spacing w:after="0" w:line="259" w:lineRule="auto"/>
              <w:jc w:val="both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WLWK – PLR0012 – liczba usług publicznych udostępnionych on-line o stopniu dojrzałości co najmniej 4 - transakcja</w:t>
            </w:r>
          </w:p>
          <w:p w14:paraId="0C523DC9" w14:textId="4275653D" w:rsidR="005661B3" w:rsidRPr="00BC236F" w:rsidRDefault="005661B3" w:rsidP="00BC236F">
            <w:pPr>
              <w:pStyle w:val="Tekstpodstawowy2"/>
              <w:numPr>
                <w:ilvl w:val="0"/>
                <w:numId w:val="20"/>
              </w:numPr>
              <w:spacing w:after="0" w:line="259" w:lineRule="auto"/>
              <w:jc w:val="both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PROG-FERC-P008- liczba udostępnionych usług wewnątrzadministracyjnych (A2A)</w:t>
            </w:r>
          </w:p>
          <w:p w14:paraId="3C667DF2" w14:textId="68DD930E" w:rsidR="005661B3" w:rsidRPr="00BC236F" w:rsidRDefault="005661B3" w:rsidP="00BC236F">
            <w:pPr>
              <w:pStyle w:val="Tekstpodstawowy2"/>
              <w:numPr>
                <w:ilvl w:val="0"/>
                <w:numId w:val="20"/>
              </w:numPr>
              <w:spacing w:after="0" w:line="259" w:lineRule="auto"/>
              <w:jc w:val="both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PROG-FERC- P009 – liczba uruchomionych systemów teleinformatycznych w podmiotach wykonujących zadania publiczne.</w:t>
            </w:r>
          </w:p>
          <w:p w14:paraId="42FA8568" w14:textId="77777777" w:rsidR="005661B3" w:rsidRPr="00BC236F" w:rsidRDefault="005661B3" w:rsidP="00BC236F">
            <w:pPr>
              <w:pStyle w:val="Tekstpodstawowy2"/>
              <w:spacing w:after="0" w:line="259" w:lineRule="auto"/>
              <w:ind w:left="0"/>
              <w:jc w:val="both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Wskaźnik rezultatu: </w:t>
            </w:r>
          </w:p>
          <w:p w14:paraId="1FDCAE1E" w14:textId="404B2143" w:rsidR="005661B3" w:rsidRPr="00BC236F" w:rsidRDefault="005661B3" w:rsidP="00BC236F">
            <w:pPr>
              <w:pStyle w:val="Tekstpodstawowy2"/>
              <w:numPr>
                <w:ilvl w:val="0"/>
                <w:numId w:val="21"/>
              </w:numPr>
              <w:spacing w:after="0" w:line="259" w:lineRule="auto"/>
              <w:jc w:val="both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WLWK – RCR011 – użytkownicy nowych i zmodernizowanych publicznych usług, produktów i procesów cyfrowych [AG4.1].</w:t>
            </w:r>
          </w:p>
          <w:p w14:paraId="400E01B8" w14:textId="77777777" w:rsidR="005661B3" w:rsidRPr="00BC236F" w:rsidRDefault="005661B3" w:rsidP="00BC236F">
            <w:pPr>
              <w:pStyle w:val="Tekstpodstawowy2"/>
              <w:spacing w:after="0" w:line="259" w:lineRule="auto"/>
              <w:ind w:left="0"/>
              <w:jc w:val="both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Własne KPI projektu: </w:t>
            </w:r>
          </w:p>
          <w:p w14:paraId="5B437D1B" w14:textId="77777777" w:rsidR="005661B3" w:rsidRPr="00BC236F" w:rsidRDefault="005661B3" w:rsidP="00BC236F">
            <w:pPr>
              <w:pStyle w:val="Tekstpodstawowy2"/>
              <w:numPr>
                <w:ilvl w:val="0"/>
                <w:numId w:val="21"/>
              </w:numPr>
              <w:spacing w:after="0" w:line="259" w:lineRule="auto"/>
              <w:jc w:val="both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lastRenderedPageBreak/>
              <w:t>KPI 1: Zwiększenie liczby dokumentów poddawanych automatycznej analizie z wykorzystaniem AI</w:t>
            </w:r>
          </w:p>
          <w:p w14:paraId="311701C5" w14:textId="77777777" w:rsidR="005661B3" w:rsidRPr="00BC236F" w:rsidRDefault="005661B3" w:rsidP="00BC236F">
            <w:pPr>
              <w:pStyle w:val="Tekstpodstawowy2"/>
              <w:numPr>
                <w:ilvl w:val="0"/>
                <w:numId w:val="21"/>
              </w:numPr>
              <w:spacing w:after="0" w:line="259" w:lineRule="auto"/>
              <w:jc w:val="both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KPI 2: Skrócenie średniego czasu występowania weryfikacji dokumentów</w:t>
            </w:r>
          </w:p>
          <w:p w14:paraId="08707E94" w14:textId="77777777" w:rsidR="005661B3" w:rsidRPr="00BC236F" w:rsidRDefault="005661B3" w:rsidP="00BC236F">
            <w:pPr>
              <w:pStyle w:val="Tekstpodstawowy2"/>
              <w:numPr>
                <w:ilvl w:val="0"/>
                <w:numId w:val="21"/>
              </w:numPr>
              <w:spacing w:after="0" w:line="259" w:lineRule="auto"/>
              <w:jc w:val="both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KPI 3: Zwiększenie liczby dokumentów 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anonimizowanych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 w sposób automatyczny</w:t>
            </w:r>
          </w:p>
          <w:p w14:paraId="08682EC3" w14:textId="6BDB1942" w:rsidR="005661B3" w:rsidRPr="00BC236F" w:rsidRDefault="005661B3" w:rsidP="00BC236F">
            <w:pPr>
              <w:pStyle w:val="Tekstpodstawowy2"/>
              <w:numPr>
                <w:ilvl w:val="0"/>
                <w:numId w:val="21"/>
              </w:numPr>
              <w:spacing w:after="0" w:line="259" w:lineRule="auto"/>
              <w:jc w:val="both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KPI 4: Zmniejszenie liczby dokumentów wymagających ponownej weryfikacji z powodu błędów formalnych</w:t>
            </w:r>
          </w:p>
          <w:p w14:paraId="2F47E223" w14:textId="4E78B943" w:rsidR="00221961" w:rsidRPr="00A90BB6" w:rsidRDefault="000A4331" w:rsidP="00BC236F">
            <w:pPr>
              <w:pStyle w:val="Tekstpodstawowy2"/>
              <w:spacing w:after="0" w:line="259" w:lineRule="auto"/>
              <w:ind w:left="0"/>
              <w:jc w:val="both"/>
              <w:rPr>
                <w:rFonts w:cs="Arial"/>
                <w:color w:val="0070C0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W ramach realizacji projektu DSE-L obligatoryjnym wskaźnikiem rezultatu (KPI) przypisanym do FERC będzie zapewnienie dojrzałości cyfrowej nowej e-usługi A2A na poziomie minimum 20 000 unikalnych użytkowników rocznie w okresie trwałości. Efektywność operacyjna i optymalizacja procesów 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back-office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 zostaną odzwierciedlone przez skrócenie czasu obsługi procesu wewnątrz organizacji – automatyczna walidacja dokumentacji i ekstrakcja cech pism z użyciem modeli LLM i RAG pozwoli na skrócenie czasu wstępnej analizy formalno-prawnej pism wpływających o 70%. Ponadto system wykaże skrócenie czasu obsługi zdarzenia poprzez automatyczną 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anonimizację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 i generowanie raportu JSON w czasie poniżej 3 sekund dla pism do 20 stron. Zwiększenie wolumenu danych pobieranych automatycznie bez udziału pracownika zostanie zapewnione przez bezobsługową integrację systemów dziedzinowych przez dedykowane API i zasilenie baz wektorowych zanonimizowanym zbiorem 30 000 </w:t>
            </w:r>
            <w:proofErr w:type="gramStart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orzeczeń ,</w:t>
            </w:r>
            <w:proofErr w:type="gramEnd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 co obniży koszty realizacji procesów</w:t>
            </w:r>
          </w:p>
        </w:tc>
      </w:tr>
      <w:tr w:rsidR="000F667D" w:rsidRPr="00AA190F" w14:paraId="1F6D5775" w14:textId="77777777" w:rsidTr="2B856525">
        <w:trPr>
          <w:trHeight w:val="478"/>
        </w:trPr>
        <w:tc>
          <w:tcPr>
            <w:tcW w:w="1984" w:type="dxa"/>
            <w:shd w:val="clear" w:color="auto" w:fill="E7E6E6"/>
          </w:tcPr>
          <w:p w14:paraId="7063F9AF" w14:textId="77777777" w:rsidR="000F667D" w:rsidRPr="001B6667" w:rsidRDefault="00A83217" w:rsidP="002F56B5">
            <w:pPr>
              <w:rPr>
                <w:rFonts w:cs="Arial"/>
                <w:b/>
                <w:sz w:val="20"/>
                <w:szCs w:val="24"/>
                <w:lang w:val="pl-PL"/>
              </w:rPr>
            </w:pPr>
            <w:r w:rsidRPr="001B6667">
              <w:rPr>
                <w:rFonts w:cs="Arial"/>
                <w:b/>
                <w:sz w:val="20"/>
                <w:szCs w:val="24"/>
                <w:lang w:val="pl-PL"/>
              </w:rPr>
              <w:lastRenderedPageBreak/>
              <w:t>Wartość aktualna i docelowa KPI</w:t>
            </w:r>
            <w:r w:rsidR="000F667D" w:rsidRPr="001B6667">
              <w:rPr>
                <w:rFonts w:cs="Arial"/>
                <w:b/>
                <w:sz w:val="20"/>
                <w:szCs w:val="24"/>
                <w:lang w:val="pl-PL"/>
              </w:rPr>
              <w:t>:</w:t>
            </w:r>
          </w:p>
        </w:tc>
        <w:tc>
          <w:tcPr>
            <w:tcW w:w="7655" w:type="dxa"/>
            <w:shd w:val="clear" w:color="auto" w:fill="FFFFFF" w:themeFill="background1"/>
          </w:tcPr>
          <w:p w14:paraId="6CA04B26" w14:textId="77777777" w:rsidR="005661B3" w:rsidRPr="00BC236F" w:rsidRDefault="005661B3" w:rsidP="005661B3">
            <w:pPr>
              <w:pStyle w:val="Tekstpodstawowy2"/>
              <w:numPr>
                <w:ilvl w:val="0"/>
                <w:numId w:val="22"/>
              </w:numPr>
              <w:ind w:left="360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WLWK- RCO014 – wartość aktualna: 0, wartość docelowa: 3</w:t>
            </w:r>
          </w:p>
          <w:p w14:paraId="5C6FE757" w14:textId="77777777" w:rsidR="005661B3" w:rsidRPr="00BC236F" w:rsidRDefault="005661B3" w:rsidP="005661B3">
            <w:pPr>
              <w:pStyle w:val="Tekstpodstawowy2"/>
              <w:numPr>
                <w:ilvl w:val="0"/>
                <w:numId w:val="22"/>
              </w:numPr>
              <w:ind w:left="360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WLWK- PLR0008 – wartość aktualna:0, wartość docelowa: 3</w:t>
            </w:r>
          </w:p>
          <w:p w14:paraId="4C0ADC3B" w14:textId="77777777" w:rsidR="005661B3" w:rsidRPr="00BC236F" w:rsidRDefault="005661B3" w:rsidP="005661B3">
            <w:pPr>
              <w:pStyle w:val="Tekstpodstawowy2"/>
              <w:numPr>
                <w:ilvl w:val="0"/>
                <w:numId w:val="22"/>
              </w:numPr>
              <w:ind w:left="360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WLWK - PLR0012 – wartość aktualna: 0, wartość docelowa: 1</w:t>
            </w:r>
          </w:p>
          <w:p w14:paraId="57AFA54A" w14:textId="3466052D" w:rsidR="005661B3" w:rsidRPr="00BC236F" w:rsidRDefault="005661B3" w:rsidP="005661B3">
            <w:pPr>
              <w:pStyle w:val="Tekstpodstawowy2"/>
              <w:numPr>
                <w:ilvl w:val="0"/>
                <w:numId w:val="22"/>
              </w:numPr>
              <w:ind w:left="360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PROG-FERC-P008 – wartość aktualna: 0, wartość docelowa: 2</w:t>
            </w:r>
          </w:p>
          <w:p w14:paraId="0864EA44" w14:textId="48E16E6E" w:rsidR="005661B3" w:rsidRPr="00BC236F" w:rsidRDefault="005661B3" w:rsidP="005661B3">
            <w:pPr>
              <w:pStyle w:val="Tekstpodstawowy2"/>
              <w:numPr>
                <w:ilvl w:val="0"/>
                <w:numId w:val="22"/>
              </w:numPr>
              <w:ind w:left="360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PROG-FERC- P009 – wartość aktualna:0, wartość docelowa:2</w:t>
            </w:r>
          </w:p>
          <w:p w14:paraId="25AB670F" w14:textId="5C30E8AF" w:rsidR="005661B3" w:rsidRPr="00BC236F" w:rsidRDefault="005661B3" w:rsidP="005661B3">
            <w:pPr>
              <w:pStyle w:val="Tekstpodstawowy2"/>
              <w:numPr>
                <w:ilvl w:val="0"/>
                <w:numId w:val="22"/>
              </w:numPr>
              <w:ind w:left="357" w:hanging="357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WLWK – RCR011- wartość aktualna:0, wartość docelowa: 20000</w:t>
            </w:r>
          </w:p>
          <w:p w14:paraId="22AFB62A" w14:textId="77777777" w:rsidR="005661B3" w:rsidRPr="00BC236F" w:rsidRDefault="005661B3" w:rsidP="005661B3">
            <w:pPr>
              <w:pStyle w:val="Tekstpodstawowy2"/>
              <w:ind w:left="357"/>
              <w:rPr>
                <w:rFonts w:cs="Arial"/>
                <w:color w:val="000000" w:themeColor="text1"/>
                <w:sz w:val="20"/>
                <w:lang w:val="pl-PL" w:eastAsia="pl-PL"/>
              </w:rPr>
            </w:pPr>
          </w:p>
          <w:p w14:paraId="70C1EDCC" w14:textId="3B9D7574" w:rsidR="005661B3" w:rsidRPr="00BC236F" w:rsidRDefault="005661B3" w:rsidP="005661B3">
            <w:pPr>
              <w:pStyle w:val="Tekstpodstawowy2"/>
              <w:numPr>
                <w:ilvl w:val="0"/>
                <w:numId w:val="22"/>
              </w:numPr>
              <w:ind w:left="357" w:hanging="357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KPI 1: wartość aktualna 0, wartość docelowa: 90%</w:t>
            </w:r>
          </w:p>
          <w:p w14:paraId="5ACC94AF" w14:textId="77777777" w:rsidR="005661B3" w:rsidRPr="00BC236F" w:rsidRDefault="005661B3" w:rsidP="005661B3">
            <w:pPr>
              <w:pStyle w:val="Tekstpodstawowy2"/>
              <w:numPr>
                <w:ilvl w:val="0"/>
                <w:numId w:val="22"/>
              </w:numPr>
              <w:ind w:left="360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KPI 2: wartość aktualna 100% - stan obecny, wartość docelowa: skrócenie o 70%</w:t>
            </w:r>
          </w:p>
          <w:p w14:paraId="7570D4DD" w14:textId="5B5B794F" w:rsidR="005661B3" w:rsidRPr="00BC236F" w:rsidRDefault="005661B3" w:rsidP="005661B3">
            <w:pPr>
              <w:pStyle w:val="Tekstpodstawowy2"/>
              <w:numPr>
                <w:ilvl w:val="0"/>
                <w:numId w:val="22"/>
              </w:numPr>
              <w:ind w:left="360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KPI 3: wartość aktualna 0, wartość docelowa: </w:t>
            </w:r>
            <w:r w:rsidR="00FF0B92"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200000</w:t>
            </w:r>
          </w:p>
          <w:p w14:paraId="466EB046" w14:textId="09D12E49" w:rsidR="000A4331" w:rsidRPr="00BC236F" w:rsidRDefault="005661B3" w:rsidP="00FF0B92">
            <w:pPr>
              <w:pStyle w:val="Tekstpodstawowy2"/>
              <w:numPr>
                <w:ilvl w:val="0"/>
                <w:numId w:val="22"/>
              </w:numPr>
              <w:ind w:left="360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KPI 4: wartość </w:t>
            </w:r>
            <w:r w:rsidR="00FF0B92"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aktualna</w:t>
            </w: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: 100 proc., wartość docelowa: zmniejszenie o </w:t>
            </w:r>
            <w:r w:rsidR="00FF0B92"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7</w:t>
            </w: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0% </w:t>
            </w:r>
          </w:p>
        </w:tc>
      </w:tr>
      <w:tr w:rsidR="000F667D" w:rsidRPr="00AA190F" w14:paraId="154033C0" w14:textId="77777777" w:rsidTr="2B856525">
        <w:trPr>
          <w:trHeight w:val="499"/>
        </w:trPr>
        <w:tc>
          <w:tcPr>
            <w:tcW w:w="1984" w:type="dxa"/>
            <w:shd w:val="clear" w:color="auto" w:fill="E7E6E6"/>
          </w:tcPr>
          <w:p w14:paraId="40C0D7CE" w14:textId="77777777" w:rsidR="000F667D" w:rsidRPr="001B6667" w:rsidRDefault="00637D74" w:rsidP="002F56B5">
            <w:pPr>
              <w:rPr>
                <w:rFonts w:cs="Arial"/>
                <w:b/>
                <w:sz w:val="20"/>
                <w:szCs w:val="24"/>
                <w:lang w:val="pl-PL"/>
              </w:rPr>
            </w:pPr>
            <w:r w:rsidRPr="001B6667">
              <w:rPr>
                <w:rFonts w:cs="Arial"/>
                <w:b/>
                <w:sz w:val="20"/>
                <w:szCs w:val="24"/>
                <w:lang w:val="pl-PL"/>
              </w:rPr>
              <w:t>Metoda pomiaru KPI</w:t>
            </w:r>
          </w:p>
        </w:tc>
        <w:tc>
          <w:tcPr>
            <w:tcW w:w="7655" w:type="dxa"/>
            <w:shd w:val="clear" w:color="auto" w:fill="FFFFFF" w:themeFill="background1"/>
          </w:tcPr>
          <w:p w14:paraId="2D31B989" w14:textId="77777777" w:rsidR="00FF0B92" w:rsidRPr="00BC236F" w:rsidRDefault="00FF0B92" w:rsidP="00FF0B92">
            <w:pPr>
              <w:pStyle w:val="Tekstpodstawowy2"/>
              <w:numPr>
                <w:ilvl w:val="0"/>
                <w:numId w:val="23"/>
              </w:numPr>
              <w:ind w:left="360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WLWK- RCO014 – metoda pomiaru: weryfikacja liczby instytucji objętych wsparciem w ramach projektu, źródło danych: umowa o dofinansowanie, umowa partnerstwa, dokumentacja projektowa, częstotliwość: jednorazowo na zakończenie realizacji projektu</w:t>
            </w:r>
          </w:p>
          <w:p w14:paraId="67A79316" w14:textId="77777777" w:rsidR="00FF0B92" w:rsidRPr="00BC236F" w:rsidRDefault="00FF0B92" w:rsidP="00FF0B92">
            <w:pPr>
              <w:pStyle w:val="Tekstpodstawowy2"/>
              <w:numPr>
                <w:ilvl w:val="0"/>
                <w:numId w:val="23"/>
              </w:numPr>
              <w:ind w:left="360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WLWK- PLR0008 – metoda pomiaru: analiza dokumentacji projektowej, źródło danych: umowa o dofinansowanie, umowa partnerska</w:t>
            </w:r>
          </w:p>
          <w:p w14:paraId="22C2966D" w14:textId="77777777" w:rsidR="00FF0B92" w:rsidRPr="00BC236F" w:rsidRDefault="00FF0B92" w:rsidP="00FF0B92">
            <w:pPr>
              <w:pStyle w:val="Tekstpodstawowy2"/>
              <w:numPr>
                <w:ilvl w:val="0"/>
                <w:numId w:val="23"/>
              </w:numPr>
              <w:ind w:left="360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WLWK - PLR0012 – metoda pomiaru: weryfikacja wdrożonych e-usług na 4 poziomie dojrzałości, źródła danych: dokumentacja techniczna, częstotliwość: jednorazowo po zakończeniu projektu</w:t>
            </w:r>
          </w:p>
          <w:p w14:paraId="1E118880" w14:textId="38CC7F83" w:rsidR="00FF0B92" w:rsidRPr="00BC236F" w:rsidRDefault="00FF0B92" w:rsidP="00FF0B92">
            <w:pPr>
              <w:pStyle w:val="Tekstpodstawowy2"/>
              <w:numPr>
                <w:ilvl w:val="0"/>
                <w:numId w:val="23"/>
              </w:numPr>
              <w:ind w:left="360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PROG-FERC-P008 – metoda pomiaru: analiza wdrożonych usług A2A, źródło danych: protokoły odbioru, częstotliwość: jednorazowo po zakończeniu projektu</w:t>
            </w:r>
          </w:p>
          <w:p w14:paraId="21AE531F" w14:textId="304D0444" w:rsidR="00FF0B92" w:rsidRPr="00BC236F" w:rsidRDefault="00FF0B92" w:rsidP="00FF0B92">
            <w:pPr>
              <w:pStyle w:val="Tekstpodstawowy2"/>
              <w:numPr>
                <w:ilvl w:val="0"/>
                <w:numId w:val="23"/>
              </w:numPr>
              <w:ind w:left="360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lastRenderedPageBreak/>
              <w:t>PROG-FERC- P009 – metoda pomiaru: weryfikacja wdrożonych systemów, źródło danych: protokoły odbioru, częstotliwość: jednorazowo,</w:t>
            </w:r>
          </w:p>
          <w:p w14:paraId="37B77DB7" w14:textId="7FDDA8FC" w:rsidR="00FF0B92" w:rsidRPr="00BC236F" w:rsidRDefault="00FF0B92" w:rsidP="00FF0B92">
            <w:pPr>
              <w:pStyle w:val="Tekstpodstawowy2"/>
              <w:numPr>
                <w:ilvl w:val="0"/>
                <w:numId w:val="23"/>
              </w:numPr>
              <w:ind w:left="360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WLWK – RCR011 – metoda pomiaru: analiza statystyk systemu, źródło danych: raporty systemowe, Identyfikacja unikalnych użytkowników na podstawie logów systemowych i 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tokenów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 identyfikacyjnych, częstotliwość: pomiar do 12 miesięcy po zakończeniu realizacji projektu.</w:t>
            </w:r>
          </w:p>
          <w:p w14:paraId="6BCC3638" w14:textId="6A22FF0F" w:rsidR="00FF0B92" w:rsidRPr="00BC236F" w:rsidRDefault="00FF0B92" w:rsidP="00FF0B92">
            <w:pPr>
              <w:pStyle w:val="Tekstpodstawowy2"/>
              <w:numPr>
                <w:ilvl w:val="0"/>
                <w:numId w:val="23"/>
              </w:numPr>
              <w:ind w:left="360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KPI 1 – metoda pomiaru: analiza logów systemowych, źródło danych: raporty systemowe, częstotliwość: kwartalnie, wartość docelowa po zakończeniu realizacji projektu</w:t>
            </w:r>
          </w:p>
          <w:p w14:paraId="4CB1EC1C" w14:textId="427E2BEA" w:rsidR="00FF0B92" w:rsidRPr="00BC236F" w:rsidRDefault="00FF0B92" w:rsidP="00FF0B92">
            <w:pPr>
              <w:pStyle w:val="Tekstpodstawowy2"/>
              <w:numPr>
                <w:ilvl w:val="0"/>
                <w:numId w:val="23"/>
              </w:numPr>
              <w:ind w:left="360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KPI 2 – metoda: analiza danych systemu, źródło danych: raporty systemu oraz statystyki jednostek korzystających z systemu, częstotliwość: kwartalnie</w:t>
            </w:r>
          </w:p>
          <w:p w14:paraId="20CF376D" w14:textId="7D679708" w:rsidR="00FF0B92" w:rsidRPr="00BC236F" w:rsidRDefault="00FF0B92" w:rsidP="00FF0B92">
            <w:pPr>
              <w:pStyle w:val="Tekstpodstawowy2"/>
              <w:numPr>
                <w:ilvl w:val="0"/>
                <w:numId w:val="23"/>
              </w:numPr>
              <w:ind w:left="360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KPI 3 – raporty systemowe</w:t>
            </w:r>
          </w:p>
          <w:p w14:paraId="4123CB6F" w14:textId="3C9E2F21" w:rsidR="000F667D" w:rsidRPr="00BC236F" w:rsidRDefault="00FF0B92" w:rsidP="00FF0B92">
            <w:pPr>
              <w:pStyle w:val="Tekstpodstawowy2"/>
              <w:numPr>
                <w:ilvl w:val="0"/>
                <w:numId w:val="23"/>
              </w:numPr>
              <w:ind w:left="360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KPI 4 – analiza raportów z sytemu, źródło danych: logi systemowe, częstotliwość: kwartalnie</w:t>
            </w:r>
          </w:p>
        </w:tc>
      </w:tr>
    </w:tbl>
    <w:p w14:paraId="2B9F3875" w14:textId="77777777" w:rsidR="00143B0D" w:rsidRPr="00485E7E" w:rsidRDefault="00143B0D" w:rsidP="00485E7E">
      <w:pPr>
        <w:tabs>
          <w:tab w:val="left" w:pos="4962"/>
        </w:tabs>
        <w:spacing w:before="120" w:after="360"/>
        <w:ind w:right="170"/>
        <w:outlineLvl w:val="1"/>
        <w:rPr>
          <w:rFonts w:cs="Arial"/>
          <w:b/>
          <w:iCs/>
          <w:vanish/>
        </w:rPr>
      </w:pPr>
      <w:bookmarkStart w:id="4" w:name="_Toc462924057"/>
    </w:p>
    <w:p w14:paraId="1645B327" w14:textId="3B48EB22" w:rsidR="0056584B" w:rsidRPr="00485E7E" w:rsidRDefault="0056584B" w:rsidP="00700074">
      <w:pPr>
        <w:pStyle w:val="Nagwek2"/>
        <w:keepNext/>
        <w:tabs>
          <w:tab w:val="left" w:pos="4962"/>
        </w:tabs>
        <w:spacing w:before="240" w:after="240"/>
        <w:ind w:left="856" w:hanging="431"/>
        <w:rPr>
          <w:b w:val="0"/>
          <w:color w:val="7F7F7F" w:themeColor="text1" w:themeTint="80"/>
          <w:sz w:val="20"/>
          <w:szCs w:val="20"/>
          <w:lang w:val="pl-PL" w:eastAsia="pl-PL"/>
        </w:rPr>
      </w:pPr>
      <w:r w:rsidRPr="00485E7E">
        <w:rPr>
          <w:lang w:val="pl-PL" w:eastAsia="pl-PL"/>
        </w:rPr>
        <w:t>Udostępnione e-usługi</w:t>
      </w:r>
      <w:bookmarkEnd w:id="4"/>
      <w:r w:rsidR="009C7AD9" w:rsidRPr="00485E7E">
        <w:rPr>
          <w:lang w:val="pl-PL" w:eastAsia="pl-PL"/>
        </w:rPr>
        <w:t xml:space="preserve"> </w:t>
      </w:r>
      <w:r w:rsidR="009C7AD9" w:rsidRPr="00485E7E">
        <w:rPr>
          <w:b w:val="0"/>
          <w:color w:val="7F7F7F" w:themeColor="text1" w:themeTint="80"/>
          <w:sz w:val="20"/>
          <w:szCs w:val="20"/>
          <w:lang w:val="pl-PL" w:eastAsia="pl-PL"/>
        </w:rPr>
        <w:t>&lt;&lt;maksymalnie 2000 znaków&gt;&gt;</w:t>
      </w:r>
    </w:p>
    <w:tbl>
      <w:tblPr>
        <w:tblpPr w:leftFromText="141" w:rightFromText="141" w:vertAnchor="text" w:horzAnchor="page" w:tblpX="1470" w:tblpY="-32"/>
        <w:tblW w:w="9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9"/>
        <w:gridCol w:w="3924"/>
        <w:gridCol w:w="1418"/>
        <w:gridCol w:w="1721"/>
        <w:gridCol w:w="1843"/>
      </w:tblGrid>
      <w:tr w:rsidR="004A0BB2" w:rsidRPr="009718C9" w14:paraId="47F9AC03" w14:textId="77777777" w:rsidTr="004A0BB2">
        <w:tc>
          <w:tcPr>
            <w:tcW w:w="749" w:type="dxa"/>
            <w:shd w:val="clear" w:color="auto" w:fill="E7E6E6"/>
            <w:vAlign w:val="center"/>
          </w:tcPr>
          <w:p w14:paraId="0AF6A00F" w14:textId="77777777" w:rsidR="004A0BB2" w:rsidRPr="001B6667" w:rsidRDefault="004A0BB2" w:rsidP="001318C7">
            <w:pPr>
              <w:jc w:val="center"/>
              <w:rPr>
                <w:rFonts w:cs="Arial"/>
                <w:b/>
                <w:sz w:val="20"/>
                <w:lang w:val="pl-PL"/>
              </w:rPr>
            </w:pPr>
            <w:r w:rsidRPr="001B6667">
              <w:rPr>
                <w:rFonts w:cs="Arial"/>
                <w:b/>
                <w:sz w:val="20"/>
                <w:lang w:val="pl-PL"/>
              </w:rPr>
              <w:t>Lp.</w:t>
            </w:r>
          </w:p>
        </w:tc>
        <w:tc>
          <w:tcPr>
            <w:tcW w:w="3924" w:type="dxa"/>
            <w:shd w:val="clear" w:color="auto" w:fill="E7E6E6"/>
            <w:vAlign w:val="center"/>
          </w:tcPr>
          <w:p w14:paraId="32671E77" w14:textId="0E28E04E" w:rsidR="004A0BB2" w:rsidRPr="001B6667" w:rsidRDefault="004A0BB2" w:rsidP="001318C7">
            <w:pPr>
              <w:jc w:val="center"/>
              <w:rPr>
                <w:rFonts w:cs="Arial"/>
                <w:b/>
                <w:sz w:val="20"/>
                <w:lang w:val="pl-PL"/>
              </w:rPr>
            </w:pPr>
            <w:r w:rsidRPr="001B6667">
              <w:rPr>
                <w:rFonts w:cs="Arial"/>
                <w:b/>
                <w:sz w:val="20"/>
                <w:lang w:val="pl-PL"/>
              </w:rPr>
              <w:t xml:space="preserve">Nazwa </w:t>
            </w:r>
            <w:r w:rsidRPr="001B6667">
              <w:rPr>
                <w:rFonts w:cs="Arial"/>
                <w:b/>
                <w:sz w:val="20"/>
                <w:lang w:val="pl-PL"/>
              </w:rPr>
              <w:br/>
              <w:t>e-usługi</w:t>
            </w:r>
          </w:p>
        </w:tc>
        <w:tc>
          <w:tcPr>
            <w:tcW w:w="1418" w:type="dxa"/>
            <w:shd w:val="clear" w:color="auto" w:fill="E7E6E6"/>
            <w:vAlign w:val="center"/>
          </w:tcPr>
          <w:p w14:paraId="39088BDB" w14:textId="77777777" w:rsidR="004A0BB2" w:rsidRPr="001B6667" w:rsidRDefault="004A0BB2" w:rsidP="001318C7">
            <w:pPr>
              <w:jc w:val="center"/>
              <w:rPr>
                <w:rFonts w:cs="Arial"/>
                <w:b/>
                <w:sz w:val="20"/>
                <w:lang w:val="pl-PL"/>
              </w:rPr>
            </w:pPr>
            <w:r w:rsidRPr="001B6667">
              <w:rPr>
                <w:rFonts w:cs="Arial"/>
                <w:b/>
                <w:bCs/>
                <w:color w:val="000000"/>
                <w:sz w:val="20"/>
                <w:lang w:val="pl-PL"/>
              </w:rPr>
              <w:t>Typ</w:t>
            </w:r>
          </w:p>
        </w:tc>
        <w:tc>
          <w:tcPr>
            <w:tcW w:w="1721" w:type="dxa"/>
            <w:shd w:val="clear" w:color="auto" w:fill="E7E6E6"/>
            <w:vAlign w:val="center"/>
          </w:tcPr>
          <w:p w14:paraId="17EA151F" w14:textId="77777777" w:rsidR="004A0BB2" w:rsidRPr="001B6667" w:rsidRDefault="004A0BB2" w:rsidP="001318C7">
            <w:pPr>
              <w:jc w:val="center"/>
              <w:rPr>
                <w:rFonts w:cs="Arial"/>
                <w:b/>
                <w:sz w:val="20"/>
                <w:lang w:val="pl-PL"/>
              </w:rPr>
            </w:pPr>
            <w:r w:rsidRPr="001B6667">
              <w:rPr>
                <w:rFonts w:cs="Arial"/>
                <w:b/>
                <w:sz w:val="20"/>
                <w:lang w:val="pl-PL"/>
              </w:rPr>
              <w:t>Zakres oddziaływania</w:t>
            </w:r>
          </w:p>
        </w:tc>
        <w:tc>
          <w:tcPr>
            <w:tcW w:w="1843" w:type="dxa"/>
            <w:shd w:val="clear" w:color="auto" w:fill="E7E6E6"/>
            <w:vAlign w:val="center"/>
          </w:tcPr>
          <w:p w14:paraId="0A390175" w14:textId="77777777" w:rsidR="004A0BB2" w:rsidRPr="001B6667" w:rsidRDefault="004A0BB2" w:rsidP="001318C7">
            <w:pPr>
              <w:jc w:val="center"/>
              <w:rPr>
                <w:rFonts w:cs="Arial"/>
                <w:b/>
                <w:sz w:val="20"/>
                <w:lang w:val="pl-PL"/>
              </w:rPr>
            </w:pPr>
            <w:r w:rsidRPr="001B6667">
              <w:rPr>
                <w:rFonts w:cs="Arial"/>
                <w:b/>
                <w:sz w:val="20"/>
                <w:lang w:val="pl-PL"/>
              </w:rPr>
              <w:t xml:space="preserve">Poziom dojrzałości </w:t>
            </w:r>
            <w:r w:rsidRPr="001B6667">
              <w:rPr>
                <w:rFonts w:cs="Arial"/>
                <w:b/>
                <w:sz w:val="20"/>
                <w:lang w:val="pl-PL"/>
              </w:rPr>
              <w:br/>
              <w:t>e-usługi</w:t>
            </w:r>
            <w:r w:rsidRPr="001B6667">
              <w:rPr>
                <w:rFonts w:cs="Arial"/>
                <w:b/>
                <w:sz w:val="20"/>
                <w:vertAlign w:val="superscript"/>
                <w:lang w:val="pl-PL"/>
              </w:rPr>
              <w:footnoteReference w:id="1"/>
            </w:r>
          </w:p>
        </w:tc>
      </w:tr>
      <w:tr w:rsidR="004A0BB2" w:rsidRPr="001B6667" w14:paraId="3DEEAFF5" w14:textId="77777777" w:rsidTr="004A0BB2">
        <w:tc>
          <w:tcPr>
            <w:tcW w:w="749" w:type="dxa"/>
          </w:tcPr>
          <w:p w14:paraId="5048C602" w14:textId="050771E8" w:rsidR="004A0BB2" w:rsidRPr="00BC236F" w:rsidRDefault="00561BDB" w:rsidP="001B6667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1.</w:t>
            </w:r>
          </w:p>
        </w:tc>
        <w:tc>
          <w:tcPr>
            <w:tcW w:w="3924" w:type="dxa"/>
          </w:tcPr>
          <w:p w14:paraId="12E1092E" w14:textId="6A9BCA3E" w:rsidR="004A0BB2" w:rsidRPr="00BC236F" w:rsidRDefault="00561BDB" w:rsidP="001B6667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E-usługa bezpiecznej walidacji semantycznej, automatycznej weryfikacji formalno-prawnej oraz inteligentnej 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anonimizacji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 dokumentacji wewnątrzadministracyjnej</w:t>
            </w:r>
          </w:p>
        </w:tc>
        <w:tc>
          <w:tcPr>
            <w:tcW w:w="1418" w:type="dxa"/>
          </w:tcPr>
          <w:p w14:paraId="1C7C8FFE" w14:textId="521C7003" w:rsidR="004A0BB2" w:rsidRPr="00BC236F" w:rsidRDefault="00561BDB" w:rsidP="001B6667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A2A</w:t>
            </w:r>
          </w:p>
        </w:tc>
        <w:tc>
          <w:tcPr>
            <w:tcW w:w="1721" w:type="dxa"/>
          </w:tcPr>
          <w:p w14:paraId="726EC98D" w14:textId="77777777" w:rsidR="004A0BB2" w:rsidRPr="00BC236F" w:rsidRDefault="00561BDB" w:rsidP="00E7495D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skierowana jest do wymiaru sprawiedliwości oraz struktur samorządu adwokackiego</w:t>
            </w:r>
          </w:p>
          <w:p w14:paraId="71ACC176" w14:textId="63E1C798" w:rsidR="00561BDB" w:rsidRPr="00BC236F" w:rsidRDefault="00561BDB" w:rsidP="00E7495D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20 tys. unikalnych użytkowników rocznie</w:t>
            </w:r>
          </w:p>
        </w:tc>
        <w:tc>
          <w:tcPr>
            <w:tcW w:w="1843" w:type="dxa"/>
          </w:tcPr>
          <w:p w14:paraId="5327EE52" w14:textId="773FAFD9" w:rsidR="004A0BB2" w:rsidRPr="00BC236F" w:rsidRDefault="00561BDB" w:rsidP="001B6667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4. poziom dojrzałości cyfrowej</w:t>
            </w:r>
          </w:p>
        </w:tc>
      </w:tr>
    </w:tbl>
    <w:p w14:paraId="7F8A4D3F" w14:textId="77777777" w:rsidR="00143B0D" w:rsidRDefault="00143B0D" w:rsidP="00A04A7E">
      <w:pPr>
        <w:spacing w:before="240" w:after="360"/>
        <w:ind w:right="170"/>
        <w:outlineLvl w:val="1"/>
        <w:rPr>
          <w:rStyle w:val="Nagwek3Znak"/>
          <w:rFonts w:eastAsiaTheme="minorHAnsi"/>
          <w:b/>
          <w:iCs w:val="0"/>
        </w:rPr>
      </w:pPr>
    </w:p>
    <w:p w14:paraId="0905CC4A" w14:textId="77777777" w:rsidR="00BC236F" w:rsidRDefault="00BC236F" w:rsidP="00A04A7E">
      <w:pPr>
        <w:spacing w:before="240" w:after="360"/>
        <w:ind w:right="170"/>
        <w:outlineLvl w:val="1"/>
        <w:rPr>
          <w:rStyle w:val="Nagwek3Znak"/>
          <w:rFonts w:eastAsiaTheme="minorHAnsi"/>
          <w:b/>
          <w:iCs w:val="0"/>
        </w:rPr>
      </w:pPr>
    </w:p>
    <w:p w14:paraId="0AD31562" w14:textId="77777777" w:rsidR="00BC236F" w:rsidRDefault="00BC236F" w:rsidP="00A04A7E">
      <w:pPr>
        <w:spacing w:before="240" w:after="360"/>
        <w:ind w:right="170"/>
        <w:outlineLvl w:val="1"/>
        <w:rPr>
          <w:rStyle w:val="Nagwek3Znak"/>
          <w:rFonts w:eastAsiaTheme="minorHAnsi"/>
          <w:b/>
          <w:iCs w:val="0"/>
        </w:rPr>
      </w:pPr>
    </w:p>
    <w:p w14:paraId="070DD823" w14:textId="77777777" w:rsidR="00BC236F" w:rsidRDefault="00BC236F" w:rsidP="00A04A7E">
      <w:pPr>
        <w:spacing w:before="240" w:after="360"/>
        <w:ind w:right="170"/>
        <w:outlineLvl w:val="1"/>
        <w:rPr>
          <w:rStyle w:val="Nagwek3Znak"/>
          <w:rFonts w:eastAsiaTheme="minorHAnsi"/>
          <w:b/>
          <w:iCs w:val="0"/>
        </w:rPr>
      </w:pPr>
    </w:p>
    <w:p w14:paraId="06E3F412" w14:textId="77777777" w:rsidR="00BC236F" w:rsidRDefault="00BC236F" w:rsidP="00A04A7E">
      <w:pPr>
        <w:spacing w:before="240" w:after="360"/>
        <w:ind w:right="170"/>
        <w:outlineLvl w:val="1"/>
        <w:rPr>
          <w:rStyle w:val="Nagwek3Znak"/>
          <w:rFonts w:eastAsiaTheme="minorHAnsi"/>
          <w:b/>
          <w:iCs w:val="0"/>
        </w:rPr>
      </w:pPr>
    </w:p>
    <w:p w14:paraId="764A4B41" w14:textId="77777777" w:rsidR="00BC236F" w:rsidRDefault="00BC236F" w:rsidP="00A04A7E">
      <w:pPr>
        <w:spacing w:before="240" w:after="360"/>
        <w:ind w:right="170"/>
        <w:outlineLvl w:val="1"/>
        <w:rPr>
          <w:rStyle w:val="Nagwek3Znak"/>
          <w:rFonts w:eastAsiaTheme="minorHAnsi"/>
          <w:b/>
          <w:iCs w:val="0"/>
        </w:rPr>
      </w:pPr>
    </w:p>
    <w:p w14:paraId="014D6E62" w14:textId="77777777" w:rsidR="00BC236F" w:rsidRDefault="00BC236F" w:rsidP="00A04A7E">
      <w:pPr>
        <w:spacing w:before="240" w:after="360"/>
        <w:ind w:right="170"/>
        <w:outlineLvl w:val="1"/>
        <w:rPr>
          <w:rStyle w:val="Nagwek3Znak"/>
          <w:rFonts w:eastAsiaTheme="minorHAnsi"/>
          <w:b/>
          <w:iCs w:val="0"/>
        </w:rPr>
      </w:pPr>
    </w:p>
    <w:p w14:paraId="4742FF9A" w14:textId="77777777" w:rsidR="00BC236F" w:rsidRPr="00485E7E" w:rsidRDefault="00BC236F" w:rsidP="00A04A7E">
      <w:pPr>
        <w:spacing w:before="240" w:after="360"/>
        <w:ind w:right="170"/>
        <w:outlineLvl w:val="1"/>
        <w:rPr>
          <w:rStyle w:val="Nagwek3Znak"/>
          <w:rFonts w:eastAsiaTheme="minorHAnsi"/>
          <w:b/>
          <w:iCs w:val="0"/>
          <w:vanish/>
        </w:rPr>
      </w:pPr>
    </w:p>
    <w:p w14:paraId="77C266DD" w14:textId="77777777" w:rsidR="00E11921" w:rsidRPr="00AA190F" w:rsidRDefault="0056584B" w:rsidP="00A04A7E">
      <w:pPr>
        <w:pStyle w:val="Nagwek2"/>
        <w:spacing w:before="240" w:after="360"/>
        <w:rPr>
          <w:rStyle w:val="Nagwek3Znak"/>
          <w:rFonts w:eastAsiaTheme="minorEastAsia"/>
          <w:b w:val="0"/>
        </w:rPr>
      </w:pPr>
      <w:r w:rsidRPr="00AA190F">
        <w:rPr>
          <w:rStyle w:val="Nagwek3Znak"/>
          <w:rFonts w:eastAsiaTheme="minorEastAsia"/>
        </w:rPr>
        <w:t xml:space="preserve">Udostępnione informacje sektora </w:t>
      </w:r>
      <w:r w:rsidRPr="00AA190F">
        <w:rPr>
          <w:lang w:val="pl-PL"/>
        </w:rPr>
        <w:t>publicznego</w:t>
      </w:r>
      <w:r w:rsidRPr="00AA190F">
        <w:rPr>
          <w:rStyle w:val="Nagwek3Znak"/>
          <w:rFonts w:eastAsiaTheme="minorEastAsia"/>
        </w:rPr>
        <w:t xml:space="preserve"> i </w:t>
      </w:r>
      <w:proofErr w:type="spellStart"/>
      <w:r w:rsidRPr="00AA190F">
        <w:rPr>
          <w:rStyle w:val="Nagwek3Znak"/>
          <w:rFonts w:eastAsiaTheme="minorEastAsia"/>
        </w:rPr>
        <w:t>zdigitalizowane</w:t>
      </w:r>
      <w:proofErr w:type="spellEnd"/>
      <w:r w:rsidRPr="00AA190F">
        <w:rPr>
          <w:rStyle w:val="Nagwek3Znak"/>
          <w:rFonts w:eastAsiaTheme="minorEastAsia"/>
        </w:rPr>
        <w:t xml:space="preserve"> zasoby</w:t>
      </w:r>
      <w:r w:rsidR="009C7AD9" w:rsidRPr="00AA190F">
        <w:rPr>
          <w:rStyle w:val="Nagwek3Znak"/>
          <w:rFonts w:eastAsiaTheme="minorEastAsia"/>
        </w:rPr>
        <w:t xml:space="preserve"> </w:t>
      </w:r>
      <w:r w:rsidR="009C7AD9" w:rsidRPr="00AA190F">
        <w:rPr>
          <w:rStyle w:val="Nagwek3Znak"/>
          <w:rFonts w:eastAsiaTheme="minorEastAsia"/>
          <w:b w:val="0"/>
          <w:color w:val="7F7F7F" w:themeColor="text1" w:themeTint="80"/>
          <w:sz w:val="20"/>
          <w:szCs w:val="20"/>
        </w:rPr>
        <w:t>&lt;&lt;maksymalnie 2000 znaków&gt;&gt;</w:t>
      </w:r>
    </w:p>
    <w:p w14:paraId="77F12B96" w14:textId="3C50B2E7" w:rsidR="00E11921" w:rsidRPr="004A0BB2" w:rsidRDefault="00E11921" w:rsidP="00E11921">
      <w:pPr>
        <w:pStyle w:val="Tekstpodstawowy2"/>
        <w:rPr>
          <w:rFonts w:eastAsiaTheme="minorHAnsi"/>
          <w:lang w:val="pl-PL" w:eastAsia="pl-PL"/>
        </w:rPr>
      </w:pPr>
      <w:r w:rsidRPr="004A0BB2">
        <w:rPr>
          <w:rFonts w:eastAsiaTheme="minorHAnsi"/>
          <w:lang w:val="pl-PL" w:eastAsia="pl-PL"/>
        </w:rPr>
        <w:t xml:space="preserve">Czy wszystkie </w:t>
      </w:r>
      <w:proofErr w:type="spellStart"/>
      <w:r w:rsidRPr="004A0BB2">
        <w:rPr>
          <w:rFonts w:eastAsiaTheme="minorHAnsi"/>
          <w:lang w:val="pl-PL" w:eastAsia="pl-PL"/>
        </w:rPr>
        <w:t>zdigitalizowane</w:t>
      </w:r>
      <w:proofErr w:type="spellEnd"/>
      <w:r w:rsidRPr="004A0BB2">
        <w:rPr>
          <w:rFonts w:eastAsiaTheme="minorHAnsi"/>
          <w:lang w:val="pl-PL" w:eastAsia="pl-PL"/>
        </w:rPr>
        <w:t xml:space="preserve"> zasoby objęte </w:t>
      </w:r>
      <w:r w:rsidR="002F6DF5">
        <w:rPr>
          <w:rFonts w:eastAsiaTheme="minorHAnsi"/>
          <w:lang w:val="pl-PL" w:eastAsia="pl-PL"/>
        </w:rPr>
        <w:t>przedsięwzięciem</w:t>
      </w:r>
      <w:r w:rsidR="002F6DF5" w:rsidRPr="004A0BB2">
        <w:rPr>
          <w:rFonts w:eastAsiaTheme="minorHAnsi"/>
          <w:lang w:val="pl-PL" w:eastAsia="pl-PL"/>
        </w:rPr>
        <w:t xml:space="preserve"> </w:t>
      </w:r>
      <w:r w:rsidRPr="004A0BB2">
        <w:rPr>
          <w:rFonts w:eastAsiaTheme="minorHAnsi"/>
          <w:lang w:val="pl-PL" w:eastAsia="pl-PL"/>
        </w:rPr>
        <w:t>będą udostępniane bezpłatnie? TAK/</w:t>
      </w:r>
      <w:r w:rsidRPr="004B5344">
        <w:rPr>
          <w:rFonts w:eastAsiaTheme="minorHAnsi"/>
          <w:strike/>
          <w:lang w:val="pl-PL" w:eastAsia="pl-PL"/>
        </w:rPr>
        <w:t>NIE</w:t>
      </w:r>
      <w:r w:rsidRPr="004A0BB2">
        <w:rPr>
          <w:rStyle w:val="Odwoanieprzypisudolnego"/>
          <w:rFonts w:eastAsiaTheme="minorHAnsi"/>
          <w:lang w:val="pl-PL" w:eastAsia="pl-PL"/>
        </w:rPr>
        <w:footnoteReference w:id="2"/>
      </w:r>
    </w:p>
    <w:tbl>
      <w:tblPr>
        <w:tblStyle w:val="Tabela-Siatka"/>
        <w:tblW w:w="963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3118"/>
        <w:gridCol w:w="2410"/>
        <w:gridCol w:w="4111"/>
      </w:tblGrid>
      <w:tr w:rsidR="0056584B" w:rsidRPr="00AA190F" w14:paraId="71E1643A" w14:textId="77777777" w:rsidTr="001318C7">
        <w:tc>
          <w:tcPr>
            <w:tcW w:w="3118" w:type="dxa"/>
            <w:shd w:val="clear" w:color="auto" w:fill="E7E6E6"/>
            <w:vAlign w:val="center"/>
          </w:tcPr>
          <w:p w14:paraId="11AC5F51" w14:textId="77777777" w:rsidR="005349BA" w:rsidRPr="001B6667" w:rsidRDefault="0056584B" w:rsidP="00480C5A">
            <w:pPr>
              <w:jc w:val="center"/>
              <w:rPr>
                <w:rFonts w:cs="Arial"/>
                <w:b/>
                <w:sz w:val="20"/>
                <w:lang w:val="pl-PL"/>
              </w:rPr>
            </w:pPr>
            <w:r w:rsidRPr="001B6667">
              <w:rPr>
                <w:rFonts w:cs="Arial"/>
                <w:b/>
                <w:sz w:val="20"/>
                <w:lang w:val="pl-PL"/>
              </w:rPr>
              <w:t>Rodzaj</w:t>
            </w:r>
            <w:r w:rsidR="005349BA" w:rsidRPr="001B6667">
              <w:rPr>
                <w:rFonts w:cs="Arial"/>
                <w:b/>
                <w:sz w:val="20"/>
                <w:lang w:val="pl-PL"/>
              </w:rPr>
              <w:t xml:space="preserve"> </w:t>
            </w:r>
          </w:p>
          <w:p w14:paraId="1CD15914" w14:textId="77777777" w:rsidR="0056584B" w:rsidRPr="001B6667" w:rsidRDefault="00534314" w:rsidP="00480C5A">
            <w:pPr>
              <w:jc w:val="center"/>
              <w:rPr>
                <w:rFonts w:cs="Arial"/>
                <w:b/>
                <w:sz w:val="20"/>
                <w:lang w:val="pl-PL"/>
              </w:rPr>
            </w:pPr>
            <w:r>
              <w:rPr>
                <w:rFonts w:cs="Arial"/>
                <w:b/>
                <w:sz w:val="20"/>
                <w:lang w:val="pl-PL"/>
              </w:rPr>
              <w:t>i</w:t>
            </w:r>
            <w:r w:rsidR="001B6667" w:rsidRPr="001B6667">
              <w:rPr>
                <w:rFonts w:cs="Arial"/>
                <w:b/>
                <w:sz w:val="20"/>
                <w:lang w:val="pl-PL"/>
              </w:rPr>
              <w:t>nformacji</w:t>
            </w:r>
            <w:r w:rsidR="001B6667">
              <w:rPr>
                <w:rFonts w:cs="Arial"/>
                <w:b/>
                <w:sz w:val="20"/>
                <w:lang w:val="pl-PL"/>
              </w:rPr>
              <w:t xml:space="preserve"> </w:t>
            </w:r>
            <w:r w:rsidR="005349BA" w:rsidRPr="001B6667">
              <w:rPr>
                <w:rFonts w:cs="Arial"/>
                <w:b/>
                <w:sz w:val="20"/>
                <w:lang w:val="pl-PL"/>
              </w:rPr>
              <w:t>/</w:t>
            </w:r>
            <w:r w:rsidR="001B6667">
              <w:rPr>
                <w:rFonts w:cs="Arial"/>
                <w:b/>
                <w:sz w:val="20"/>
                <w:lang w:val="pl-PL"/>
              </w:rPr>
              <w:t xml:space="preserve"> </w:t>
            </w:r>
            <w:r w:rsidR="005349BA" w:rsidRPr="001B6667">
              <w:rPr>
                <w:rFonts w:cs="Arial"/>
                <w:b/>
                <w:sz w:val="20"/>
                <w:lang w:val="pl-PL"/>
              </w:rPr>
              <w:t>zasobów</w:t>
            </w:r>
          </w:p>
        </w:tc>
        <w:tc>
          <w:tcPr>
            <w:tcW w:w="2410" w:type="dxa"/>
            <w:shd w:val="clear" w:color="auto" w:fill="E7E6E6"/>
            <w:vAlign w:val="center"/>
          </w:tcPr>
          <w:p w14:paraId="26532604" w14:textId="77777777" w:rsidR="0056584B" w:rsidRPr="001B6667" w:rsidRDefault="005349BA" w:rsidP="00B73C22">
            <w:pPr>
              <w:spacing w:before="120" w:after="120"/>
              <w:jc w:val="center"/>
              <w:rPr>
                <w:rFonts w:cs="Arial"/>
                <w:b/>
                <w:sz w:val="20"/>
                <w:lang w:val="pl-PL"/>
              </w:rPr>
            </w:pPr>
            <w:r w:rsidRPr="001B6667">
              <w:rPr>
                <w:rFonts w:cs="Arial"/>
                <w:b/>
                <w:sz w:val="20"/>
                <w:lang w:val="pl-PL"/>
              </w:rPr>
              <w:t>Planowana data udostę</w:t>
            </w:r>
            <w:r w:rsidR="0056584B" w:rsidRPr="001B6667">
              <w:rPr>
                <w:rFonts w:cs="Arial"/>
                <w:b/>
                <w:sz w:val="20"/>
                <w:lang w:val="pl-PL"/>
              </w:rPr>
              <w:t>pnienia</w:t>
            </w:r>
          </w:p>
        </w:tc>
        <w:tc>
          <w:tcPr>
            <w:tcW w:w="4111" w:type="dxa"/>
            <w:shd w:val="clear" w:color="auto" w:fill="E7E6E6"/>
            <w:vAlign w:val="center"/>
          </w:tcPr>
          <w:p w14:paraId="5EE62172" w14:textId="1745D720" w:rsidR="00E11921" w:rsidRDefault="00E11921" w:rsidP="00E11921">
            <w:pPr>
              <w:jc w:val="center"/>
              <w:rPr>
                <w:rFonts w:cs="Arial"/>
                <w:b/>
                <w:sz w:val="20"/>
                <w:lang w:val="pl-PL"/>
              </w:rPr>
            </w:pPr>
            <w:r>
              <w:rPr>
                <w:rFonts w:cs="Arial"/>
                <w:b/>
                <w:sz w:val="20"/>
                <w:lang w:val="pl-PL"/>
              </w:rPr>
              <w:t>Szacowana liczba obiektów objętych digitalizacją (udostępnianiem informacji)</w:t>
            </w:r>
          </w:p>
          <w:p w14:paraId="3D9E02E2" w14:textId="77777777" w:rsidR="0056584B" w:rsidRPr="001B6667" w:rsidRDefault="0056584B" w:rsidP="00480C5A">
            <w:pPr>
              <w:jc w:val="center"/>
              <w:rPr>
                <w:rFonts w:cs="Arial"/>
                <w:b/>
                <w:sz w:val="20"/>
                <w:lang w:val="pl-PL"/>
              </w:rPr>
            </w:pPr>
          </w:p>
        </w:tc>
      </w:tr>
      <w:tr w:rsidR="0056584B" w:rsidRPr="00BC236F" w14:paraId="2E065356" w14:textId="77777777" w:rsidTr="004A0BB2">
        <w:trPr>
          <w:trHeight w:val="1748"/>
        </w:trPr>
        <w:tc>
          <w:tcPr>
            <w:tcW w:w="3118" w:type="dxa"/>
          </w:tcPr>
          <w:p w14:paraId="6ECEF3E3" w14:textId="59674B5A" w:rsidR="0056584B" w:rsidRPr="00BC236F" w:rsidRDefault="004B5344" w:rsidP="00BC236F">
            <w:pPr>
              <w:jc w:val="both"/>
              <w:rPr>
                <w:rFonts w:cs="Arial"/>
                <w:color w:val="000000" w:themeColor="text1"/>
                <w:sz w:val="18"/>
                <w:lang w:val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W ramach projektu DSE-L planowanymi do udostępnienia zasobami są cyfrowe dokumenty tekstowe oraz ustrukturyzowane zbiory danych (bazy danych).</w:t>
            </w:r>
          </w:p>
        </w:tc>
        <w:tc>
          <w:tcPr>
            <w:tcW w:w="2410" w:type="dxa"/>
          </w:tcPr>
          <w:p w14:paraId="146F3E2F" w14:textId="3A03AF37" w:rsidR="0056584B" w:rsidRPr="00BC236F" w:rsidRDefault="004B5344" w:rsidP="00BC236F">
            <w:pPr>
              <w:jc w:val="both"/>
              <w:rPr>
                <w:rFonts w:cs="Arial"/>
                <w:iCs/>
                <w:color w:val="000000" w:themeColor="text1"/>
                <w:sz w:val="20"/>
                <w:lang w:val="pl-PL"/>
              </w:rPr>
            </w:pPr>
            <w:r w:rsidRPr="00BC236F">
              <w:rPr>
                <w:rFonts w:cs="Arial"/>
                <w:iCs/>
                <w:color w:val="000000" w:themeColor="text1"/>
                <w:sz w:val="20"/>
                <w:lang w:val="pl-PL"/>
              </w:rPr>
              <w:t>31.12.2029</w:t>
            </w:r>
          </w:p>
        </w:tc>
        <w:tc>
          <w:tcPr>
            <w:tcW w:w="4111" w:type="dxa"/>
          </w:tcPr>
          <w:p w14:paraId="4E29A0B0" w14:textId="42BF62EC" w:rsidR="0056584B" w:rsidRPr="00BC236F" w:rsidRDefault="004B5344" w:rsidP="00BC236F">
            <w:pPr>
              <w:jc w:val="both"/>
              <w:rPr>
                <w:rFonts w:cs="Arial"/>
                <w:color w:val="000000" w:themeColor="text1"/>
                <w:sz w:val="18"/>
                <w:lang w:val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Zasób ten stanowi zanonimizowana dokumentacja wewnątrzadministracyjna, w tym pisma wpływające, opinie prawne oraz korpus orzeczniczy obejmujący docelowo zbiór 30 000 ustrukturyzowanych dokumentów prawnych i orzeczeń sądowych. Informacje te, po automatycznej ekstrakcji cech semantycznych za pomocą modeli LLM i RAG oraz pełnej </w:t>
            </w:r>
            <w:proofErr w:type="spellStart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anonimizacji</w:t>
            </w:r>
            <w:proofErr w:type="spellEnd"/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, będą udostępniane w postaci cyfrowych plików tekstowych oraz ustrukturyzowanych metadanych w formacie JSON, a także w formie zasilonych wektorowych baz wiedzy.</w:t>
            </w:r>
          </w:p>
        </w:tc>
      </w:tr>
    </w:tbl>
    <w:p w14:paraId="69D2830C" w14:textId="77777777" w:rsidR="00143B0D" w:rsidRPr="00485E7E" w:rsidRDefault="00143B0D" w:rsidP="00485E7E">
      <w:pPr>
        <w:keepLines/>
        <w:spacing w:before="40" w:after="120" w:line="256" w:lineRule="auto"/>
        <w:ind w:right="170"/>
        <w:outlineLvl w:val="1"/>
        <w:rPr>
          <w:rFonts w:cs="Arial"/>
          <w:b/>
          <w:iCs/>
          <w:vanish/>
        </w:rPr>
      </w:pPr>
    </w:p>
    <w:p w14:paraId="4BFA5194" w14:textId="0DFC8A3F" w:rsidR="00440618" w:rsidRPr="00143B0D" w:rsidRDefault="00B73C22" w:rsidP="00A04A7E">
      <w:pPr>
        <w:pStyle w:val="Nagwek2"/>
        <w:keepLines/>
        <w:spacing w:before="240" w:line="257" w:lineRule="auto"/>
        <w:ind w:left="788" w:hanging="431"/>
        <w:rPr>
          <w:lang w:val="pl-PL"/>
        </w:rPr>
      </w:pPr>
      <w:r w:rsidRPr="00143B0D">
        <w:rPr>
          <w:lang w:val="pl-PL"/>
        </w:rPr>
        <w:t>P</w:t>
      </w:r>
      <w:r w:rsidR="007063B2" w:rsidRPr="00143B0D">
        <w:rPr>
          <w:lang w:val="pl-PL"/>
        </w:rPr>
        <w:t xml:space="preserve">rodukty </w:t>
      </w:r>
      <w:r w:rsidR="005349BA" w:rsidRPr="00143B0D">
        <w:rPr>
          <w:lang w:val="pl-PL"/>
        </w:rPr>
        <w:t xml:space="preserve">końcowe </w:t>
      </w:r>
      <w:r w:rsidR="00470022" w:rsidRPr="00470022">
        <w:rPr>
          <w:lang w:val="pl-PL"/>
        </w:rPr>
        <w:t>przedsięwzięcia</w:t>
      </w:r>
      <w:r w:rsidR="009C7AD9" w:rsidRPr="00143B0D">
        <w:rPr>
          <w:lang w:val="pl-PL"/>
        </w:rPr>
        <w:t xml:space="preserve"> </w:t>
      </w:r>
      <w:r w:rsidR="009C7AD9" w:rsidRPr="0086459D">
        <w:rPr>
          <w:b w:val="0"/>
          <w:color w:val="7F7F7F" w:themeColor="text1" w:themeTint="80"/>
          <w:sz w:val="20"/>
          <w:szCs w:val="20"/>
          <w:lang w:val="pl-PL"/>
        </w:rPr>
        <w:t>&lt;&lt;maksymalnie 2000 znaków&gt;&gt;</w:t>
      </w:r>
    </w:p>
    <w:p w14:paraId="5D187C05" w14:textId="257E051E" w:rsidR="00B73C22" w:rsidRPr="001B6667" w:rsidRDefault="00B73C22" w:rsidP="008149AF">
      <w:pPr>
        <w:pStyle w:val="Tekstpodstawowy2"/>
        <w:spacing w:after="0"/>
        <w:rPr>
          <w:rFonts w:cs="Arial"/>
          <w:color w:val="0070C0"/>
          <w:sz w:val="22"/>
          <w:szCs w:val="22"/>
          <w:lang w:val="pl-PL"/>
        </w:rPr>
      </w:pPr>
    </w:p>
    <w:tbl>
      <w:tblPr>
        <w:tblStyle w:val="Tabela-Siatka"/>
        <w:tblW w:w="9632" w:type="dxa"/>
        <w:tblInd w:w="421" w:type="dxa"/>
        <w:tblLook w:val="04A0" w:firstRow="1" w:lastRow="0" w:firstColumn="1" w:lastColumn="0" w:noHBand="0" w:noVBand="1"/>
      </w:tblPr>
      <w:tblGrid>
        <w:gridCol w:w="8221"/>
        <w:gridCol w:w="1411"/>
      </w:tblGrid>
      <w:tr w:rsidR="007609C7" w:rsidRPr="007573B2" w14:paraId="69049EB3" w14:textId="77777777" w:rsidTr="007609C7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5AC32E" w14:textId="77777777" w:rsidR="007609C7" w:rsidRPr="001B6667" w:rsidRDefault="007609C7" w:rsidP="00B73C22">
            <w:pPr>
              <w:spacing w:before="120" w:after="120"/>
              <w:jc w:val="center"/>
              <w:rPr>
                <w:rFonts w:cs="Arial"/>
                <w:b/>
                <w:sz w:val="20"/>
                <w:lang w:val="pl-PL"/>
              </w:rPr>
            </w:pPr>
            <w:r w:rsidRPr="001B6667">
              <w:rPr>
                <w:rFonts w:cs="Arial"/>
                <w:b/>
                <w:sz w:val="20"/>
                <w:lang w:val="pl-PL"/>
              </w:rPr>
              <w:t>Nazwa produktu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FE7CC0" w14:textId="77777777" w:rsidR="007609C7" w:rsidRPr="001B6667" w:rsidRDefault="007609C7" w:rsidP="00B73C22">
            <w:pPr>
              <w:spacing w:before="120" w:after="120"/>
              <w:jc w:val="center"/>
              <w:rPr>
                <w:rFonts w:cs="Arial"/>
                <w:b/>
                <w:sz w:val="20"/>
                <w:lang w:val="pl-PL"/>
              </w:rPr>
            </w:pPr>
            <w:r w:rsidRPr="001B6667">
              <w:rPr>
                <w:rFonts w:cs="Arial"/>
                <w:b/>
                <w:sz w:val="20"/>
                <w:lang w:val="pl-PL"/>
              </w:rPr>
              <w:t>Planowana data wdrożenia</w:t>
            </w:r>
          </w:p>
        </w:tc>
      </w:tr>
      <w:tr w:rsidR="007609C7" w:rsidRPr="00402AAE" w14:paraId="5381AABF" w14:textId="77777777" w:rsidTr="007609C7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0AC5" w14:textId="77777777" w:rsidR="007609C7" w:rsidRPr="00BC236F" w:rsidRDefault="005B3B5C" w:rsidP="005B3B5C">
            <w:pPr>
              <w:pStyle w:val="Akapitzlist"/>
              <w:numPr>
                <w:ilvl w:val="0"/>
                <w:numId w:val="18"/>
              </w:numPr>
              <w:rPr>
                <w:rFonts w:cs="Arial"/>
                <w:color w:val="000000" w:themeColor="text1"/>
                <w:sz w:val="20"/>
                <w:szCs w:val="18"/>
              </w:rPr>
            </w:pPr>
            <w:r w:rsidRPr="00BC236F">
              <w:rPr>
                <w:rFonts w:cs="Arial"/>
                <w:color w:val="000000" w:themeColor="text1"/>
                <w:sz w:val="20"/>
                <w:szCs w:val="18"/>
              </w:rPr>
              <w:t>Silnik AI – Moduł Doradczo-Ekspercki</w:t>
            </w:r>
          </w:p>
          <w:p w14:paraId="2E81674C" w14:textId="77777777" w:rsidR="005B3B5C" w:rsidRPr="00BC236F" w:rsidRDefault="005B3B5C" w:rsidP="005B3B5C">
            <w:pPr>
              <w:pStyle w:val="Akapitzlist"/>
              <w:numPr>
                <w:ilvl w:val="0"/>
                <w:numId w:val="18"/>
              </w:numPr>
              <w:rPr>
                <w:rFonts w:cs="Arial"/>
                <w:color w:val="000000" w:themeColor="text1"/>
                <w:sz w:val="20"/>
                <w:szCs w:val="18"/>
              </w:rPr>
            </w:pPr>
            <w:r w:rsidRPr="00BC236F">
              <w:rPr>
                <w:rFonts w:cs="Arial"/>
                <w:color w:val="000000" w:themeColor="text1"/>
                <w:sz w:val="20"/>
                <w:szCs w:val="18"/>
              </w:rPr>
              <w:t>Silnik AI – Moduł Wspierająco-Korygujący</w:t>
            </w:r>
          </w:p>
          <w:p w14:paraId="69AD71A3" w14:textId="77777777" w:rsidR="00AA14A3" w:rsidRPr="00BC236F" w:rsidRDefault="00AA14A3" w:rsidP="005B3B5C">
            <w:pPr>
              <w:pStyle w:val="Akapitzlist"/>
              <w:numPr>
                <w:ilvl w:val="0"/>
                <w:numId w:val="18"/>
              </w:numPr>
              <w:rPr>
                <w:rFonts w:cs="Arial"/>
                <w:color w:val="000000" w:themeColor="text1"/>
                <w:sz w:val="20"/>
                <w:szCs w:val="18"/>
              </w:rPr>
            </w:pPr>
            <w:r w:rsidRPr="00BC236F">
              <w:rPr>
                <w:rFonts w:cs="Arial"/>
                <w:color w:val="000000" w:themeColor="text1"/>
                <w:sz w:val="20"/>
                <w:szCs w:val="18"/>
              </w:rPr>
              <w:t>Klaster obliczeniowy HPC</w:t>
            </w:r>
          </w:p>
          <w:p w14:paraId="714927C5" w14:textId="3DC79BAE" w:rsidR="00FF0B92" w:rsidRPr="00BC236F" w:rsidRDefault="00FF0B92" w:rsidP="005B3B5C">
            <w:pPr>
              <w:pStyle w:val="Akapitzlist"/>
              <w:numPr>
                <w:ilvl w:val="0"/>
                <w:numId w:val="18"/>
              </w:numPr>
              <w:rPr>
                <w:rFonts w:cs="Arial"/>
                <w:color w:val="000000" w:themeColor="text1"/>
                <w:sz w:val="20"/>
                <w:szCs w:val="18"/>
              </w:rPr>
            </w:pPr>
            <w:r w:rsidRPr="00BC236F">
              <w:rPr>
                <w:rFonts w:cs="Arial"/>
                <w:color w:val="000000" w:themeColor="text1"/>
                <w:sz w:val="20"/>
                <w:szCs w:val="18"/>
              </w:rPr>
              <w:t>Kompletna dokumentacja obejmująca projekt, raporty z implementacji, raporty z wdrożenia, materiały informacyjno-promocyjne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79C3E" w14:textId="3DDF0BBC" w:rsidR="007609C7" w:rsidRPr="00BC236F" w:rsidRDefault="005B3B5C" w:rsidP="00B73C22">
            <w:pPr>
              <w:rPr>
                <w:rFonts w:cs="Arial"/>
                <w:color w:val="000000" w:themeColor="text1"/>
                <w:sz w:val="20"/>
                <w:lang w:val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/>
              </w:rPr>
              <w:t>12-2029</w:t>
            </w:r>
          </w:p>
        </w:tc>
      </w:tr>
    </w:tbl>
    <w:p w14:paraId="30805261" w14:textId="10F95395" w:rsidR="00F710D4" w:rsidRPr="009C7AD9" w:rsidRDefault="002F7D84" w:rsidP="00183078">
      <w:pPr>
        <w:pStyle w:val="Nagwek1"/>
        <w:rPr>
          <w:rFonts w:cs="Arial"/>
          <w:color w:val="7F7F7F" w:themeColor="text1" w:themeTint="80"/>
          <w:lang w:val="pl-PL" w:eastAsia="pl-PL"/>
        </w:rPr>
      </w:pPr>
      <w:r w:rsidRPr="001B6667">
        <w:rPr>
          <w:rFonts w:cs="Arial"/>
          <w:lang w:val="pl-PL" w:eastAsia="pl-PL"/>
        </w:rPr>
        <w:t>KAMIENIE MILOWE</w:t>
      </w:r>
      <w:r w:rsidR="009C7AD9">
        <w:rPr>
          <w:rFonts w:cs="Arial"/>
          <w:lang w:val="pl-PL" w:eastAsia="pl-PL"/>
        </w:rPr>
        <w:t xml:space="preserve"> </w:t>
      </w:r>
      <w:r w:rsidR="009C7AD9" w:rsidRPr="009C7AD9">
        <w:rPr>
          <w:rFonts w:cs="Arial"/>
          <w:b w:val="0"/>
          <w:caps w:val="0"/>
          <w:color w:val="7F7F7F" w:themeColor="text1" w:themeTint="80"/>
          <w:sz w:val="20"/>
          <w:szCs w:val="20"/>
          <w:lang w:val="pl-PL" w:eastAsia="pl-PL"/>
        </w:rPr>
        <w:t>&lt;&lt;maksymalnie 1000 znaków&gt;&gt;</w:t>
      </w:r>
    </w:p>
    <w:tbl>
      <w:tblPr>
        <w:tblStyle w:val="Tabela-Siatka"/>
        <w:tblW w:w="9639" w:type="dxa"/>
        <w:tblInd w:w="421" w:type="dxa"/>
        <w:tblLook w:val="04A0" w:firstRow="1" w:lastRow="0" w:firstColumn="1" w:lastColumn="0" w:noHBand="0" w:noVBand="1"/>
      </w:tblPr>
      <w:tblGrid>
        <w:gridCol w:w="7371"/>
        <w:gridCol w:w="2268"/>
      </w:tblGrid>
      <w:tr w:rsidR="005349BA" w:rsidRPr="001B6667" w14:paraId="7ADE8262" w14:textId="77777777" w:rsidTr="00A10E9C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5E529C8" w14:textId="77777777" w:rsidR="005349BA" w:rsidRPr="00BC236F" w:rsidRDefault="005349BA" w:rsidP="00B73C22">
            <w:pPr>
              <w:spacing w:before="120"/>
              <w:jc w:val="center"/>
              <w:rPr>
                <w:rFonts w:cs="Arial"/>
                <w:b/>
                <w:color w:val="000000" w:themeColor="text1"/>
                <w:sz w:val="20"/>
                <w:lang w:val="pl-PL"/>
              </w:rPr>
            </w:pPr>
            <w:r w:rsidRPr="00BC236F">
              <w:rPr>
                <w:rFonts w:cs="Arial"/>
                <w:b/>
                <w:color w:val="000000" w:themeColor="text1"/>
                <w:sz w:val="20"/>
                <w:lang w:val="pl-PL"/>
              </w:rPr>
              <w:t>K</w:t>
            </w:r>
            <w:r w:rsidR="00A10E9C" w:rsidRPr="00BC236F">
              <w:rPr>
                <w:rFonts w:cs="Arial"/>
                <w:b/>
                <w:color w:val="000000" w:themeColor="text1"/>
                <w:sz w:val="20"/>
                <w:lang w:val="pl-PL"/>
              </w:rPr>
              <w:t>amienie milowe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380AFA2" w14:textId="77777777" w:rsidR="005349BA" w:rsidRPr="00BC236F" w:rsidRDefault="005349BA" w:rsidP="001318C7">
            <w:pPr>
              <w:spacing w:before="120" w:after="120"/>
              <w:jc w:val="center"/>
              <w:rPr>
                <w:rFonts w:cs="Arial"/>
                <w:b/>
                <w:color w:val="000000" w:themeColor="text1"/>
                <w:sz w:val="20"/>
                <w:lang w:val="pl-PL"/>
              </w:rPr>
            </w:pPr>
            <w:r w:rsidRPr="00BC236F">
              <w:rPr>
                <w:rFonts w:cs="Arial"/>
                <w:b/>
                <w:color w:val="000000" w:themeColor="text1"/>
                <w:sz w:val="20"/>
                <w:lang w:val="pl-PL"/>
              </w:rPr>
              <w:t>Planowany termin osiągnięcia</w:t>
            </w:r>
          </w:p>
        </w:tc>
      </w:tr>
      <w:tr w:rsidR="005349BA" w:rsidRPr="001B6667" w14:paraId="25A5E0A4" w14:textId="77777777" w:rsidTr="001318C7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F412" w14:textId="4652CCE9" w:rsidR="005349BA" w:rsidRPr="00BC236F" w:rsidRDefault="005B3B5C" w:rsidP="008131CA">
            <w:pPr>
              <w:rPr>
                <w:rFonts w:cs="Arial"/>
                <w:color w:val="000000" w:themeColor="text1"/>
                <w:sz w:val="18"/>
                <w:szCs w:val="18"/>
                <w:lang w:val="pl-PL"/>
              </w:rPr>
            </w:pPr>
            <w:r w:rsidRPr="00BC236F">
              <w:rPr>
                <w:rFonts w:cs="Arial"/>
                <w:color w:val="000000" w:themeColor="text1"/>
                <w:sz w:val="18"/>
                <w:szCs w:val="18"/>
                <w:lang w:val="pl-PL"/>
              </w:rPr>
              <w:t>KM 1: Skompletowanie interdyscyplinarnego zespołu projektowego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23CA" w14:textId="1398D4CA" w:rsidR="005349BA" w:rsidRPr="00BC236F" w:rsidRDefault="005B3B5C" w:rsidP="005B3B5C">
            <w:pPr>
              <w:jc w:val="center"/>
              <w:rPr>
                <w:rFonts w:cs="Arial"/>
                <w:color w:val="000000" w:themeColor="text1"/>
                <w:sz w:val="18"/>
                <w:szCs w:val="18"/>
                <w:lang w:val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2027-03-31</w:t>
            </w:r>
          </w:p>
        </w:tc>
      </w:tr>
      <w:tr w:rsidR="005B3B5C" w:rsidRPr="001B6667" w14:paraId="3978A087" w14:textId="77777777" w:rsidTr="001318C7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5683" w14:textId="79544548" w:rsidR="005B3B5C" w:rsidRPr="00BC236F" w:rsidRDefault="005B3B5C" w:rsidP="008131CA">
            <w:pPr>
              <w:rPr>
                <w:rFonts w:cs="Arial"/>
                <w:color w:val="000000" w:themeColor="text1"/>
                <w:sz w:val="18"/>
                <w:szCs w:val="18"/>
                <w:lang w:val="pl-PL"/>
              </w:rPr>
            </w:pPr>
            <w:r w:rsidRPr="00BC236F">
              <w:rPr>
                <w:rFonts w:cs="Arial"/>
                <w:color w:val="000000" w:themeColor="text1"/>
                <w:sz w:val="18"/>
                <w:szCs w:val="18"/>
                <w:lang w:val="pl-PL"/>
              </w:rPr>
              <w:t>KM 2: Rozstrzygnięcie postępowania przetargowego na główną infrastrukturę sprzętową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8308" w14:textId="2380E511" w:rsidR="005B3B5C" w:rsidRPr="00BC236F" w:rsidRDefault="005B3B5C" w:rsidP="005B3B5C">
            <w:pPr>
              <w:jc w:val="center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2027-09-30</w:t>
            </w:r>
          </w:p>
        </w:tc>
      </w:tr>
      <w:tr w:rsidR="005B3B5C" w:rsidRPr="001B6667" w14:paraId="77676D0E" w14:textId="77777777" w:rsidTr="001318C7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1B35" w14:textId="76346EFA" w:rsidR="005B3B5C" w:rsidRPr="00BC236F" w:rsidRDefault="005B3B5C" w:rsidP="008131CA">
            <w:pPr>
              <w:rPr>
                <w:rFonts w:cs="Arial"/>
                <w:color w:val="000000" w:themeColor="text1"/>
                <w:sz w:val="18"/>
                <w:szCs w:val="18"/>
                <w:lang w:val="pl-PL"/>
              </w:rPr>
            </w:pPr>
            <w:r w:rsidRPr="00BC236F">
              <w:rPr>
                <w:rFonts w:cs="Arial"/>
                <w:color w:val="000000" w:themeColor="text1"/>
                <w:sz w:val="18"/>
                <w:szCs w:val="18"/>
                <w:lang w:val="pl-PL"/>
              </w:rPr>
              <w:t>KM 3: Odbiór techniczny i uruchomienie docelowego klastra obliczeniowego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B585" w14:textId="2692D515" w:rsidR="005B3B5C" w:rsidRPr="00BC236F" w:rsidRDefault="005B3B5C" w:rsidP="005B3B5C">
            <w:pPr>
              <w:jc w:val="center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2027-12-31</w:t>
            </w:r>
          </w:p>
        </w:tc>
      </w:tr>
      <w:tr w:rsidR="00D1325B" w:rsidRPr="002104E2" w14:paraId="36D2806E" w14:textId="77777777" w:rsidTr="001318C7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8BD6" w14:textId="2F2D6C86" w:rsidR="00D1325B" w:rsidRPr="00BC236F" w:rsidRDefault="00D1325B" w:rsidP="008131CA">
            <w:pPr>
              <w:rPr>
                <w:rFonts w:cs="Arial"/>
                <w:color w:val="000000" w:themeColor="text1"/>
                <w:sz w:val="18"/>
                <w:szCs w:val="18"/>
                <w:lang w:val="pl-PL"/>
              </w:rPr>
            </w:pPr>
            <w:r w:rsidRPr="00BC236F">
              <w:rPr>
                <w:rFonts w:cs="Arial"/>
                <w:color w:val="000000" w:themeColor="text1"/>
                <w:sz w:val="18"/>
                <w:szCs w:val="18"/>
                <w:lang w:val="pl-PL"/>
              </w:rPr>
              <w:t>MK 4: Test prywatności systemu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6EDB" w14:textId="4470DCC7" w:rsidR="00D1325B" w:rsidRPr="00BC236F" w:rsidRDefault="00D1325B" w:rsidP="005B3B5C">
            <w:pPr>
              <w:jc w:val="center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2028-03-31</w:t>
            </w:r>
          </w:p>
        </w:tc>
      </w:tr>
      <w:tr w:rsidR="00FF0B92" w:rsidRPr="002104E2" w14:paraId="14B45D63" w14:textId="77777777" w:rsidTr="001318C7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9F71" w14:textId="038D51BB" w:rsidR="00FF0B92" w:rsidRPr="00BC236F" w:rsidRDefault="00FF0B92" w:rsidP="008131CA">
            <w:pPr>
              <w:rPr>
                <w:rFonts w:cs="Arial"/>
                <w:color w:val="000000" w:themeColor="text1"/>
                <w:sz w:val="18"/>
                <w:szCs w:val="18"/>
                <w:lang w:val="pl-PL"/>
              </w:rPr>
            </w:pPr>
            <w:r w:rsidRPr="00BC236F">
              <w:rPr>
                <w:rFonts w:cs="Arial"/>
                <w:color w:val="000000" w:themeColor="text1"/>
                <w:sz w:val="18"/>
                <w:szCs w:val="18"/>
                <w:lang w:val="pl-PL"/>
              </w:rPr>
              <w:t>KM</w:t>
            </w:r>
            <w:r w:rsidR="00D1325B" w:rsidRPr="00BC236F">
              <w:rPr>
                <w:rFonts w:cs="Arial"/>
                <w:color w:val="000000" w:themeColor="text1"/>
                <w:sz w:val="18"/>
                <w:szCs w:val="18"/>
                <w:lang w:val="pl-PL"/>
              </w:rPr>
              <w:t xml:space="preserve"> 5</w:t>
            </w:r>
            <w:r w:rsidRPr="00BC236F">
              <w:rPr>
                <w:rFonts w:cs="Arial"/>
                <w:color w:val="000000" w:themeColor="text1"/>
                <w:sz w:val="18"/>
                <w:szCs w:val="18"/>
                <w:lang w:val="pl-PL"/>
              </w:rPr>
              <w:t>: Audyt systemu pod kątem e-dostępności usług (WCAG)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7843" w14:textId="7674583D" w:rsidR="00FF0B92" w:rsidRPr="00BC236F" w:rsidRDefault="00FF0B92" w:rsidP="005B3B5C">
            <w:pPr>
              <w:jc w:val="center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2028-06-30</w:t>
            </w:r>
          </w:p>
        </w:tc>
      </w:tr>
      <w:tr w:rsidR="005B3B5C" w:rsidRPr="001B6667" w14:paraId="2B1F3786" w14:textId="77777777" w:rsidTr="001318C7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76EB" w14:textId="14BA3DD1" w:rsidR="005B3B5C" w:rsidRPr="00BC236F" w:rsidRDefault="005B3B5C" w:rsidP="008131CA">
            <w:pPr>
              <w:rPr>
                <w:rFonts w:cs="Arial"/>
                <w:color w:val="000000" w:themeColor="text1"/>
                <w:sz w:val="18"/>
                <w:szCs w:val="18"/>
                <w:lang w:val="pl-PL"/>
              </w:rPr>
            </w:pPr>
            <w:r w:rsidRPr="00BC236F">
              <w:rPr>
                <w:rFonts w:cs="Arial"/>
                <w:color w:val="000000" w:themeColor="text1"/>
                <w:sz w:val="18"/>
                <w:szCs w:val="18"/>
                <w:lang w:val="pl-PL"/>
              </w:rPr>
              <w:lastRenderedPageBreak/>
              <w:t xml:space="preserve">KM </w:t>
            </w:r>
            <w:r w:rsidR="00D1325B" w:rsidRPr="00BC236F">
              <w:rPr>
                <w:rFonts w:cs="Arial"/>
                <w:color w:val="000000" w:themeColor="text1"/>
                <w:sz w:val="18"/>
                <w:szCs w:val="18"/>
                <w:lang w:val="pl-PL"/>
              </w:rPr>
              <w:t>6</w:t>
            </w:r>
            <w:r w:rsidRPr="00BC236F">
              <w:rPr>
                <w:rFonts w:cs="Arial"/>
                <w:color w:val="000000" w:themeColor="text1"/>
                <w:sz w:val="18"/>
                <w:szCs w:val="18"/>
                <w:lang w:val="pl-PL"/>
              </w:rPr>
              <w:t>: Wypracowanie i optymalizacja bazowego Silnika AI (Moduł Doradczo-Ekspercki)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CCE5" w14:textId="4E253F86" w:rsidR="005B3B5C" w:rsidRPr="00BC236F" w:rsidRDefault="005B3B5C" w:rsidP="005B3B5C">
            <w:pPr>
              <w:jc w:val="center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2028-12-31</w:t>
            </w:r>
          </w:p>
        </w:tc>
      </w:tr>
      <w:tr w:rsidR="005B3B5C" w:rsidRPr="001B6667" w14:paraId="3CA47E4F" w14:textId="77777777" w:rsidTr="001318C7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91E2" w14:textId="4B7CB2B1" w:rsidR="005B3B5C" w:rsidRPr="00BC236F" w:rsidRDefault="005B3B5C" w:rsidP="008131CA">
            <w:pPr>
              <w:rPr>
                <w:rFonts w:cs="Arial"/>
                <w:color w:val="000000" w:themeColor="text1"/>
                <w:sz w:val="18"/>
                <w:szCs w:val="18"/>
                <w:lang w:val="pl-PL"/>
              </w:rPr>
            </w:pPr>
            <w:r w:rsidRPr="00BC236F">
              <w:rPr>
                <w:rFonts w:cs="Arial"/>
                <w:color w:val="000000" w:themeColor="text1"/>
                <w:sz w:val="18"/>
                <w:szCs w:val="18"/>
                <w:lang w:val="pl-PL"/>
              </w:rPr>
              <w:t xml:space="preserve">KM </w:t>
            </w:r>
            <w:r w:rsidR="00D1325B" w:rsidRPr="00BC236F">
              <w:rPr>
                <w:rFonts w:cs="Arial"/>
                <w:color w:val="000000" w:themeColor="text1"/>
                <w:sz w:val="18"/>
                <w:szCs w:val="18"/>
                <w:lang w:val="pl-PL"/>
              </w:rPr>
              <w:t>7</w:t>
            </w:r>
            <w:r w:rsidRPr="00BC236F">
              <w:rPr>
                <w:rFonts w:cs="Arial"/>
                <w:color w:val="000000" w:themeColor="text1"/>
                <w:sz w:val="18"/>
                <w:szCs w:val="18"/>
                <w:lang w:val="pl-PL"/>
              </w:rPr>
              <w:t>: Zakończenie prac programistycznych i pełna integracja platformy DSE-L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67C9" w14:textId="0F54D120" w:rsidR="005B3B5C" w:rsidRPr="00BC236F" w:rsidRDefault="005B3B5C" w:rsidP="005B3B5C">
            <w:pPr>
              <w:jc w:val="center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2029-06-30</w:t>
            </w:r>
          </w:p>
        </w:tc>
      </w:tr>
      <w:tr w:rsidR="005B3B5C" w:rsidRPr="001B6667" w14:paraId="28006725" w14:textId="77777777" w:rsidTr="001318C7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5BD2" w14:textId="74E04281" w:rsidR="005B3B5C" w:rsidRPr="00BC236F" w:rsidRDefault="005B3B5C" w:rsidP="008131CA">
            <w:pPr>
              <w:rPr>
                <w:rFonts w:cs="Arial"/>
                <w:color w:val="000000" w:themeColor="text1"/>
                <w:sz w:val="18"/>
                <w:szCs w:val="18"/>
                <w:lang w:val="pl-PL"/>
              </w:rPr>
            </w:pPr>
            <w:r w:rsidRPr="00BC236F">
              <w:rPr>
                <w:rFonts w:cs="Arial"/>
                <w:color w:val="000000" w:themeColor="text1"/>
                <w:sz w:val="18"/>
                <w:szCs w:val="18"/>
                <w:lang w:val="pl-PL"/>
              </w:rPr>
              <w:t xml:space="preserve">KM </w:t>
            </w:r>
            <w:r w:rsidR="00D1325B" w:rsidRPr="00BC236F">
              <w:rPr>
                <w:rFonts w:cs="Arial"/>
                <w:color w:val="000000" w:themeColor="text1"/>
                <w:sz w:val="18"/>
                <w:szCs w:val="18"/>
                <w:lang w:val="pl-PL"/>
              </w:rPr>
              <w:t>8</w:t>
            </w:r>
            <w:r w:rsidRPr="00BC236F">
              <w:rPr>
                <w:rFonts w:cs="Arial"/>
                <w:color w:val="000000" w:themeColor="text1"/>
                <w:sz w:val="18"/>
                <w:szCs w:val="18"/>
                <w:lang w:val="pl-PL"/>
              </w:rPr>
              <w:t>: Przeprowadzenie niezależnych audytów bezpieczeństwa, zgodności i certyfikacji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384B" w14:textId="42DAEF3C" w:rsidR="005B3B5C" w:rsidRPr="00BC236F" w:rsidRDefault="005B3B5C" w:rsidP="005B3B5C">
            <w:pPr>
              <w:jc w:val="center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2029-09-30</w:t>
            </w:r>
          </w:p>
        </w:tc>
      </w:tr>
      <w:tr w:rsidR="005B3B5C" w:rsidRPr="001B6667" w14:paraId="6BD91F51" w14:textId="77777777" w:rsidTr="001318C7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47B1" w14:textId="526B7141" w:rsidR="005B3B5C" w:rsidRPr="00BC236F" w:rsidRDefault="005B3B5C" w:rsidP="008131CA">
            <w:pPr>
              <w:rPr>
                <w:rFonts w:cs="Arial"/>
                <w:color w:val="000000" w:themeColor="text1"/>
                <w:sz w:val="18"/>
                <w:szCs w:val="18"/>
                <w:lang w:val="pl-PL"/>
              </w:rPr>
            </w:pPr>
            <w:r w:rsidRPr="00BC236F">
              <w:rPr>
                <w:rFonts w:cs="Arial"/>
                <w:color w:val="000000" w:themeColor="text1"/>
                <w:sz w:val="18"/>
                <w:szCs w:val="18"/>
                <w:lang w:val="pl-PL"/>
              </w:rPr>
              <w:t xml:space="preserve">KM </w:t>
            </w:r>
            <w:r w:rsidR="00D1325B" w:rsidRPr="00BC236F">
              <w:rPr>
                <w:rFonts w:cs="Arial"/>
                <w:color w:val="000000" w:themeColor="text1"/>
                <w:sz w:val="18"/>
                <w:szCs w:val="18"/>
                <w:lang w:val="pl-PL"/>
              </w:rPr>
              <w:t>9</w:t>
            </w:r>
            <w:r w:rsidRPr="00BC236F">
              <w:rPr>
                <w:rFonts w:cs="Arial"/>
                <w:color w:val="000000" w:themeColor="text1"/>
                <w:sz w:val="18"/>
                <w:szCs w:val="18"/>
                <w:lang w:val="pl-PL"/>
              </w:rPr>
              <w:t>: Finalizacja budowy bazy wiedzy oraz produkcyjne uruchomienie systemu DSE-L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2599" w14:textId="4408A65F" w:rsidR="005B3B5C" w:rsidRPr="00BC236F" w:rsidRDefault="005B3B5C" w:rsidP="005B3B5C">
            <w:pPr>
              <w:jc w:val="center"/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2029-12-31</w:t>
            </w:r>
          </w:p>
        </w:tc>
      </w:tr>
    </w:tbl>
    <w:p w14:paraId="67A7A867" w14:textId="77777777" w:rsidR="00AB4172" w:rsidRPr="001B6667" w:rsidRDefault="00AB4172" w:rsidP="009431B0">
      <w:pPr>
        <w:pStyle w:val="Nagwek1"/>
        <w:rPr>
          <w:rFonts w:cs="Arial"/>
          <w:lang w:val="pl-PL" w:eastAsia="pl-PL"/>
        </w:rPr>
      </w:pPr>
      <w:bookmarkStart w:id="5" w:name="_Toc462924067"/>
      <w:r w:rsidRPr="001B6667">
        <w:rPr>
          <w:rFonts w:cs="Arial"/>
          <w:lang w:val="pl-PL" w:eastAsia="pl-PL"/>
        </w:rPr>
        <w:t>KOSZTY</w:t>
      </w:r>
      <w:bookmarkEnd w:id="5"/>
      <w:r w:rsidR="009C7AD9">
        <w:rPr>
          <w:rFonts w:cs="Arial"/>
          <w:lang w:val="pl-PL" w:eastAsia="pl-PL"/>
        </w:rPr>
        <w:t xml:space="preserve"> </w:t>
      </w:r>
    </w:p>
    <w:p w14:paraId="25F4536F" w14:textId="05174269" w:rsidR="00A44251" w:rsidRPr="001B6667" w:rsidRDefault="00A44251" w:rsidP="00485E7E">
      <w:pPr>
        <w:pStyle w:val="Nagwek2"/>
        <w:tabs>
          <w:tab w:val="num" w:pos="1134"/>
        </w:tabs>
        <w:ind w:left="788" w:hanging="431"/>
        <w:rPr>
          <w:lang w:val="pl-PL" w:eastAsia="pl-PL"/>
        </w:rPr>
      </w:pPr>
      <w:bookmarkStart w:id="6" w:name="_Toc462924068"/>
      <w:r w:rsidRPr="001B6667">
        <w:rPr>
          <w:lang w:val="pl-PL" w:eastAsia="pl-PL"/>
        </w:rPr>
        <w:t xml:space="preserve">Koszty ogólne </w:t>
      </w:r>
      <w:r w:rsidR="00470022" w:rsidRPr="00470022">
        <w:rPr>
          <w:lang w:val="pl-PL" w:eastAsia="pl-PL"/>
        </w:rPr>
        <w:t>przedsięwzięcia</w:t>
      </w:r>
      <w:r w:rsidRPr="001B6667">
        <w:rPr>
          <w:lang w:val="pl-PL" w:eastAsia="pl-PL"/>
        </w:rPr>
        <w:t xml:space="preserve"> wraz ze sposobem finansowania</w:t>
      </w:r>
      <w:bookmarkEnd w:id="6"/>
    </w:p>
    <w:tbl>
      <w:tblPr>
        <w:tblW w:w="963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9"/>
        <w:gridCol w:w="993"/>
        <w:gridCol w:w="6237"/>
      </w:tblGrid>
      <w:tr w:rsidR="00CE165C" w:rsidRPr="00402AAE" w14:paraId="647977C4" w14:textId="77777777" w:rsidTr="001318C7">
        <w:trPr>
          <w:trHeight w:val="392"/>
        </w:trPr>
        <w:tc>
          <w:tcPr>
            <w:tcW w:w="2409" w:type="dxa"/>
            <w:shd w:val="clear" w:color="auto" w:fill="E7E6E6"/>
          </w:tcPr>
          <w:p w14:paraId="29317EE6" w14:textId="2E1D2A28" w:rsidR="00CE165C" w:rsidRPr="001B6667" w:rsidRDefault="00CE165C" w:rsidP="001B6667">
            <w:pPr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</w:pPr>
            <w:r w:rsidRPr="001B6667"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  <w:t>Całkowit</w:t>
            </w:r>
            <w:r w:rsidR="00F83399" w:rsidRPr="001B6667"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  <w:t>y</w:t>
            </w:r>
            <w:r w:rsidRPr="001B6667"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  <w:t xml:space="preserve"> </w:t>
            </w:r>
            <w:r w:rsidR="00F83399" w:rsidRPr="001B6667"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  <w:t>koszt</w:t>
            </w:r>
            <w:r w:rsidRPr="001B6667"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  <w:t xml:space="preserve"> </w:t>
            </w:r>
            <w:r w:rsidR="00DF701F"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  <w:t>przedsięwzięcia</w:t>
            </w:r>
            <w:r w:rsidR="00DF701F" w:rsidRPr="001B6667"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  <w:t xml:space="preserve"> </w:t>
            </w:r>
            <w:r w:rsidRPr="001B6667"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  <w:t>(</w:t>
            </w:r>
            <w:r w:rsidR="00AF2DE5" w:rsidRPr="001B6667"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  <w:t>netto oraz brutto</w:t>
            </w:r>
            <w:r w:rsidRPr="001B6667"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  <w:t>)</w:t>
            </w:r>
            <w:r w:rsidR="001C7FA0"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  <w:t>, w tym:</w:t>
            </w:r>
          </w:p>
        </w:tc>
        <w:tc>
          <w:tcPr>
            <w:tcW w:w="7230" w:type="dxa"/>
            <w:gridSpan w:val="2"/>
            <w:shd w:val="clear" w:color="auto" w:fill="FFFFFF"/>
          </w:tcPr>
          <w:p w14:paraId="6ADE1285" w14:textId="342E6FCE" w:rsidR="00CE165C" w:rsidRPr="00BC236F" w:rsidRDefault="005B3B5C" w:rsidP="001B6667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Koszt brutto: </w:t>
            </w: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ab/>
              <w:t>21.079.000,00</w:t>
            </w: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br/>
              <w:t>Koszt netto:</w:t>
            </w: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ab/>
              <w:t>20.144.040,65</w:t>
            </w:r>
          </w:p>
        </w:tc>
      </w:tr>
      <w:tr w:rsidR="001C7FA0" w:rsidRPr="00AA190F" w14:paraId="13211CCC" w14:textId="77777777" w:rsidTr="00480C5A">
        <w:trPr>
          <w:trHeight w:val="82"/>
        </w:trPr>
        <w:tc>
          <w:tcPr>
            <w:tcW w:w="2409" w:type="dxa"/>
            <w:shd w:val="clear" w:color="auto" w:fill="E7E6E6"/>
          </w:tcPr>
          <w:p w14:paraId="22F4995C" w14:textId="77777777" w:rsidR="001C7FA0" w:rsidRPr="001B6667" w:rsidRDefault="001C7FA0" w:rsidP="00F65649">
            <w:pPr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</w:pPr>
            <w:r w:rsidRPr="005D26B3">
              <w:rPr>
                <w:rFonts w:cs="Arial"/>
                <w:b/>
                <w:sz w:val="20"/>
                <w:lang w:val="pl-PL"/>
              </w:rPr>
              <w:t>Procent</w:t>
            </w:r>
            <w:r w:rsidRPr="004D0E7D">
              <w:rPr>
                <w:rFonts w:cs="Arial"/>
                <w:b/>
                <w:sz w:val="20"/>
                <w:szCs w:val="24"/>
                <w:lang w:val="pl-PL" w:eastAsia="pl-PL"/>
              </w:rPr>
              <w:t xml:space="preserve"> dofinansowania</w:t>
            </w:r>
            <w:r w:rsidRPr="007573B2">
              <w:rPr>
                <w:rFonts w:cs="Arial"/>
                <w:b/>
                <w:sz w:val="20"/>
                <w:lang w:val="pl-PL"/>
              </w:rPr>
              <w:t xml:space="preserve"> ze środków UE</w:t>
            </w:r>
            <w:r w:rsidRPr="004D0E7D">
              <w:rPr>
                <w:rFonts w:cs="Arial"/>
                <w:b/>
                <w:sz w:val="20"/>
                <w:szCs w:val="24"/>
                <w:lang w:val="pl-PL" w:eastAsia="pl-PL"/>
              </w:rPr>
              <w:t xml:space="preserve"> (</w:t>
            </w:r>
            <w:r w:rsidRPr="004D0E7D">
              <w:rPr>
                <w:rFonts w:eastAsia="MS MinNew Roman" w:cs="Arial"/>
                <w:b/>
                <w:bCs/>
                <w:sz w:val="20"/>
                <w:szCs w:val="24"/>
                <w:lang w:val="pl-PL" w:eastAsia="pl-PL"/>
              </w:rPr>
              <w:t>brutto</w:t>
            </w:r>
            <w:r w:rsidRPr="004D0E7D">
              <w:rPr>
                <w:rFonts w:cs="Arial"/>
                <w:b/>
                <w:sz w:val="20"/>
                <w:szCs w:val="24"/>
                <w:lang w:val="pl-PL" w:eastAsia="pl-PL"/>
              </w:rPr>
              <w:t>)</w:t>
            </w:r>
            <w:r w:rsidRPr="007573B2">
              <w:rPr>
                <w:rStyle w:val="Odwoanieprzypisudolnego"/>
                <w:lang w:val="pl-PL"/>
              </w:rPr>
              <w:t xml:space="preserve"> </w:t>
            </w:r>
          </w:p>
        </w:tc>
        <w:tc>
          <w:tcPr>
            <w:tcW w:w="7230" w:type="dxa"/>
            <w:gridSpan w:val="2"/>
            <w:shd w:val="clear" w:color="auto" w:fill="FFFFFF"/>
          </w:tcPr>
          <w:p w14:paraId="4011F854" w14:textId="77777777" w:rsidR="002104E2" w:rsidRDefault="002104E2" w:rsidP="002104E2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Zgodnie z SZOP Programu Fundusze Europejskie na Rozwój Cyfrowy 2021-2027 dla Działania 2.1 „Wysoka jakość i dostępność e-usług publicznych”, maksymalny poziom dofinansowania wynosi 100 % kosztów kwalifikowalnych, w tym79,71% ze środków Europejskiego Funduszu Rozwoju Regionalnego oraz 20,29% z budżetu państwa. W związku z powyższym przyjęto następującą strukturę finansowania:</w:t>
            </w:r>
          </w:p>
          <w:p w14:paraId="0A05D6C4" w14:textId="77777777" w:rsidR="00BC236F" w:rsidRPr="00BC236F" w:rsidRDefault="00BC236F" w:rsidP="002104E2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</w:p>
          <w:p w14:paraId="119EC610" w14:textId="333D106D" w:rsidR="001C7FA0" w:rsidRPr="00BC236F" w:rsidRDefault="002104E2" w:rsidP="002104E2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Procent dofinansowania ze środków UE</w:t>
            </w:r>
            <w:r w:rsid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 (brutto):</w:t>
            </w: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 79,91 %.</w:t>
            </w:r>
          </w:p>
        </w:tc>
      </w:tr>
      <w:tr w:rsidR="002D7625" w:rsidRPr="00402AAE" w14:paraId="36A075D4" w14:textId="77777777" w:rsidTr="00480C5A">
        <w:trPr>
          <w:trHeight w:val="82"/>
        </w:trPr>
        <w:tc>
          <w:tcPr>
            <w:tcW w:w="2409" w:type="dxa"/>
            <w:shd w:val="clear" w:color="auto" w:fill="E7E6E6"/>
          </w:tcPr>
          <w:p w14:paraId="5F4D8B1A" w14:textId="3167AAD9" w:rsidR="002D7625" w:rsidRPr="005D26B3" w:rsidRDefault="002D7625" w:rsidP="00F65649">
            <w:pPr>
              <w:rPr>
                <w:rFonts w:cs="Arial"/>
                <w:b/>
                <w:sz w:val="20"/>
                <w:lang w:val="pl-PL"/>
              </w:rPr>
            </w:pPr>
            <w:r>
              <w:rPr>
                <w:rFonts w:cs="Arial"/>
                <w:b/>
                <w:sz w:val="20"/>
                <w:lang w:val="pl-PL"/>
              </w:rPr>
              <w:t>Procent dofinansowania ze</w:t>
            </w:r>
            <w:r w:rsidR="005B5E24">
              <w:rPr>
                <w:rFonts w:cs="Arial"/>
                <w:b/>
                <w:sz w:val="20"/>
                <w:lang w:val="pl-PL"/>
              </w:rPr>
              <w:t xml:space="preserve"> </w:t>
            </w:r>
            <w:r w:rsidR="0028060F" w:rsidRPr="00AA190F">
              <w:rPr>
                <w:rFonts w:cs="Arial"/>
                <w:b/>
                <w:sz w:val="20"/>
                <w:lang w:val="pl-PL"/>
              </w:rPr>
              <w:t>środków z innych</w:t>
            </w:r>
            <w:r w:rsidR="005B5E24" w:rsidRPr="00AA190F">
              <w:rPr>
                <w:rFonts w:cs="Arial"/>
                <w:b/>
                <w:sz w:val="20"/>
                <w:lang w:val="pl-PL"/>
              </w:rPr>
              <w:t xml:space="preserve"> </w:t>
            </w:r>
            <w:r w:rsidR="0028060F" w:rsidRPr="00AA190F">
              <w:rPr>
                <w:rFonts w:cs="Arial"/>
                <w:b/>
                <w:sz w:val="20"/>
                <w:lang w:val="pl-PL"/>
              </w:rPr>
              <w:t>źródeł zagranicznych</w:t>
            </w:r>
            <w:r w:rsidR="0028060F">
              <w:rPr>
                <w:rFonts w:cs="Arial"/>
                <w:b/>
                <w:sz w:val="20"/>
                <w:lang w:val="pl-PL"/>
              </w:rPr>
              <w:t xml:space="preserve"> </w:t>
            </w:r>
            <w:r>
              <w:rPr>
                <w:rFonts w:cs="Arial"/>
                <w:b/>
                <w:sz w:val="20"/>
                <w:lang w:val="pl-PL"/>
              </w:rPr>
              <w:t>(brutto)</w:t>
            </w:r>
          </w:p>
        </w:tc>
        <w:tc>
          <w:tcPr>
            <w:tcW w:w="7230" w:type="dxa"/>
            <w:gridSpan w:val="2"/>
            <w:shd w:val="clear" w:color="auto" w:fill="FFFFFF"/>
          </w:tcPr>
          <w:p w14:paraId="3CDE48ED" w14:textId="6EA21A80" w:rsidR="002D7625" w:rsidRPr="00BC236F" w:rsidRDefault="002104E2" w:rsidP="001C7FA0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0%</w:t>
            </w:r>
          </w:p>
        </w:tc>
      </w:tr>
      <w:tr w:rsidR="001C7FA0" w:rsidRPr="00402AAE" w14:paraId="30101A3E" w14:textId="77777777" w:rsidTr="00480C5A">
        <w:trPr>
          <w:trHeight w:val="82"/>
        </w:trPr>
        <w:tc>
          <w:tcPr>
            <w:tcW w:w="2409" w:type="dxa"/>
            <w:shd w:val="clear" w:color="auto" w:fill="E7E6E6"/>
          </w:tcPr>
          <w:p w14:paraId="785A6E6F" w14:textId="77777777" w:rsidR="001C7FA0" w:rsidRPr="001B6667" w:rsidRDefault="001C7FA0" w:rsidP="00F65649">
            <w:pPr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</w:pPr>
            <w:r w:rsidRPr="005D26B3">
              <w:rPr>
                <w:rFonts w:cs="Arial"/>
                <w:b/>
                <w:sz w:val="20"/>
                <w:lang w:val="pl-PL"/>
              </w:rPr>
              <w:t xml:space="preserve">Procent </w:t>
            </w:r>
            <w:r w:rsidRPr="004D0E7D">
              <w:rPr>
                <w:rFonts w:cs="Arial"/>
                <w:b/>
                <w:sz w:val="20"/>
                <w:szCs w:val="24"/>
                <w:lang w:val="pl-PL" w:eastAsia="pl-PL"/>
              </w:rPr>
              <w:t xml:space="preserve">środków z budżetu państwa </w:t>
            </w:r>
            <w:r w:rsidRPr="004D0E7D">
              <w:rPr>
                <w:rFonts w:eastAsia="MS MinNew Roman" w:cs="Arial"/>
                <w:b/>
                <w:bCs/>
                <w:sz w:val="20"/>
                <w:szCs w:val="24"/>
                <w:lang w:val="pl-PL" w:eastAsia="pl-PL"/>
              </w:rPr>
              <w:t>(brutto)</w:t>
            </w:r>
          </w:p>
        </w:tc>
        <w:tc>
          <w:tcPr>
            <w:tcW w:w="7230" w:type="dxa"/>
            <w:gridSpan w:val="2"/>
            <w:shd w:val="clear" w:color="auto" w:fill="FFFFFF"/>
          </w:tcPr>
          <w:p w14:paraId="404B9E99" w14:textId="2B6E78E7" w:rsidR="001C7FA0" w:rsidRPr="00BC236F" w:rsidRDefault="002104E2" w:rsidP="001C7FA0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20,29%</w:t>
            </w:r>
          </w:p>
        </w:tc>
      </w:tr>
      <w:tr w:rsidR="00F83399" w:rsidRPr="00402AAE" w14:paraId="427B5947" w14:textId="77777777" w:rsidTr="001318C7">
        <w:trPr>
          <w:trHeight w:val="82"/>
        </w:trPr>
        <w:tc>
          <w:tcPr>
            <w:tcW w:w="2409" w:type="dxa"/>
            <w:vMerge w:val="restart"/>
            <w:shd w:val="clear" w:color="auto" w:fill="E7E6E6"/>
          </w:tcPr>
          <w:p w14:paraId="74CB7B03" w14:textId="692F5D66" w:rsidR="00F83399" w:rsidRPr="001B6667" w:rsidRDefault="00F83399" w:rsidP="001B6667">
            <w:pPr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</w:pPr>
            <w:r w:rsidRPr="001B6667"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  <w:t xml:space="preserve">Podział całkowitego kosztu </w:t>
            </w:r>
            <w:r w:rsidR="00DF701F"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  <w:t>przedsięwzięcia</w:t>
            </w:r>
            <w:r w:rsidR="00DF701F" w:rsidRPr="001B6667"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  <w:t xml:space="preserve"> </w:t>
            </w:r>
            <w:r w:rsidRPr="001B6667"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  <w:t xml:space="preserve">na poszczególna lata </w:t>
            </w:r>
            <w:r w:rsidR="00972003" w:rsidRPr="001B6667"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  <w:t>(</w:t>
            </w:r>
            <w:r w:rsidR="00AF2DE5" w:rsidRPr="001B6667"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  <w:t>netto oraz brutto</w:t>
            </w:r>
            <w:r w:rsidR="00972003" w:rsidRPr="001B6667"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  <w:t>)</w:t>
            </w:r>
          </w:p>
        </w:tc>
        <w:tc>
          <w:tcPr>
            <w:tcW w:w="993" w:type="dxa"/>
            <w:shd w:val="clear" w:color="auto" w:fill="FFFFFF"/>
          </w:tcPr>
          <w:p w14:paraId="3D3B0EA9" w14:textId="7053A07B" w:rsidR="00F83399" w:rsidRPr="00BC236F" w:rsidRDefault="005B3B5C" w:rsidP="001B6667">
            <w:pPr>
              <w:pStyle w:val="Legenda"/>
              <w:rPr>
                <w:rFonts w:ascii="Arial" w:hAnsi="Arial" w:cs="Arial"/>
                <w:iCs/>
                <w:color w:val="000000" w:themeColor="text1"/>
                <w:sz w:val="20"/>
              </w:rPr>
            </w:pPr>
            <w:r w:rsidRPr="00BC236F">
              <w:rPr>
                <w:rFonts w:ascii="Arial" w:hAnsi="Arial" w:cs="Arial"/>
                <w:iCs/>
                <w:color w:val="000000" w:themeColor="text1"/>
                <w:sz w:val="20"/>
              </w:rPr>
              <w:t>2027</w:t>
            </w:r>
          </w:p>
        </w:tc>
        <w:tc>
          <w:tcPr>
            <w:tcW w:w="6237" w:type="dxa"/>
            <w:shd w:val="clear" w:color="auto" w:fill="FFFFFF"/>
          </w:tcPr>
          <w:p w14:paraId="65ABDF22" w14:textId="77777777" w:rsidR="00F83399" w:rsidRPr="00BC236F" w:rsidRDefault="00B0348F" w:rsidP="001B6667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Brutto: </w:t>
            </w:r>
            <w:r w:rsidR="00EA5690"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9 793 047,62 zł</w:t>
            </w:r>
          </w:p>
          <w:p w14:paraId="1DAE4AE1" w14:textId="38B0CAE2" w:rsidR="00B0348F" w:rsidRPr="00BC236F" w:rsidRDefault="00B0348F" w:rsidP="001B6667">
            <w:pPr>
              <w:rPr>
                <w:rFonts w:cs="Arial"/>
                <w:b/>
                <w:i/>
                <w:color w:val="000000" w:themeColor="text1"/>
                <w:sz w:val="20"/>
                <w:lang w:val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Netto: </w:t>
            </w:r>
            <w:r w:rsidR="003861E4"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8 858 088,27 zł</w:t>
            </w:r>
          </w:p>
        </w:tc>
      </w:tr>
      <w:tr w:rsidR="00F83399" w:rsidRPr="00402AAE" w14:paraId="1896EC03" w14:textId="77777777" w:rsidTr="001318C7">
        <w:trPr>
          <w:trHeight w:val="81"/>
        </w:trPr>
        <w:tc>
          <w:tcPr>
            <w:tcW w:w="2409" w:type="dxa"/>
            <w:vMerge/>
            <w:shd w:val="clear" w:color="auto" w:fill="E7E6E6"/>
          </w:tcPr>
          <w:p w14:paraId="111CD3D6" w14:textId="77777777" w:rsidR="00F83399" w:rsidRPr="001B6667" w:rsidRDefault="00F83399" w:rsidP="001B6667">
            <w:pPr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</w:pPr>
          </w:p>
        </w:tc>
        <w:tc>
          <w:tcPr>
            <w:tcW w:w="993" w:type="dxa"/>
            <w:shd w:val="clear" w:color="auto" w:fill="FFFFFF"/>
          </w:tcPr>
          <w:p w14:paraId="19F76075" w14:textId="603CEB21" w:rsidR="00F83399" w:rsidRPr="00BC236F" w:rsidRDefault="00EA5690" w:rsidP="001B6667">
            <w:pPr>
              <w:pStyle w:val="Legenda"/>
              <w:rPr>
                <w:rFonts w:ascii="Arial" w:hAnsi="Arial" w:cs="Arial"/>
                <w:iCs/>
                <w:color w:val="000000" w:themeColor="text1"/>
                <w:sz w:val="20"/>
              </w:rPr>
            </w:pPr>
            <w:r w:rsidRPr="00BC236F">
              <w:rPr>
                <w:rFonts w:ascii="Arial" w:hAnsi="Arial" w:cs="Arial"/>
                <w:iCs/>
                <w:color w:val="000000" w:themeColor="text1"/>
                <w:sz w:val="20"/>
              </w:rPr>
              <w:t>2028</w:t>
            </w:r>
          </w:p>
        </w:tc>
        <w:tc>
          <w:tcPr>
            <w:tcW w:w="6237" w:type="dxa"/>
            <w:shd w:val="clear" w:color="auto" w:fill="FFFFFF"/>
          </w:tcPr>
          <w:p w14:paraId="3326B13D" w14:textId="77777777" w:rsidR="00F83399" w:rsidRPr="00BC236F" w:rsidRDefault="00B0348F" w:rsidP="00EA5690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Brutto: </w:t>
            </w:r>
            <w:r w:rsidR="00EA5690"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7 370 261,90 zł</w:t>
            </w:r>
          </w:p>
          <w:p w14:paraId="423C2652" w14:textId="3CBDBB61" w:rsidR="00B0348F" w:rsidRPr="00BC236F" w:rsidRDefault="00B0348F" w:rsidP="00EA5690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Netto: </w:t>
            </w:r>
            <w:r w:rsidR="003861E4"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7 370 261,90 zł</w:t>
            </w:r>
          </w:p>
        </w:tc>
      </w:tr>
      <w:tr w:rsidR="00F83399" w:rsidRPr="00402AAE" w14:paraId="1A4E0135" w14:textId="77777777" w:rsidTr="001318C7">
        <w:trPr>
          <w:trHeight w:val="81"/>
        </w:trPr>
        <w:tc>
          <w:tcPr>
            <w:tcW w:w="2409" w:type="dxa"/>
            <w:vMerge/>
            <w:shd w:val="clear" w:color="auto" w:fill="E7E6E6"/>
          </w:tcPr>
          <w:p w14:paraId="70E8E8DB" w14:textId="77777777" w:rsidR="00F83399" w:rsidRPr="001B6667" w:rsidRDefault="00F83399" w:rsidP="001B6667">
            <w:pPr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</w:pPr>
          </w:p>
        </w:tc>
        <w:tc>
          <w:tcPr>
            <w:tcW w:w="993" w:type="dxa"/>
            <w:shd w:val="clear" w:color="auto" w:fill="FFFFFF"/>
          </w:tcPr>
          <w:p w14:paraId="323A1B7C" w14:textId="5EB71E27" w:rsidR="00F83399" w:rsidRPr="00BC236F" w:rsidRDefault="00EA5690" w:rsidP="001B6667">
            <w:pPr>
              <w:pStyle w:val="Legenda"/>
              <w:rPr>
                <w:rFonts w:ascii="Arial" w:hAnsi="Arial" w:cs="Arial"/>
                <w:iCs/>
                <w:color w:val="000000" w:themeColor="text1"/>
                <w:sz w:val="20"/>
              </w:rPr>
            </w:pPr>
            <w:r w:rsidRPr="00BC236F">
              <w:rPr>
                <w:rFonts w:ascii="Arial" w:hAnsi="Arial" w:cs="Arial"/>
                <w:iCs/>
                <w:color w:val="000000" w:themeColor="text1"/>
                <w:sz w:val="20"/>
              </w:rPr>
              <w:t>2029</w:t>
            </w:r>
          </w:p>
        </w:tc>
        <w:tc>
          <w:tcPr>
            <w:tcW w:w="6237" w:type="dxa"/>
            <w:shd w:val="clear" w:color="auto" w:fill="FFFFFF"/>
          </w:tcPr>
          <w:p w14:paraId="325925B8" w14:textId="77777777" w:rsidR="00F83399" w:rsidRPr="00BC236F" w:rsidRDefault="00B0348F" w:rsidP="00EA5690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Brutto: </w:t>
            </w:r>
            <w:r w:rsidR="00EA5690"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3 915 690,48 zł</w:t>
            </w:r>
          </w:p>
          <w:p w14:paraId="7A3D3CAF" w14:textId="50EE3CF8" w:rsidR="00B0348F" w:rsidRPr="00BC236F" w:rsidRDefault="00B0348F" w:rsidP="00EA5690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Netto: </w:t>
            </w:r>
            <w:r w:rsidR="003861E4" w:rsidRPr="00BC236F">
              <w:rPr>
                <w:rFonts w:cs="Arial"/>
                <w:color w:val="000000" w:themeColor="text1"/>
                <w:sz w:val="20"/>
                <w:lang w:val="pl-PL" w:eastAsia="pl-PL"/>
              </w:rPr>
              <w:t>3 915 690,43 zł</w:t>
            </w:r>
          </w:p>
        </w:tc>
      </w:tr>
    </w:tbl>
    <w:p w14:paraId="632F59B0" w14:textId="77777777" w:rsidR="00121B8A" w:rsidRPr="001B6667" w:rsidRDefault="00A44251" w:rsidP="00A04A7E">
      <w:pPr>
        <w:pStyle w:val="Nagwek2"/>
        <w:tabs>
          <w:tab w:val="num" w:pos="1134"/>
        </w:tabs>
        <w:spacing w:before="240"/>
        <w:ind w:left="788" w:hanging="431"/>
        <w:rPr>
          <w:lang w:val="pl-PL" w:eastAsia="pl-PL"/>
        </w:rPr>
      </w:pPr>
      <w:bookmarkStart w:id="7" w:name="_Toc462924069"/>
      <w:r w:rsidRPr="001B6667">
        <w:rPr>
          <w:lang w:val="pl-PL" w:eastAsia="pl-PL"/>
        </w:rPr>
        <w:t>Wykaz poszczególnych pozycji kosztowych</w:t>
      </w:r>
      <w:bookmarkEnd w:id="7"/>
      <w:r w:rsidR="00664C17" w:rsidRPr="001B6667">
        <w:rPr>
          <w:lang w:val="pl-PL" w:eastAsia="pl-PL"/>
        </w:rPr>
        <w:t xml:space="preserve"> </w:t>
      </w:r>
      <w:r w:rsidR="009C7AD9" w:rsidRPr="009C7AD9">
        <w:rPr>
          <w:b w:val="0"/>
          <w:color w:val="7F7F7F" w:themeColor="text1" w:themeTint="80"/>
          <w:sz w:val="20"/>
          <w:szCs w:val="20"/>
          <w:lang w:val="pl-PL" w:eastAsia="pl-PL"/>
        </w:rPr>
        <w:t>&lt;&lt;maksymalnie 2000 znaków&gt;&gt;</w:t>
      </w:r>
    </w:p>
    <w:tbl>
      <w:tblPr>
        <w:tblpPr w:leftFromText="141" w:rightFromText="141" w:vertAnchor="text" w:tblpXSpec="right" w:tblpY="1"/>
        <w:tblOverlap w:val="never"/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8"/>
        <w:gridCol w:w="1701"/>
        <w:gridCol w:w="2410"/>
        <w:gridCol w:w="2409"/>
      </w:tblGrid>
      <w:tr w:rsidR="00214477" w:rsidRPr="00AA190F" w14:paraId="7760EA8C" w14:textId="77777777" w:rsidTr="00D54809">
        <w:trPr>
          <w:trHeight w:val="724"/>
        </w:trPr>
        <w:tc>
          <w:tcPr>
            <w:tcW w:w="4819" w:type="dxa"/>
            <w:gridSpan w:val="2"/>
            <w:shd w:val="clear" w:color="auto" w:fill="D9D9D9" w:themeFill="background1" w:themeFillShade="D9"/>
            <w:vAlign w:val="center"/>
          </w:tcPr>
          <w:p w14:paraId="2A90AE3F" w14:textId="77777777" w:rsidR="00214477" w:rsidRPr="000758B8" w:rsidRDefault="00214477" w:rsidP="003A51DC">
            <w:pPr>
              <w:jc w:val="center"/>
              <w:rPr>
                <w:rFonts w:eastAsia="MS MinNew Roman" w:cs="Arial"/>
                <w:b/>
                <w:bCs/>
                <w:sz w:val="20"/>
                <w:szCs w:val="18"/>
                <w:lang w:val="pl-PL"/>
              </w:rPr>
            </w:pPr>
            <w:bookmarkStart w:id="8" w:name="_Toc462924070"/>
            <w:r w:rsidRPr="000758B8">
              <w:rPr>
                <w:rFonts w:eastAsia="MS MinNew Roman" w:cs="Arial"/>
                <w:b/>
                <w:bCs/>
                <w:sz w:val="20"/>
                <w:szCs w:val="18"/>
                <w:lang w:val="pl-PL"/>
              </w:rPr>
              <w:t>Nazwa pozycji kosztowej:</w:t>
            </w:r>
          </w:p>
          <w:p w14:paraId="0B7983A7" w14:textId="13FC758A" w:rsidR="00214477" w:rsidRPr="000758B8" w:rsidRDefault="00214477" w:rsidP="003A51DC">
            <w:pPr>
              <w:pStyle w:val="Legenda"/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4FBC4C33" w14:textId="50CA20ED" w:rsidR="00214477" w:rsidRPr="000758B8" w:rsidRDefault="00214477" w:rsidP="003A51DC">
            <w:pPr>
              <w:pStyle w:val="Legenda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0758B8">
              <w:rPr>
                <w:rFonts w:ascii="Arial" w:hAnsi="Arial" w:cs="Arial"/>
                <w:sz w:val="20"/>
                <w:szCs w:val="18"/>
              </w:rPr>
              <w:t>Przewidywany koszt brutto:</w:t>
            </w:r>
          </w:p>
          <w:p w14:paraId="05C412A7" w14:textId="5735EBAC" w:rsidR="00214477" w:rsidRPr="000758B8" w:rsidRDefault="00214477" w:rsidP="003A51DC">
            <w:pPr>
              <w:pStyle w:val="Legenda"/>
              <w:rPr>
                <w:rFonts w:ascii="Arial" w:eastAsia="Times New Roman" w:hAnsi="Arial"/>
                <w:b w:val="0"/>
                <w:bCs w:val="0"/>
                <w:kern w:val="0"/>
                <w:sz w:val="20"/>
                <w:szCs w:val="18"/>
              </w:rPr>
            </w:pP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4E0C4724" w14:textId="77777777" w:rsidR="00214477" w:rsidRPr="000758B8" w:rsidRDefault="00214477" w:rsidP="003A51DC">
            <w:pPr>
              <w:pStyle w:val="Legenda"/>
              <w:tabs>
                <w:tab w:val="left" w:pos="585"/>
              </w:tabs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0758B8">
              <w:rPr>
                <w:rFonts w:ascii="Arial" w:hAnsi="Arial" w:cs="Arial"/>
                <w:sz w:val="20"/>
                <w:szCs w:val="18"/>
              </w:rPr>
              <w:t>Uzasadnienie pozycji kosztowej (przeznaczenie):</w:t>
            </w:r>
          </w:p>
          <w:p w14:paraId="48120BF1" w14:textId="4A9F1CB2" w:rsidR="00214477" w:rsidRPr="000758B8" w:rsidRDefault="00214477" w:rsidP="003A51DC">
            <w:pPr>
              <w:pStyle w:val="Legenda"/>
              <w:rPr>
                <w:rFonts w:ascii="Arial" w:eastAsia="Times New Roman" w:hAnsi="Arial"/>
                <w:b w:val="0"/>
                <w:bCs w:val="0"/>
                <w:kern w:val="0"/>
                <w:sz w:val="20"/>
                <w:szCs w:val="18"/>
              </w:rPr>
            </w:pPr>
          </w:p>
        </w:tc>
      </w:tr>
      <w:tr w:rsidR="00214477" w:rsidRPr="00AA190F" w14:paraId="43EC345D" w14:textId="77777777" w:rsidTr="00D54809">
        <w:trPr>
          <w:trHeight w:val="383"/>
        </w:trPr>
        <w:tc>
          <w:tcPr>
            <w:tcW w:w="3118" w:type="dxa"/>
          </w:tcPr>
          <w:p w14:paraId="5C13006F" w14:textId="77777777" w:rsidR="00214477" w:rsidRPr="00DA0E96" w:rsidRDefault="00214477" w:rsidP="003A51DC">
            <w:pPr>
              <w:rPr>
                <w:rFonts w:eastAsia="MS MinNew Roman" w:cs="Arial"/>
                <w:bCs/>
                <w:color w:val="000000" w:themeColor="text1"/>
                <w:sz w:val="20"/>
                <w:szCs w:val="18"/>
                <w:highlight w:val="yellow"/>
                <w:lang w:val="pl-PL"/>
              </w:rPr>
            </w:pPr>
            <w:r w:rsidRPr="00DA0E96">
              <w:rPr>
                <w:rFonts w:eastAsia="MS MinNew Roman" w:cs="Arial"/>
                <w:bCs/>
                <w:color w:val="000000" w:themeColor="text1"/>
                <w:sz w:val="20"/>
                <w:szCs w:val="18"/>
                <w:lang w:val="pl-PL"/>
              </w:rPr>
              <w:t>Oprogramowanie</w:t>
            </w:r>
          </w:p>
        </w:tc>
        <w:tc>
          <w:tcPr>
            <w:tcW w:w="1701" w:type="dxa"/>
          </w:tcPr>
          <w:p w14:paraId="60047AAA" w14:textId="112C4BDC" w:rsidR="00214477" w:rsidRPr="00DA0E96" w:rsidRDefault="008F5EC2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WP3, WP4, WP5</w:t>
            </w:r>
          </w:p>
        </w:tc>
        <w:tc>
          <w:tcPr>
            <w:tcW w:w="2410" w:type="dxa"/>
            <w:shd w:val="clear" w:color="auto" w:fill="FFFFFF"/>
          </w:tcPr>
          <w:p w14:paraId="26E2AB85" w14:textId="77AF139F" w:rsidR="00214477" w:rsidRPr="00DA0E96" w:rsidRDefault="008F5EC2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11 200 000,00 zł</w:t>
            </w:r>
          </w:p>
        </w:tc>
        <w:tc>
          <w:tcPr>
            <w:tcW w:w="2409" w:type="dxa"/>
            <w:shd w:val="clear" w:color="auto" w:fill="FFFFFF"/>
          </w:tcPr>
          <w:p w14:paraId="60DAC609" w14:textId="2F8B3A15" w:rsidR="00214477" w:rsidRPr="00DA0E96" w:rsidRDefault="008F5EC2" w:rsidP="008F5EC2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Inżynieria korpusów danych</w:t>
            </w:r>
            <w:r w:rsidR="00E50A9B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 xml:space="preserve"> obejmująca akwizycję danych, opracowanie ontologii i taksonomii oraz niezbędnego oprogramowania wspomagającego tę akwizycję</w:t>
            </w:r>
            <w:r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 xml:space="preserve">. </w:t>
            </w:r>
            <w:r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br/>
              <w:t xml:space="preserve">Opracowanie </w:t>
            </w:r>
            <w:r w:rsidRPr="008F5EC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Silnik AI – Moduł Doradczo-Ekspercki</w:t>
            </w:r>
            <w:r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 xml:space="preserve"> oraz </w:t>
            </w:r>
            <w:r w:rsidRPr="008F5EC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Silnik AI – Moduł Wspierająco-Korygujący</w:t>
            </w:r>
          </w:p>
        </w:tc>
      </w:tr>
      <w:tr w:rsidR="00214477" w:rsidRPr="00AA190F" w14:paraId="72FB36C0" w14:textId="77777777" w:rsidTr="00D54809">
        <w:trPr>
          <w:trHeight w:val="432"/>
        </w:trPr>
        <w:tc>
          <w:tcPr>
            <w:tcW w:w="3118" w:type="dxa"/>
          </w:tcPr>
          <w:p w14:paraId="57A1BF9B" w14:textId="77777777" w:rsidR="00214477" w:rsidRPr="00DA0E96" w:rsidDel="00CC0813" w:rsidRDefault="00214477" w:rsidP="003A51DC">
            <w:pPr>
              <w:rPr>
                <w:rFonts w:cs="Arial"/>
                <w:color w:val="000000" w:themeColor="text1"/>
                <w:sz w:val="20"/>
                <w:szCs w:val="18"/>
                <w:highlight w:val="yellow"/>
                <w:lang w:val="pl-PL" w:eastAsia="pl-PL"/>
              </w:rPr>
            </w:pPr>
            <w:r w:rsidRPr="00DA0E96">
              <w:rPr>
                <w:rFonts w:cs="Arial"/>
                <w:color w:val="000000" w:themeColor="text1"/>
                <w:sz w:val="20"/>
                <w:szCs w:val="18"/>
                <w:lang w:val="pl-PL" w:eastAsia="pl-PL"/>
              </w:rPr>
              <w:t>Infrastruktura</w:t>
            </w:r>
          </w:p>
        </w:tc>
        <w:tc>
          <w:tcPr>
            <w:tcW w:w="1701" w:type="dxa"/>
          </w:tcPr>
          <w:p w14:paraId="734085C1" w14:textId="1A6C626C" w:rsidR="00214477" w:rsidRPr="00DA0E96" w:rsidDel="00CC0813" w:rsidRDefault="00EA5690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WP2</w:t>
            </w:r>
          </w:p>
        </w:tc>
        <w:tc>
          <w:tcPr>
            <w:tcW w:w="2410" w:type="dxa"/>
            <w:shd w:val="clear" w:color="auto" w:fill="FFFFFF"/>
          </w:tcPr>
          <w:p w14:paraId="0D584543" w14:textId="113997C7" w:rsidR="00214477" w:rsidRPr="00DA0E96" w:rsidDel="00CC0813" w:rsidRDefault="00EA5690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5 000 000,00 zł</w:t>
            </w:r>
          </w:p>
        </w:tc>
        <w:tc>
          <w:tcPr>
            <w:tcW w:w="2409" w:type="dxa"/>
            <w:shd w:val="clear" w:color="auto" w:fill="FFFFFF"/>
          </w:tcPr>
          <w:p w14:paraId="0E65D078" w14:textId="4ED85448" w:rsidR="00214477" w:rsidRPr="00DA0E96" w:rsidDel="00CC0813" w:rsidRDefault="00EA5690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 w:rsidRPr="00EA569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 xml:space="preserve">Zakup dedykowanych serwerów HPC z </w:t>
            </w:r>
            <w:r w:rsidRPr="00EA569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lastRenderedPageBreak/>
              <w:t xml:space="preserve">procesorami graficznymi (GPU klasy NVIDIA H100/A100/L40S), macierzy </w:t>
            </w:r>
            <w:proofErr w:type="spellStart"/>
            <w:r w:rsidRPr="00EA569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NVMe</w:t>
            </w:r>
            <w:proofErr w:type="spellEnd"/>
            <w:r w:rsidRPr="00EA569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 xml:space="preserve">, szaf </w:t>
            </w:r>
            <w:proofErr w:type="spellStart"/>
            <w:r w:rsidRPr="00EA569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rack</w:t>
            </w:r>
            <w:proofErr w:type="spellEnd"/>
            <w:r w:rsidRPr="00EA569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, systemów UPS oraz fizycznych barier sieciowych.</w:t>
            </w:r>
          </w:p>
        </w:tc>
      </w:tr>
      <w:tr w:rsidR="00E40C7B" w:rsidRPr="00AA190F" w14:paraId="6177DE41" w14:textId="77777777" w:rsidTr="00D54809">
        <w:trPr>
          <w:trHeight w:val="395"/>
        </w:trPr>
        <w:tc>
          <w:tcPr>
            <w:tcW w:w="3118" w:type="dxa"/>
          </w:tcPr>
          <w:p w14:paraId="2A705591" w14:textId="77777777" w:rsidR="00E40C7B" w:rsidRPr="00DA0E96" w:rsidDel="00CC0813" w:rsidRDefault="00E40C7B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20"/>
                <w:szCs w:val="18"/>
                <w:highlight w:val="yellow"/>
                <w:lang w:eastAsia="pl-PL"/>
              </w:rPr>
            </w:pPr>
            <w:r w:rsidRPr="00DA0E96">
              <w:rPr>
                <w:rFonts w:ascii="Arial" w:hAnsi="Arial" w:cs="Arial"/>
                <w:b w:val="0"/>
                <w:color w:val="000000" w:themeColor="text1"/>
                <w:sz w:val="20"/>
                <w:szCs w:val="18"/>
                <w:lang w:eastAsia="pl-PL"/>
              </w:rPr>
              <w:lastRenderedPageBreak/>
              <w:t>Koszty UX i grafiki</w:t>
            </w:r>
          </w:p>
        </w:tc>
        <w:tc>
          <w:tcPr>
            <w:tcW w:w="1701" w:type="dxa"/>
          </w:tcPr>
          <w:p w14:paraId="328F7238" w14:textId="21CCFB62" w:rsidR="00E40C7B" w:rsidRPr="00DA0E96" w:rsidDel="00CC0813" w:rsidRDefault="00E40C7B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shd w:val="clear" w:color="auto" w:fill="FFFFFF"/>
          </w:tcPr>
          <w:p w14:paraId="441DA051" w14:textId="44B5E70D" w:rsidR="00E40C7B" w:rsidRPr="00DA0E96" w:rsidDel="00CC0813" w:rsidRDefault="00285104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2409" w:type="dxa"/>
            <w:shd w:val="clear" w:color="auto" w:fill="FFFFFF"/>
          </w:tcPr>
          <w:p w14:paraId="3F9C1253" w14:textId="6132F54B" w:rsidR="003A51DC" w:rsidRPr="00DA0E96" w:rsidDel="00CC0813" w:rsidRDefault="00285104" w:rsidP="003A51DC">
            <w:pPr>
              <w:rPr>
                <w:rFonts w:cs="Arial"/>
                <w:bCs/>
                <w:color w:val="000000" w:themeColor="text1"/>
                <w:sz w:val="18"/>
                <w:szCs w:val="18"/>
                <w:lang w:val="pl-PL" w:eastAsia="pl-PL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  <w:lang w:val="pl-PL" w:eastAsia="pl-PL"/>
              </w:rPr>
              <w:t>UX są integralną częścią prac wdrożeniowych i programistycznych WP4, WP5, WP6</w:t>
            </w:r>
          </w:p>
        </w:tc>
      </w:tr>
      <w:tr w:rsidR="003A51DC" w:rsidRPr="00AA190F" w14:paraId="56811D94" w14:textId="77777777" w:rsidTr="00D54809">
        <w:trPr>
          <w:trHeight w:val="395"/>
        </w:trPr>
        <w:tc>
          <w:tcPr>
            <w:tcW w:w="3118" w:type="dxa"/>
          </w:tcPr>
          <w:p w14:paraId="0AEE3900" w14:textId="226657DD" w:rsidR="003A51DC" w:rsidRPr="00DA0E96" w:rsidRDefault="003A51DC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20"/>
                <w:szCs w:val="18"/>
                <w:lang w:eastAsia="pl-PL"/>
              </w:rPr>
            </w:pPr>
            <w:r w:rsidRPr="00DA0E96">
              <w:rPr>
                <w:rFonts w:ascii="Arial" w:hAnsi="Arial" w:cs="Arial"/>
                <w:b w:val="0"/>
                <w:color w:val="000000" w:themeColor="text1"/>
                <w:sz w:val="20"/>
                <w:szCs w:val="18"/>
                <w:lang w:eastAsia="pl-PL"/>
              </w:rPr>
              <w:t>Bezpieczeństwo</w:t>
            </w:r>
          </w:p>
        </w:tc>
        <w:tc>
          <w:tcPr>
            <w:tcW w:w="1701" w:type="dxa"/>
          </w:tcPr>
          <w:p w14:paraId="700D713D" w14:textId="129DFA7F" w:rsidR="003A51DC" w:rsidRPr="00DA0E96" w:rsidDel="00CC0813" w:rsidRDefault="00EA5690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WP1</w:t>
            </w:r>
          </w:p>
        </w:tc>
        <w:tc>
          <w:tcPr>
            <w:tcW w:w="2410" w:type="dxa"/>
            <w:shd w:val="clear" w:color="auto" w:fill="FFFFFF"/>
          </w:tcPr>
          <w:p w14:paraId="4EBE32DC" w14:textId="56E8621C" w:rsidR="003A51DC" w:rsidRPr="00DA0E96" w:rsidDel="00CC0813" w:rsidRDefault="00EA5690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2 000 000,00 zł</w:t>
            </w:r>
          </w:p>
        </w:tc>
        <w:tc>
          <w:tcPr>
            <w:tcW w:w="2409" w:type="dxa"/>
            <w:shd w:val="clear" w:color="auto" w:fill="FFFFFF"/>
          </w:tcPr>
          <w:p w14:paraId="71B20BF1" w14:textId="611377E9" w:rsidR="003A51DC" w:rsidRPr="00DA0E96" w:rsidDel="00CC0813" w:rsidRDefault="00EA5690" w:rsidP="003A51DC">
            <w:pPr>
              <w:rPr>
                <w:rFonts w:cs="Arial"/>
                <w:bCs/>
                <w:color w:val="000000" w:themeColor="text1"/>
                <w:sz w:val="18"/>
                <w:szCs w:val="18"/>
                <w:lang w:val="pl-PL" w:eastAsia="pl-PL"/>
              </w:rPr>
            </w:pPr>
            <w:proofErr w:type="spellStart"/>
            <w:r w:rsidRPr="00EA5690">
              <w:rPr>
                <w:rFonts w:cs="Arial"/>
                <w:bCs/>
                <w:color w:val="000000" w:themeColor="text1"/>
                <w:sz w:val="18"/>
                <w:szCs w:val="18"/>
                <w:lang w:val="pl-PL" w:eastAsia="pl-PL"/>
              </w:rPr>
              <w:t>Cyberbezpieczeństwo</w:t>
            </w:r>
            <w:proofErr w:type="spellEnd"/>
            <w:r w:rsidRPr="00EA5690">
              <w:rPr>
                <w:rFonts w:cs="Arial"/>
                <w:bCs/>
                <w:color w:val="000000" w:themeColor="text1"/>
                <w:sz w:val="18"/>
                <w:szCs w:val="18"/>
                <w:lang w:val="pl-PL" w:eastAsia="pl-PL"/>
              </w:rPr>
              <w:t>, audyt technologiczny i certyfikacja zgodności systemów AI.</w:t>
            </w:r>
          </w:p>
        </w:tc>
      </w:tr>
      <w:tr w:rsidR="003A51DC" w:rsidRPr="00AA190F" w14:paraId="2E0ED5EA" w14:textId="77777777" w:rsidTr="00D54809">
        <w:trPr>
          <w:trHeight w:val="395"/>
        </w:trPr>
        <w:tc>
          <w:tcPr>
            <w:tcW w:w="3118" w:type="dxa"/>
          </w:tcPr>
          <w:p w14:paraId="3D4C0850" w14:textId="362FE5BE" w:rsidR="003A51DC" w:rsidRPr="00DA0E96" w:rsidRDefault="001B017E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20"/>
                <w:szCs w:val="18"/>
                <w:lang w:eastAsia="pl-PL"/>
              </w:rPr>
            </w:pPr>
            <w:proofErr w:type="spellStart"/>
            <w:r w:rsidRPr="001B017E">
              <w:rPr>
                <w:rFonts w:ascii="Arial" w:hAnsi="Arial" w:cs="Arial"/>
                <w:b w:val="0"/>
                <w:color w:val="000000" w:themeColor="text1"/>
                <w:sz w:val="20"/>
                <w:szCs w:val="18"/>
                <w:lang w:val="en-US" w:eastAsia="pl-PL"/>
              </w:rPr>
              <w:t>Audyt</w:t>
            </w:r>
            <w:proofErr w:type="spellEnd"/>
            <w:r w:rsidRPr="001B017E">
              <w:rPr>
                <w:rFonts w:ascii="Arial" w:hAnsi="Arial" w:cs="Arial"/>
                <w:b w:val="0"/>
                <w:color w:val="000000" w:themeColor="text1"/>
                <w:sz w:val="20"/>
                <w:szCs w:val="18"/>
                <w:lang w:val="en-US" w:eastAsia="pl-PL"/>
              </w:rPr>
              <w:t xml:space="preserve">, </w:t>
            </w:r>
            <w:proofErr w:type="spellStart"/>
            <w:r>
              <w:rPr>
                <w:rFonts w:ascii="Arial" w:hAnsi="Arial" w:cs="Arial"/>
                <w:b w:val="0"/>
                <w:color w:val="000000" w:themeColor="text1"/>
                <w:sz w:val="20"/>
                <w:szCs w:val="18"/>
                <w:lang w:val="en-US" w:eastAsia="pl-PL"/>
              </w:rPr>
              <w:t>p</w:t>
            </w:r>
            <w:r w:rsidRPr="001B017E">
              <w:rPr>
                <w:rFonts w:ascii="Arial" w:hAnsi="Arial" w:cs="Arial"/>
                <w:b w:val="0"/>
                <w:color w:val="000000" w:themeColor="text1"/>
                <w:sz w:val="20"/>
                <w:szCs w:val="18"/>
                <w:lang w:val="en-US" w:eastAsia="pl-PL"/>
              </w:rPr>
              <w:t>ilotaż</w:t>
            </w:r>
            <w:proofErr w:type="spellEnd"/>
            <w:r w:rsidRPr="001B017E">
              <w:rPr>
                <w:rFonts w:ascii="Arial" w:hAnsi="Arial" w:cs="Arial"/>
                <w:b w:val="0"/>
                <w:color w:val="000000" w:themeColor="text1"/>
                <w:sz w:val="20"/>
                <w:szCs w:val="18"/>
                <w:lang w:val="en-US" w:eastAsia="pl-PL"/>
              </w:rPr>
              <w:t xml:space="preserve"> </w:t>
            </w:r>
            <w:proofErr w:type="spellStart"/>
            <w:r w:rsidRPr="001B017E">
              <w:rPr>
                <w:rFonts w:ascii="Arial" w:hAnsi="Arial" w:cs="Arial"/>
                <w:b w:val="0"/>
                <w:color w:val="000000" w:themeColor="text1"/>
                <w:sz w:val="20"/>
                <w:szCs w:val="18"/>
                <w:lang w:val="en-US" w:eastAsia="pl-PL"/>
              </w:rPr>
              <w:t>i</w:t>
            </w:r>
            <w:proofErr w:type="spellEnd"/>
            <w:r w:rsidRPr="001B017E">
              <w:rPr>
                <w:rFonts w:ascii="Arial" w:hAnsi="Arial" w:cs="Arial"/>
                <w:b w:val="0"/>
                <w:color w:val="000000" w:themeColor="text1"/>
                <w:sz w:val="20"/>
                <w:szCs w:val="18"/>
                <w:lang w:val="en-US"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color w:val="000000" w:themeColor="text1"/>
                <w:sz w:val="20"/>
                <w:szCs w:val="18"/>
                <w:lang w:val="en-US" w:eastAsia="pl-PL"/>
              </w:rPr>
              <w:t>w</w:t>
            </w:r>
            <w:r w:rsidRPr="001B017E">
              <w:rPr>
                <w:rFonts w:ascii="Arial" w:hAnsi="Arial" w:cs="Arial"/>
                <w:b w:val="0"/>
                <w:color w:val="000000" w:themeColor="text1"/>
                <w:sz w:val="20"/>
                <w:szCs w:val="18"/>
                <w:lang w:val="en-US" w:eastAsia="pl-PL"/>
              </w:rPr>
              <w:t>drożenie</w:t>
            </w:r>
            <w:proofErr w:type="spellEnd"/>
          </w:p>
        </w:tc>
        <w:tc>
          <w:tcPr>
            <w:tcW w:w="1701" w:type="dxa"/>
          </w:tcPr>
          <w:p w14:paraId="28E7BABF" w14:textId="712DF374" w:rsidR="003A51DC" w:rsidRPr="00DA0E96" w:rsidDel="00CC0813" w:rsidRDefault="008F5EC2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WP6</w:t>
            </w:r>
          </w:p>
        </w:tc>
        <w:tc>
          <w:tcPr>
            <w:tcW w:w="2410" w:type="dxa"/>
            <w:shd w:val="clear" w:color="auto" w:fill="FFFFFF"/>
          </w:tcPr>
          <w:p w14:paraId="5CF3ECBA" w14:textId="5417E04A" w:rsidR="003A51DC" w:rsidRPr="00DA0E96" w:rsidDel="00CC0813" w:rsidRDefault="008F5EC2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1 500 000,00</w:t>
            </w:r>
          </w:p>
        </w:tc>
        <w:tc>
          <w:tcPr>
            <w:tcW w:w="2409" w:type="dxa"/>
            <w:shd w:val="clear" w:color="auto" w:fill="FFFFFF"/>
          </w:tcPr>
          <w:p w14:paraId="14CD9661" w14:textId="2E848A32" w:rsidR="003A51DC" w:rsidRPr="00DA0E96" w:rsidDel="00CC0813" w:rsidRDefault="008F5EC2" w:rsidP="003A51DC">
            <w:pPr>
              <w:rPr>
                <w:rFonts w:cs="Arial"/>
                <w:bCs/>
                <w:color w:val="000000" w:themeColor="text1"/>
                <w:sz w:val="18"/>
                <w:szCs w:val="18"/>
                <w:lang w:val="pl-PL" w:eastAsia="pl-PL"/>
              </w:rPr>
            </w:pPr>
            <w:r w:rsidRPr="008F5EC2">
              <w:rPr>
                <w:rFonts w:cs="Arial"/>
                <w:bCs/>
                <w:color w:val="000000" w:themeColor="text1"/>
                <w:sz w:val="18"/>
                <w:szCs w:val="18"/>
                <w:lang w:val="pl-PL" w:eastAsia="pl-PL"/>
              </w:rPr>
              <w:t>Testy, audyt bezpieczeństwa i wdrożenie pilotażowe</w:t>
            </w:r>
            <w:r>
              <w:rPr>
                <w:rFonts w:cs="Arial"/>
                <w:bCs/>
                <w:color w:val="000000" w:themeColor="text1"/>
                <w:sz w:val="18"/>
                <w:szCs w:val="18"/>
                <w:lang w:val="pl-PL" w:eastAsia="pl-PL"/>
              </w:rPr>
              <w:t>.</w:t>
            </w:r>
          </w:p>
        </w:tc>
      </w:tr>
      <w:tr w:rsidR="00214477" w:rsidRPr="00AA190F" w14:paraId="02E65CA2" w14:textId="77777777" w:rsidTr="00D54809">
        <w:trPr>
          <w:trHeight w:val="413"/>
        </w:trPr>
        <w:tc>
          <w:tcPr>
            <w:tcW w:w="3118" w:type="dxa"/>
          </w:tcPr>
          <w:p w14:paraId="7B36C1A0" w14:textId="77777777" w:rsidR="00214477" w:rsidRPr="00DA0E96" w:rsidRDefault="00214477" w:rsidP="003A51DC">
            <w:pPr>
              <w:rPr>
                <w:rFonts w:cs="Arial"/>
                <w:color w:val="000000" w:themeColor="text1"/>
                <w:sz w:val="20"/>
                <w:szCs w:val="18"/>
                <w:lang w:val="pl-PL" w:eastAsia="pl-PL"/>
              </w:rPr>
            </w:pPr>
            <w:r w:rsidRPr="00DA0E96">
              <w:rPr>
                <w:rFonts w:cs="Arial"/>
                <w:color w:val="000000" w:themeColor="text1"/>
                <w:sz w:val="20"/>
                <w:szCs w:val="18"/>
                <w:lang w:val="pl-PL" w:eastAsia="pl-PL"/>
              </w:rPr>
              <w:t>Szkolenia</w:t>
            </w:r>
          </w:p>
        </w:tc>
        <w:tc>
          <w:tcPr>
            <w:tcW w:w="1701" w:type="dxa"/>
          </w:tcPr>
          <w:p w14:paraId="7EAF0A36" w14:textId="77777777" w:rsidR="00214477" w:rsidRPr="00DA0E96" w:rsidDel="00CC0813" w:rsidRDefault="00214477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shd w:val="clear" w:color="auto" w:fill="FFFFFF"/>
          </w:tcPr>
          <w:p w14:paraId="1C27B9D2" w14:textId="2E84F227" w:rsidR="00214477" w:rsidRPr="00DA0E96" w:rsidDel="00CC0813" w:rsidRDefault="00285104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2409" w:type="dxa"/>
            <w:shd w:val="clear" w:color="auto" w:fill="FFFFFF"/>
          </w:tcPr>
          <w:p w14:paraId="3B107F09" w14:textId="4B2EE322" w:rsidR="00214477" w:rsidRPr="00DA0E96" w:rsidDel="00CC0813" w:rsidRDefault="00285104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Szkolenia są integralną częścią prac projektowych i wdrożeniowych WP3, WP4, WP5 i WP6</w:t>
            </w:r>
          </w:p>
        </w:tc>
      </w:tr>
      <w:tr w:rsidR="00214477" w:rsidRPr="00AA190F" w14:paraId="3015B5F7" w14:textId="77777777" w:rsidTr="00D54809">
        <w:trPr>
          <w:trHeight w:val="419"/>
        </w:trPr>
        <w:tc>
          <w:tcPr>
            <w:tcW w:w="3118" w:type="dxa"/>
          </w:tcPr>
          <w:p w14:paraId="5A7C5697" w14:textId="77777777" w:rsidR="00214477" w:rsidRPr="00DA0E96" w:rsidRDefault="00214477" w:rsidP="003A51DC">
            <w:pPr>
              <w:rPr>
                <w:rFonts w:cs="Arial"/>
                <w:color w:val="000000" w:themeColor="text1"/>
                <w:sz w:val="20"/>
                <w:szCs w:val="18"/>
                <w:lang w:val="pl-PL" w:eastAsia="pl-PL"/>
              </w:rPr>
            </w:pPr>
            <w:r w:rsidRPr="00DA0E96">
              <w:rPr>
                <w:rFonts w:cs="Arial"/>
                <w:color w:val="000000" w:themeColor="text1"/>
                <w:sz w:val="20"/>
                <w:szCs w:val="18"/>
                <w:lang w:val="pl-PL" w:eastAsia="pl-PL"/>
              </w:rPr>
              <w:t>Działania informacyjno-promocyjne</w:t>
            </w:r>
          </w:p>
        </w:tc>
        <w:tc>
          <w:tcPr>
            <w:tcW w:w="1701" w:type="dxa"/>
          </w:tcPr>
          <w:p w14:paraId="6F12D158" w14:textId="77777777" w:rsidR="00214477" w:rsidRPr="00DA0E96" w:rsidDel="00CC0813" w:rsidRDefault="00214477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shd w:val="clear" w:color="auto" w:fill="FFFFFF"/>
          </w:tcPr>
          <w:p w14:paraId="3FF622CB" w14:textId="5FCBC08F" w:rsidR="00214477" w:rsidRPr="00DA0E96" w:rsidDel="00CC0813" w:rsidRDefault="00285104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2409" w:type="dxa"/>
            <w:shd w:val="clear" w:color="auto" w:fill="FFFFFF"/>
          </w:tcPr>
          <w:p w14:paraId="60A1891B" w14:textId="03DB3EE2" w:rsidR="00214477" w:rsidRPr="00DA0E96" w:rsidDel="00CC0813" w:rsidRDefault="00285104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Działania informacyjno-promocyjne są integralną częścią prac wdrożeniowych WP6</w:t>
            </w:r>
            <w:r w:rsidR="0022517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. W</w:t>
            </w:r>
            <w:r w:rsidR="00225170" w:rsidRPr="0022517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ydatki związane z realizacją wymogów OSM</w:t>
            </w:r>
            <w:r w:rsidR="0022517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 xml:space="preserve"> (</w:t>
            </w:r>
            <w:r w:rsidR="00225170" w:rsidRPr="0022517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Operacji o Znaczeniu Strategicznym</w:t>
            </w:r>
            <w:r w:rsidR="0022517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 xml:space="preserve">) </w:t>
            </w:r>
            <w:r w:rsidR="00225170" w:rsidRPr="0022517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zostaną w całości pokryte z ryczałtu zarządzania</w:t>
            </w:r>
            <w:r w:rsidR="0022517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</w:tr>
      <w:tr w:rsidR="00214477" w:rsidRPr="00AA190F" w14:paraId="21E24F8F" w14:textId="77777777" w:rsidTr="00D54809">
        <w:trPr>
          <w:trHeight w:val="724"/>
        </w:trPr>
        <w:tc>
          <w:tcPr>
            <w:tcW w:w="3118" w:type="dxa"/>
          </w:tcPr>
          <w:p w14:paraId="4BF28073" w14:textId="77777777" w:rsidR="00214477" w:rsidRPr="00DA0E96" w:rsidRDefault="00214477" w:rsidP="003A51DC">
            <w:pPr>
              <w:rPr>
                <w:rFonts w:cs="Arial"/>
                <w:color w:val="000000" w:themeColor="text1"/>
                <w:sz w:val="20"/>
                <w:szCs w:val="18"/>
                <w:lang w:val="pl-PL" w:eastAsia="pl-PL"/>
              </w:rPr>
            </w:pPr>
            <w:r w:rsidRPr="00DA0E96">
              <w:rPr>
                <w:rFonts w:cs="Arial"/>
                <w:color w:val="000000" w:themeColor="text1"/>
                <w:sz w:val="20"/>
                <w:szCs w:val="18"/>
                <w:lang w:val="pl-PL" w:eastAsia="pl-PL"/>
              </w:rPr>
              <w:t>Koszty zarządzania i wsparcia (w tym wynagrodzenia personelu wspomagającego)</w:t>
            </w:r>
          </w:p>
        </w:tc>
        <w:tc>
          <w:tcPr>
            <w:tcW w:w="1701" w:type="dxa"/>
          </w:tcPr>
          <w:p w14:paraId="31368CB3" w14:textId="77777777" w:rsidR="00214477" w:rsidRPr="00DA0E96" w:rsidDel="00CC0813" w:rsidRDefault="00214477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shd w:val="clear" w:color="auto" w:fill="FFFFFF"/>
          </w:tcPr>
          <w:p w14:paraId="14C08F77" w14:textId="3686A6E2" w:rsidR="00214477" w:rsidRPr="00DA0E96" w:rsidDel="00CC0813" w:rsidRDefault="008F5EC2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1 379 000,00 zł</w:t>
            </w:r>
          </w:p>
        </w:tc>
        <w:tc>
          <w:tcPr>
            <w:tcW w:w="2409" w:type="dxa"/>
            <w:shd w:val="clear" w:color="auto" w:fill="FFFFFF"/>
          </w:tcPr>
          <w:p w14:paraId="3A4C72F1" w14:textId="47F58B5A" w:rsidR="00214477" w:rsidRPr="008A3BD8" w:rsidDel="00CC0813" w:rsidRDefault="008F5EC2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 w:rsidRPr="008A3BD8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Niezbędne wsparcie administracyjne projektu</w:t>
            </w:r>
            <w:r w:rsidR="002104E2" w:rsidRPr="008A3BD8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 xml:space="preserve"> (stawka ryczałtowa 7% kwalifikowanych kosztów bezpośrednich)</w:t>
            </w:r>
          </w:p>
        </w:tc>
      </w:tr>
    </w:tbl>
    <w:p w14:paraId="2A9F666A" w14:textId="2A20AB17" w:rsidR="00972003" w:rsidRPr="001B6667" w:rsidRDefault="00A44251" w:rsidP="00A04A7E">
      <w:pPr>
        <w:pStyle w:val="Nagwek2"/>
        <w:tabs>
          <w:tab w:val="num" w:pos="1134"/>
        </w:tabs>
        <w:spacing w:before="240"/>
        <w:ind w:left="788" w:hanging="431"/>
        <w:jc w:val="both"/>
        <w:rPr>
          <w:lang w:val="pl-PL" w:eastAsia="pl-PL"/>
        </w:rPr>
      </w:pPr>
      <w:r w:rsidRPr="001B6667">
        <w:rPr>
          <w:lang w:val="pl-PL" w:eastAsia="pl-PL"/>
        </w:rPr>
        <w:t>Koszty ogólne utrzymania wraz ze sposobem finansowania (okres 5 lat)</w:t>
      </w:r>
      <w:bookmarkEnd w:id="8"/>
    </w:p>
    <w:tbl>
      <w:tblPr>
        <w:tblW w:w="963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850"/>
        <w:gridCol w:w="4111"/>
        <w:gridCol w:w="2410"/>
      </w:tblGrid>
      <w:tr w:rsidR="00404A35" w:rsidRPr="001B6667" w14:paraId="5F845107" w14:textId="77777777" w:rsidTr="001318C7">
        <w:trPr>
          <w:trHeight w:val="392"/>
        </w:trPr>
        <w:tc>
          <w:tcPr>
            <w:tcW w:w="2268" w:type="dxa"/>
            <w:shd w:val="clear" w:color="auto" w:fill="E7E6E6"/>
          </w:tcPr>
          <w:p w14:paraId="4028B24C" w14:textId="61471D1A" w:rsidR="00404A35" w:rsidRPr="001B6667" w:rsidRDefault="00404A35" w:rsidP="00F65649">
            <w:pPr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</w:pPr>
            <w:r w:rsidRPr="001B6667"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  <w:t xml:space="preserve">Całkowity koszt utrzymania trwałości </w:t>
            </w:r>
            <w:r w:rsidR="00A01325" w:rsidRPr="00A01325"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  <w:t>przedsięwzięcia</w:t>
            </w:r>
            <w:r w:rsidRPr="001B6667"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  <w:t xml:space="preserve"> (</w:t>
            </w:r>
            <w:r w:rsidR="00E21BF1" w:rsidRPr="001B6667"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  <w:t>brutto</w:t>
            </w:r>
            <w:r w:rsidRPr="001B6667"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  <w:t>)</w:t>
            </w:r>
          </w:p>
        </w:tc>
        <w:tc>
          <w:tcPr>
            <w:tcW w:w="4961" w:type="dxa"/>
            <w:gridSpan w:val="2"/>
            <w:shd w:val="clear" w:color="auto" w:fill="FFFFFF"/>
          </w:tcPr>
          <w:p w14:paraId="744CEA85" w14:textId="1E905C8E" w:rsidR="00404A35" w:rsidRPr="008A3BD8" w:rsidRDefault="00B0348F" w:rsidP="001B6667">
            <w:pPr>
              <w:rPr>
                <w:rFonts w:eastAsia="MS MinNew Roman" w:cs="Arial"/>
                <w:color w:val="000000" w:themeColor="text1"/>
                <w:sz w:val="20"/>
                <w:lang w:val="pl-PL"/>
              </w:rPr>
            </w:pP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Brutto: </w:t>
            </w:r>
            <w:r w:rsidR="003D1ACC"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>600 000,00 zł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45CDD326" w14:textId="77777777" w:rsidR="00404A35" w:rsidRPr="008A3BD8" w:rsidRDefault="0079184B" w:rsidP="001B6667">
            <w:pPr>
              <w:jc w:val="center"/>
              <w:rPr>
                <w:rFonts w:eastAsia="MS MinNew Roman" w:cs="Arial"/>
                <w:b/>
                <w:bCs/>
                <w:color w:val="000000" w:themeColor="text1"/>
                <w:sz w:val="20"/>
                <w:lang w:val="pl-PL"/>
              </w:rPr>
            </w:pPr>
            <w:r w:rsidRPr="008A3BD8">
              <w:rPr>
                <w:rFonts w:eastAsia="MS MinNew Roman" w:cs="Arial"/>
                <w:b/>
                <w:bCs/>
                <w:color w:val="000000" w:themeColor="text1"/>
                <w:sz w:val="20"/>
                <w:lang w:val="pl-PL"/>
              </w:rPr>
              <w:t>Źródło</w:t>
            </w:r>
            <w:r w:rsidR="00404A35" w:rsidRPr="008A3BD8">
              <w:rPr>
                <w:rFonts w:eastAsia="MS MinNew Roman" w:cs="Arial"/>
                <w:b/>
                <w:bCs/>
                <w:color w:val="000000" w:themeColor="text1"/>
                <w:sz w:val="20"/>
                <w:lang w:val="pl-PL"/>
              </w:rPr>
              <w:t xml:space="preserve"> finansowania</w:t>
            </w:r>
          </w:p>
          <w:p w14:paraId="042A22C3" w14:textId="77777777" w:rsidR="0078552C" w:rsidRPr="008A3BD8" w:rsidRDefault="0078552C" w:rsidP="001B6667">
            <w:pPr>
              <w:jc w:val="center"/>
              <w:rPr>
                <w:rFonts w:cs="Arial"/>
                <w:b/>
                <w:color w:val="000000" w:themeColor="text1"/>
                <w:sz w:val="20"/>
                <w:lang w:val="pl-PL" w:eastAsia="pl-PL"/>
              </w:rPr>
            </w:pPr>
          </w:p>
        </w:tc>
      </w:tr>
      <w:tr w:rsidR="00404A35" w:rsidRPr="00AA190F" w14:paraId="789CB274" w14:textId="77777777" w:rsidTr="001318C7">
        <w:trPr>
          <w:trHeight w:val="82"/>
        </w:trPr>
        <w:tc>
          <w:tcPr>
            <w:tcW w:w="2268" w:type="dxa"/>
            <w:vMerge w:val="restart"/>
            <w:shd w:val="clear" w:color="auto" w:fill="E7E6E6"/>
          </w:tcPr>
          <w:p w14:paraId="7225709A" w14:textId="00345B52" w:rsidR="00404A35" w:rsidRPr="001B6667" w:rsidRDefault="00BD45C1" w:rsidP="00F65649">
            <w:pPr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</w:pPr>
            <w:r w:rsidRPr="001B6667"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  <w:t xml:space="preserve">Podział całkowitego kosztu utrzymania trwałości </w:t>
            </w:r>
            <w:r w:rsidR="00A01325" w:rsidRPr="00A01325"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  <w:t>przedsięwzięcia</w:t>
            </w:r>
            <w:r w:rsidRPr="001B6667"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  <w:t xml:space="preserve"> na poszczególna lata (netto oraz brutto)</w:t>
            </w:r>
          </w:p>
        </w:tc>
        <w:tc>
          <w:tcPr>
            <w:tcW w:w="850" w:type="dxa"/>
            <w:shd w:val="clear" w:color="auto" w:fill="FFFFFF"/>
          </w:tcPr>
          <w:p w14:paraId="215DB5D7" w14:textId="2F2B5015" w:rsidR="00404A35" w:rsidRPr="008A3BD8" w:rsidRDefault="003D1ACC" w:rsidP="001B6667">
            <w:pPr>
              <w:pStyle w:val="Legenda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A3BD8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404A35" w:rsidRPr="008A3BD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rok</w:t>
            </w:r>
          </w:p>
        </w:tc>
        <w:tc>
          <w:tcPr>
            <w:tcW w:w="4111" w:type="dxa"/>
            <w:shd w:val="clear" w:color="auto" w:fill="FFFFFF"/>
          </w:tcPr>
          <w:p w14:paraId="7DD642FD" w14:textId="77777777" w:rsidR="00B0348F" w:rsidRPr="008A3BD8" w:rsidRDefault="00B0348F" w:rsidP="001B6667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Brutto: </w:t>
            </w:r>
            <w:r w:rsidR="003D1ACC"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>120 000,00 zł</w:t>
            </w:r>
          </w:p>
          <w:p w14:paraId="3DA20C4C" w14:textId="3C86EC97" w:rsidR="00B0348F" w:rsidRPr="008A3BD8" w:rsidRDefault="00B0348F" w:rsidP="001B6667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Netto: </w:t>
            </w:r>
            <w:r w:rsidR="008A3BD8">
              <w:rPr>
                <w:rFonts w:cs="Arial"/>
                <w:color w:val="000000" w:themeColor="text1"/>
                <w:sz w:val="20"/>
                <w:lang w:val="pl-PL" w:eastAsia="pl-PL"/>
              </w:rPr>
              <w:t>97 560,97 zł</w:t>
            </w:r>
          </w:p>
          <w:p w14:paraId="2315B02E" w14:textId="08BAB59F" w:rsidR="00404A35" w:rsidRPr="008A3BD8" w:rsidRDefault="003D1ACC" w:rsidP="001B6667">
            <w:pPr>
              <w:rPr>
                <w:rFonts w:cs="Arial"/>
                <w:b/>
                <w:i/>
                <w:color w:val="000000" w:themeColor="text1"/>
                <w:sz w:val="20"/>
                <w:lang w:val="pl-PL"/>
              </w:rPr>
            </w:pP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>2030 r.</w:t>
            </w:r>
          </w:p>
        </w:tc>
        <w:tc>
          <w:tcPr>
            <w:tcW w:w="2410" w:type="dxa"/>
            <w:shd w:val="clear" w:color="auto" w:fill="FFFFFF"/>
          </w:tcPr>
          <w:p w14:paraId="10BE890F" w14:textId="6CD8C36B" w:rsidR="00404A35" w:rsidRPr="008A3BD8" w:rsidRDefault="003D1ACC" w:rsidP="001B6667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>środki własne NRA</w:t>
            </w: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br/>
              <w:t>środki własne PK</w:t>
            </w:r>
          </w:p>
        </w:tc>
      </w:tr>
      <w:tr w:rsidR="003D1ACC" w:rsidRPr="00AA190F" w14:paraId="2BBD8373" w14:textId="77777777" w:rsidTr="001318C7">
        <w:trPr>
          <w:trHeight w:val="81"/>
        </w:trPr>
        <w:tc>
          <w:tcPr>
            <w:tcW w:w="2268" w:type="dxa"/>
            <w:vMerge/>
            <w:shd w:val="clear" w:color="auto" w:fill="E7E6E6"/>
          </w:tcPr>
          <w:p w14:paraId="2E76FA36" w14:textId="77777777" w:rsidR="003D1ACC" w:rsidRPr="001B6667" w:rsidRDefault="003D1ACC" w:rsidP="003D1ACC">
            <w:pPr>
              <w:rPr>
                <w:rFonts w:eastAsia="MS MinNew Roman" w:cs="Arial"/>
                <w:bCs/>
                <w:sz w:val="20"/>
                <w:szCs w:val="24"/>
                <w:lang w:val="pl-PL"/>
              </w:rPr>
            </w:pPr>
          </w:p>
        </w:tc>
        <w:tc>
          <w:tcPr>
            <w:tcW w:w="850" w:type="dxa"/>
            <w:shd w:val="clear" w:color="auto" w:fill="FFFFFF"/>
          </w:tcPr>
          <w:p w14:paraId="2569BD04" w14:textId="0397F7BC" w:rsidR="003D1ACC" w:rsidRPr="008A3BD8" w:rsidRDefault="003D1ACC" w:rsidP="003D1ACC">
            <w:pPr>
              <w:pStyle w:val="Legenda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A3BD8">
              <w:rPr>
                <w:rFonts w:ascii="Arial" w:hAnsi="Arial" w:cs="Arial"/>
                <w:color w:val="000000" w:themeColor="text1"/>
                <w:sz w:val="20"/>
                <w:szCs w:val="20"/>
              </w:rPr>
              <w:t>2 rok</w:t>
            </w:r>
          </w:p>
        </w:tc>
        <w:tc>
          <w:tcPr>
            <w:tcW w:w="4111" w:type="dxa"/>
            <w:shd w:val="clear" w:color="auto" w:fill="FFFFFF"/>
          </w:tcPr>
          <w:p w14:paraId="2E1C2348" w14:textId="77777777" w:rsidR="00B0348F" w:rsidRPr="008A3BD8" w:rsidRDefault="00B0348F" w:rsidP="003D1ACC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Brutto: </w:t>
            </w:r>
            <w:r w:rsidR="003D1ACC"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>120 000,00 zł</w:t>
            </w:r>
          </w:p>
          <w:p w14:paraId="248B9104" w14:textId="36109F0E" w:rsidR="00B0348F" w:rsidRPr="008A3BD8" w:rsidRDefault="00B0348F" w:rsidP="003D1ACC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Netto: </w:t>
            </w:r>
            <w:r w:rsidR="008A3BD8">
              <w:rPr>
                <w:rFonts w:cs="Arial"/>
                <w:color w:val="000000" w:themeColor="text1"/>
                <w:sz w:val="20"/>
                <w:lang w:val="pl-PL" w:eastAsia="pl-PL"/>
              </w:rPr>
              <w:t>97 560,97 zł</w:t>
            </w:r>
          </w:p>
          <w:p w14:paraId="6484FC4C" w14:textId="56203EF5" w:rsidR="003D1ACC" w:rsidRPr="008A3BD8" w:rsidRDefault="003D1ACC" w:rsidP="003D1ACC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>2031 r.</w:t>
            </w:r>
          </w:p>
        </w:tc>
        <w:tc>
          <w:tcPr>
            <w:tcW w:w="2410" w:type="dxa"/>
            <w:shd w:val="clear" w:color="auto" w:fill="FFFFFF"/>
          </w:tcPr>
          <w:p w14:paraId="5CCFD223" w14:textId="10F3FF69" w:rsidR="003D1ACC" w:rsidRPr="008A3BD8" w:rsidRDefault="003D1ACC" w:rsidP="003D1ACC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>środki własne NRA</w:t>
            </w: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br/>
              <w:t>środki własne PK</w:t>
            </w:r>
          </w:p>
        </w:tc>
      </w:tr>
      <w:tr w:rsidR="003D1ACC" w:rsidRPr="00AA190F" w14:paraId="21F13665" w14:textId="77777777" w:rsidTr="001318C7">
        <w:trPr>
          <w:trHeight w:val="81"/>
        </w:trPr>
        <w:tc>
          <w:tcPr>
            <w:tcW w:w="2268" w:type="dxa"/>
            <w:vMerge/>
            <w:shd w:val="clear" w:color="auto" w:fill="E7E6E6"/>
          </w:tcPr>
          <w:p w14:paraId="20689A7C" w14:textId="77777777" w:rsidR="003D1ACC" w:rsidRPr="001B6667" w:rsidRDefault="003D1ACC" w:rsidP="003D1ACC">
            <w:pPr>
              <w:rPr>
                <w:rFonts w:eastAsia="MS MinNew Roman" w:cs="Arial"/>
                <w:bCs/>
                <w:sz w:val="20"/>
                <w:szCs w:val="24"/>
                <w:lang w:val="pl-PL"/>
              </w:rPr>
            </w:pPr>
          </w:p>
        </w:tc>
        <w:tc>
          <w:tcPr>
            <w:tcW w:w="850" w:type="dxa"/>
            <w:shd w:val="clear" w:color="auto" w:fill="FFFFFF"/>
          </w:tcPr>
          <w:p w14:paraId="67FB5A5D" w14:textId="5633F653" w:rsidR="003D1ACC" w:rsidRPr="008A3BD8" w:rsidRDefault="003D1ACC" w:rsidP="003D1ACC">
            <w:pPr>
              <w:pStyle w:val="Legenda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A3BD8">
              <w:rPr>
                <w:rFonts w:ascii="Arial" w:hAnsi="Arial" w:cs="Arial"/>
                <w:color w:val="000000" w:themeColor="text1"/>
                <w:sz w:val="20"/>
                <w:szCs w:val="20"/>
              </w:rPr>
              <w:t>3 rok</w:t>
            </w:r>
          </w:p>
        </w:tc>
        <w:tc>
          <w:tcPr>
            <w:tcW w:w="4111" w:type="dxa"/>
            <w:shd w:val="clear" w:color="auto" w:fill="FFFFFF"/>
          </w:tcPr>
          <w:p w14:paraId="30DB41AF" w14:textId="77777777" w:rsidR="00B0348F" w:rsidRPr="008A3BD8" w:rsidRDefault="00B0348F" w:rsidP="003D1ACC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Brutto: </w:t>
            </w:r>
            <w:r w:rsidR="003D1ACC"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>120 000,00 zł</w:t>
            </w:r>
          </w:p>
          <w:p w14:paraId="78659C54" w14:textId="5DA6DA3B" w:rsidR="00B0348F" w:rsidRPr="008A3BD8" w:rsidRDefault="00B0348F" w:rsidP="003D1ACC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Netto: </w:t>
            </w:r>
            <w:r w:rsidR="008A3BD8">
              <w:rPr>
                <w:rFonts w:cs="Arial"/>
                <w:color w:val="000000" w:themeColor="text1"/>
                <w:sz w:val="20"/>
                <w:lang w:val="pl-PL" w:eastAsia="pl-PL"/>
              </w:rPr>
              <w:t>97 560,97 zł</w:t>
            </w:r>
          </w:p>
          <w:p w14:paraId="30C6A164" w14:textId="0AD88E64" w:rsidR="003D1ACC" w:rsidRPr="008A3BD8" w:rsidRDefault="003D1ACC" w:rsidP="003D1ACC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>2032 r.</w:t>
            </w:r>
          </w:p>
        </w:tc>
        <w:tc>
          <w:tcPr>
            <w:tcW w:w="2410" w:type="dxa"/>
            <w:shd w:val="clear" w:color="auto" w:fill="FFFFFF"/>
          </w:tcPr>
          <w:p w14:paraId="4F2A399E" w14:textId="60E30E45" w:rsidR="003D1ACC" w:rsidRPr="008A3BD8" w:rsidRDefault="003D1ACC" w:rsidP="003D1ACC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>środki własne NRA</w:t>
            </w: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br/>
              <w:t>środki własne PK</w:t>
            </w:r>
          </w:p>
        </w:tc>
      </w:tr>
      <w:tr w:rsidR="003D1ACC" w:rsidRPr="00AA190F" w14:paraId="513B22D9" w14:textId="77777777" w:rsidTr="001318C7">
        <w:trPr>
          <w:trHeight w:val="81"/>
        </w:trPr>
        <w:tc>
          <w:tcPr>
            <w:tcW w:w="2268" w:type="dxa"/>
            <w:vMerge/>
            <w:shd w:val="clear" w:color="auto" w:fill="E7E6E6"/>
          </w:tcPr>
          <w:p w14:paraId="3DC08BEB" w14:textId="77777777" w:rsidR="003D1ACC" w:rsidRPr="001B6667" w:rsidRDefault="003D1ACC" w:rsidP="003D1ACC">
            <w:pPr>
              <w:rPr>
                <w:rFonts w:eastAsia="MS MinNew Roman" w:cs="Arial"/>
                <w:bCs/>
                <w:sz w:val="20"/>
                <w:szCs w:val="24"/>
                <w:lang w:val="pl-PL"/>
              </w:rPr>
            </w:pPr>
          </w:p>
        </w:tc>
        <w:tc>
          <w:tcPr>
            <w:tcW w:w="850" w:type="dxa"/>
            <w:shd w:val="clear" w:color="auto" w:fill="FFFFFF"/>
          </w:tcPr>
          <w:p w14:paraId="1EC49E4D" w14:textId="4CF566AA" w:rsidR="003D1ACC" w:rsidRPr="008A3BD8" w:rsidRDefault="003D1ACC" w:rsidP="003D1ACC">
            <w:pPr>
              <w:pStyle w:val="Legenda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A3BD8">
              <w:rPr>
                <w:rFonts w:ascii="Arial" w:hAnsi="Arial" w:cs="Arial"/>
                <w:color w:val="000000" w:themeColor="text1"/>
                <w:sz w:val="20"/>
                <w:szCs w:val="20"/>
              </w:rPr>
              <w:t>4 rok</w:t>
            </w:r>
          </w:p>
        </w:tc>
        <w:tc>
          <w:tcPr>
            <w:tcW w:w="4111" w:type="dxa"/>
            <w:shd w:val="clear" w:color="auto" w:fill="FFFFFF"/>
          </w:tcPr>
          <w:p w14:paraId="61D69BB8" w14:textId="77777777" w:rsidR="00B0348F" w:rsidRPr="008A3BD8" w:rsidRDefault="00B0348F" w:rsidP="003D1ACC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Brutto: </w:t>
            </w:r>
            <w:r w:rsidR="003D1ACC"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>120 000,00 zł</w:t>
            </w:r>
          </w:p>
          <w:p w14:paraId="4BF24E04" w14:textId="227BB87C" w:rsidR="00B0348F" w:rsidRPr="008A3BD8" w:rsidRDefault="00B0348F" w:rsidP="003D1ACC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Netto: </w:t>
            </w:r>
            <w:r w:rsidR="008A3BD8">
              <w:rPr>
                <w:rFonts w:cs="Arial"/>
                <w:color w:val="000000" w:themeColor="text1"/>
                <w:sz w:val="20"/>
                <w:lang w:val="pl-PL" w:eastAsia="pl-PL"/>
              </w:rPr>
              <w:t>97 560,97 zł</w:t>
            </w:r>
          </w:p>
          <w:p w14:paraId="77F9A0F9" w14:textId="541FC508" w:rsidR="003D1ACC" w:rsidRPr="008A3BD8" w:rsidRDefault="003D1ACC" w:rsidP="003D1ACC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>2033 r.</w:t>
            </w:r>
          </w:p>
        </w:tc>
        <w:tc>
          <w:tcPr>
            <w:tcW w:w="2410" w:type="dxa"/>
            <w:shd w:val="clear" w:color="auto" w:fill="FFFFFF"/>
          </w:tcPr>
          <w:p w14:paraId="3EA168B8" w14:textId="097A8268" w:rsidR="003D1ACC" w:rsidRPr="008A3BD8" w:rsidRDefault="003D1ACC" w:rsidP="003D1ACC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>środki własne NRA</w:t>
            </w: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br/>
              <w:t>środki własne PK</w:t>
            </w:r>
          </w:p>
        </w:tc>
      </w:tr>
      <w:tr w:rsidR="003D1ACC" w:rsidRPr="00AA190F" w14:paraId="7ABC0B48" w14:textId="77777777" w:rsidTr="001318C7">
        <w:trPr>
          <w:trHeight w:val="227"/>
        </w:trPr>
        <w:tc>
          <w:tcPr>
            <w:tcW w:w="2268" w:type="dxa"/>
            <w:vMerge/>
            <w:shd w:val="clear" w:color="auto" w:fill="E7E6E6"/>
          </w:tcPr>
          <w:p w14:paraId="64B4CE06" w14:textId="77777777" w:rsidR="003D1ACC" w:rsidRPr="001B6667" w:rsidRDefault="003D1ACC" w:rsidP="003D1ACC">
            <w:pPr>
              <w:rPr>
                <w:rFonts w:eastAsia="MS MinNew Roman" w:cs="Arial"/>
                <w:bCs/>
                <w:sz w:val="20"/>
                <w:szCs w:val="24"/>
                <w:lang w:val="pl-PL"/>
              </w:rPr>
            </w:pPr>
          </w:p>
        </w:tc>
        <w:tc>
          <w:tcPr>
            <w:tcW w:w="850" w:type="dxa"/>
            <w:shd w:val="clear" w:color="auto" w:fill="FFFFFF"/>
          </w:tcPr>
          <w:p w14:paraId="0750AB4D" w14:textId="5C76AF94" w:rsidR="003D1ACC" w:rsidRPr="008A3BD8" w:rsidRDefault="003D1ACC" w:rsidP="003D1ACC">
            <w:pPr>
              <w:pStyle w:val="Legenda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A3BD8">
              <w:rPr>
                <w:rFonts w:ascii="Arial" w:hAnsi="Arial" w:cs="Arial"/>
                <w:color w:val="000000" w:themeColor="text1"/>
                <w:sz w:val="20"/>
                <w:szCs w:val="20"/>
              </w:rPr>
              <w:t>5 rok</w:t>
            </w:r>
          </w:p>
        </w:tc>
        <w:tc>
          <w:tcPr>
            <w:tcW w:w="4111" w:type="dxa"/>
            <w:shd w:val="clear" w:color="auto" w:fill="FFFFFF"/>
          </w:tcPr>
          <w:p w14:paraId="4BD3CAFD" w14:textId="77777777" w:rsidR="00B0348F" w:rsidRPr="008A3BD8" w:rsidRDefault="00B0348F" w:rsidP="003D1ACC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Brutto: </w:t>
            </w:r>
            <w:r w:rsidR="003D1ACC"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>120 000,00 zł</w:t>
            </w:r>
          </w:p>
          <w:p w14:paraId="342BD7CC" w14:textId="1A643B2E" w:rsidR="00B0348F" w:rsidRPr="008A3BD8" w:rsidRDefault="00B0348F" w:rsidP="003D1ACC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 xml:space="preserve">Netto: </w:t>
            </w:r>
            <w:r w:rsidR="008A3BD8">
              <w:rPr>
                <w:rFonts w:cs="Arial"/>
                <w:color w:val="000000" w:themeColor="text1"/>
                <w:sz w:val="20"/>
                <w:lang w:val="pl-PL" w:eastAsia="pl-PL"/>
              </w:rPr>
              <w:t>97 560,97 zł</w:t>
            </w:r>
          </w:p>
          <w:p w14:paraId="3CC86AC3" w14:textId="0126E2B4" w:rsidR="003D1ACC" w:rsidRPr="008A3BD8" w:rsidRDefault="003D1ACC" w:rsidP="003D1ACC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>2034 r.</w:t>
            </w:r>
          </w:p>
        </w:tc>
        <w:tc>
          <w:tcPr>
            <w:tcW w:w="2410" w:type="dxa"/>
            <w:shd w:val="clear" w:color="auto" w:fill="FFFFFF"/>
          </w:tcPr>
          <w:p w14:paraId="6FB480BF" w14:textId="06A2AC12" w:rsidR="003D1ACC" w:rsidRPr="008A3BD8" w:rsidRDefault="003D1ACC" w:rsidP="003D1ACC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>środki własne NRA</w:t>
            </w: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br/>
              <w:t>środki własne PK</w:t>
            </w:r>
          </w:p>
        </w:tc>
      </w:tr>
    </w:tbl>
    <w:p w14:paraId="1B09B894" w14:textId="77777777" w:rsidR="005D3974" w:rsidRDefault="005D3974" w:rsidP="005D3974">
      <w:pPr>
        <w:pStyle w:val="Nagwek1"/>
        <w:numPr>
          <w:ilvl w:val="0"/>
          <w:numId w:val="0"/>
        </w:numPr>
        <w:spacing w:before="0" w:after="0"/>
        <w:ind w:left="360" w:hanging="360"/>
        <w:rPr>
          <w:rFonts w:eastAsia="Cambria" w:cs="Arial"/>
          <w:caps w:val="0"/>
          <w:sz w:val="20"/>
          <w:szCs w:val="20"/>
          <w:lang w:val="pl-PL"/>
        </w:rPr>
      </w:pPr>
      <w:bookmarkStart w:id="9" w:name="_Toc462924071"/>
    </w:p>
    <w:p w14:paraId="5EFABD23" w14:textId="5D93436B" w:rsidR="005D3974" w:rsidRPr="00037D99" w:rsidRDefault="005D3974" w:rsidP="00205B72">
      <w:pPr>
        <w:pStyle w:val="Nagwek1"/>
        <w:numPr>
          <w:ilvl w:val="0"/>
          <w:numId w:val="0"/>
        </w:numPr>
        <w:spacing w:before="0"/>
        <w:ind w:left="714" w:hanging="357"/>
        <w:rPr>
          <w:rFonts w:eastAsia="Cambria" w:cs="Arial"/>
          <w:b w:val="0"/>
          <w:caps w:val="0"/>
          <w:szCs w:val="20"/>
          <w:lang w:val="pl-PL"/>
        </w:rPr>
      </w:pPr>
      <w:r w:rsidRPr="00110D64">
        <w:rPr>
          <w:rFonts w:eastAsia="Cambria" w:cs="Arial"/>
          <w:caps w:val="0"/>
          <w:szCs w:val="20"/>
          <w:lang w:val="pl-PL"/>
        </w:rPr>
        <w:t>4.4</w:t>
      </w:r>
      <w:r w:rsidRPr="00110D64">
        <w:rPr>
          <w:rFonts w:eastAsia="Cambria" w:cs="Arial"/>
          <w:b w:val="0"/>
          <w:caps w:val="0"/>
          <w:szCs w:val="20"/>
          <w:lang w:val="pl-PL"/>
        </w:rPr>
        <w:t xml:space="preserve"> </w:t>
      </w:r>
      <w:r w:rsidRPr="00037D99">
        <w:rPr>
          <w:rFonts w:eastAsia="Cambria" w:cs="Arial"/>
          <w:caps w:val="0"/>
          <w:szCs w:val="20"/>
          <w:lang w:val="pl-PL"/>
        </w:rPr>
        <w:t>P</w:t>
      </w:r>
      <w:r w:rsidR="00644137" w:rsidRPr="00037D99">
        <w:rPr>
          <w:rFonts w:eastAsia="Cambria" w:cs="Arial"/>
          <w:caps w:val="0"/>
          <w:szCs w:val="20"/>
          <w:lang w:val="pl-PL"/>
        </w:rPr>
        <w:t>lanowane koszty ogólne realizacji</w:t>
      </w:r>
      <w:r w:rsidR="00644137" w:rsidRPr="00037D99">
        <w:rPr>
          <w:rFonts w:eastAsia="Cambria" w:cs="Arial"/>
          <w:b w:val="0"/>
          <w:caps w:val="0"/>
          <w:szCs w:val="20"/>
          <w:lang w:val="pl-PL"/>
        </w:rPr>
        <w:t xml:space="preserve"> </w:t>
      </w:r>
      <w:r w:rsidR="00644137" w:rsidRPr="00205B72">
        <w:rPr>
          <w:rFonts w:eastAsia="Cambria" w:cs="Arial"/>
          <w:caps w:val="0"/>
          <w:szCs w:val="20"/>
          <w:lang w:val="pl-PL"/>
        </w:rPr>
        <w:t xml:space="preserve">(w przypadku </w:t>
      </w:r>
      <w:r w:rsidR="00DF701F">
        <w:rPr>
          <w:rFonts w:eastAsia="Cambria" w:cs="Arial"/>
          <w:caps w:val="0"/>
          <w:szCs w:val="20"/>
          <w:lang w:val="pl-PL"/>
        </w:rPr>
        <w:t>przedsięwzięcia</w:t>
      </w:r>
      <w:r w:rsidR="00DF701F" w:rsidRPr="00205B72">
        <w:rPr>
          <w:rFonts w:eastAsia="Cambria" w:cs="Arial"/>
          <w:caps w:val="0"/>
          <w:szCs w:val="20"/>
          <w:lang w:val="pl-PL"/>
        </w:rPr>
        <w:t xml:space="preserve"> </w:t>
      </w:r>
      <w:r w:rsidR="00644137" w:rsidRPr="00205B72">
        <w:rPr>
          <w:rFonts w:eastAsia="Cambria" w:cs="Arial"/>
          <w:caps w:val="0"/>
          <w:szCs w:val="20"/>
          <w:lang w:val="pl-PL"/>
        </w:rPr>
        <w:t xml:space="preserve">współfinansowanego – wkład krajowy z budżetu państwa) oraz koszty utrzymania </w:t>
      </w:r>
      <w:r w:rsidR="00DF701F">
        <w:rPr>
          <w:rFonts w:eastAsia="Cambria" w:cs="Arial"/>
          <w:caps w:val="0"/>
          <w:szCs w:val="20"/>
          <w:lang w:val="pl-PL"/>
        </w:rPr>
        <w:t>przedsięwzięcia</w:t>
      </w:r>
      <w:r w:rsidRPr="00205B72">
        <w:rPr>
          <w:rFonts w:eastAsia="Cambria" w:cs="Arial"/>
          <w:caps w:val="0"/>
          <w:szCs w:val="20"/>
          <w:lang w:val="pl-PL"/>
        </w:rPr>
        <w:t>:</w:t>
      </w:r>
    </w:p>
    <w:p w14:paraId="5436CA78" w14:textId="77777777" w:rsidR="005D3974" w:rsidRPr="00037D99" w:rsidRDefault="00644137" w:rsidP="00505D03">
      <w:pPr>
        <w:pStyle w:val="Nagwek1"/>
        <w:numPr>
          <w:ilvl w:val="0"/>
          <w:numId w:val="13"/>
        </w:numPr>
        <w:spacing w:before="0"/>
        <w:rPr>
          <w:rFonts w:eastAsia="Cambria" w:cs="Arial"/>
          <w:b w:val="0"/>
          <w:caps w:val="0"/>
          <w:szCs w:val="20"/>
          <w:lang w:val="pl-PL"/>
        </w:rPr>
      </w:pPr>
      <w:r w:rsidRPr="00037D99">
        <w:rPr>
          <w:rFonts w:eastAsia="Cambria" w:cs="Arial"/>
          <w:b w:val="0"/>
          <w:caps w:val="0"/>
          <w:szCs w:val="20"/>
          <w:lang w:val="pl-PL"/>
        </w:rPr>
        <w:t>zostaną pokryte w ramach budżetów odpowiednich dysponentów części budżetowych bez konieczności występowania o dodatkowe śr</w:t>
      </w:r>
      <w:r w:rsidR="005D3974" w:rsidRPr="00037D99">
        <w:rPr>
          <w:rFonts w:eastAsia="Cambria" w:cs="Arial"/>
          <w:b w:val="0"/>
          <w:caps w:val="0"/>
          <w:szCs w:val="20"/>
          <w:lang w:val="pl-PL"/>
        </w:rPr>
        <w:t xml:space="preserve">odki z budżetu państwa, </w:t>
      </w:r>
    </w:p>
    <w:p w14:paraId="550246DE" w14:textId="77777777" w:rsidR="00644137" w:rsidRPr="00037D99" w:rsidRDefault="00644137" w:rsidP="00505D03">
      <w:pPr>
        <w:pStyle w:val="Nagwek1"/>
        <w:numPr>
          <w:ilvl w:val="0"/>
          <w:numId w:val="13"/>
        </w:numPr>
        <w:spacing w:before="0" w:after="0"/>
        <w:rPr>
          <w:rFonts w:eastAsia="Cambria" w:cs="Arial"/>
          <w:b w:val="0"/>
          <w:caps w:val="0"/>
          <w:szCs w:val="20"/>
          <w:lang w:val="pl-PL"/>
        </w:rPr>
      </w:pPr>
      <w:r w:rsidRPr="003D1ACC">
        <w:rPr>
          <w:rFonts w:eastAsia="Cambria" w:cs="Arial"/>
          <w:b w:val="0"/>
          <w:caps w:val="0"/>
          <w:strike/>
          <w:szCs w:val="20"/>
          <w:lang w:val="pl-PL"/>
        </w:rPr>
        <w:t>będą powodować konieczność przyznania</w:t>
      </w:r>
      <w:r w:rsidR="005D3974" w:rsidRPr="003D1ACC">
        <w:rPr>
          <w:rFonts w:eastAsia="Cambria" w:cs="Arial"/>
          <w:b w:val="0"/>
          <w:caps w:val="0"/>
          <w:strike/>
          <w:szCs w:val="20"/>
          <w:lang w:val="pl-PL"/>
        </w:rPr>
        <w:t xml:space="preserve"> dodatkowych kwot</w:t>
      </w:r>
      <w:r w:rsidR="005D3974" w:rsidRPr="00037D99">
        <w:rPr>
          <w:rFonts w:eastAsia="Cambria" w:cs="Arial"/>
          <w:b w:val="0"/>
          <w:caps w:val="0"/>
          <w:szCs w:val="20"/>
          <w:lang w:val="pl-PL"/>
        </w:rPr>
        <w:t>.</w:t>
      </w:r>
      <w:r w:rsidR="005D3974" w:rsidRPr="00037D99">
        <w:rPr>
          <w:rStyle w:val="Odwoanieprzypisudolnego"/>
          <w:rFonts w:eastAsia="Cambria"/>
          <w:b w:val="0"/>
          <w:caps w:val="0"/>
          <w:szCs w:val="20"/>
          <w:lang w:val="pl-PL"/>
        </w:rPr>
        <w:footnoteReference w:id="3"/>
      </w:r>
    </w:p>
    <w:p w14:paraId="5365945B" w14:textId="77777777" w:rsidR="00644137" w:rsidRPr="005D3974" w:rsidRDefault="00644137" w:rsidP="005D3974">
      <w:pPr>
        <w:pStyle w:val="Tekstpodstawowy"/>
        <w:tabs>
          <w:tab w:val="left" w:pos="2130"/>
        </w:tabs>
        <w:rPr>
          <w:rFonts w:cs="Arial"/>
          <w:sz w:val="20"/>
          <w:szCs w:val="20"/>
          <w:lang w:val="pl-PL"/>
        </w:rPr>
      </w:pPr>
    </w:p>
    <w:p w14:paraId="7AF93B80" w14:textId="77777777" w:rsidR="009F7CDA" w:rsidRPr="001B6667" w:rsidRDefault="009F7CDA" w:rsidP="009431B0">
      <w:pPr>
        <w:pStyle w:val="Nagwek1"/>
        <w:rPr>
          <w:rFonts w:cs="Arial"/>
          <w:lang w:val="pl-PL" w:eastAsia="pl-PL"/>
        </w:rPr>
      </w:pPr>
      <w:r w:rsidRPr="001B6667">
        <w:rPr>
          <w:rFonts w:cs="Arial"/>
          <w:lang w:val="pl-PL" w:eastAsia="pl-PL"/>
        </w:rPr>
        <w:t>GŁÓWNE RYZYKA</w:t>
      </w:r>
      <w:bookmarkEnd w:id="9"/>
      <w:r w:rsidR="009C7AD9">
        <w:rPr>
          <w:rFonts w:cs="Arial"/>
          <w:caps w:val="0"/>
          <w:lang w:val="pl-PL" w:eastAsia="pl-PL"/>
        </w:rPr>
        <w:t xml:space="preserve"> </w:t>
      </w:r>
      <w:r w:rsidR="009C7AD9" w:rsidRPr="009C7AD9">
        <w:rPr>
          <w:rFonts w:cs="Arial"/>
          <w:b w:val="0"/>
          <w:caps w:val="0"/>
          <w:color w:val="7F7F7F" w:themeColor="text1" w:themeTint="80"/>
          <w:sz w:val="20"/>
          <w:szCs w:val="20"/>
          <w:lang w:val="pl-PL" w:eastAsia="pl-PL"/>
        </w:rPr>
        <w:t>&lt;&lt;maksymalnie 2000 znaków&gt;&gt;</w:t>
      </w:r>
    </w:p>
    <w:p w14:paraId="466C928A" w14:textId="37E54F39" w:rsidR="00D90F1A" w:rsidRPr="001B6667" w:rsidRDefault="009F7CDA" w:rsidP="008149AF">
      <w:pPr>
        <w:pStyle w:val="Nagwek2"/>
        <w:tabs>
          <w:tab w:val="num" w:pos="1134"/>
        </w:tabs>
        <w:rPr>
          <w:lang w:val="pl-PL" w:eastAsia="pl-PL"/>
        </w:rPr>
      </w:pPr>
      <w:bookmarkStart w:id="10" w:name="_Toc462924072"/>
      <w:r w:rsidRPr="001B6667">
        <w:rPr>
          <w:lang w:val="pl-PL" w:eastAsia="pl-PL"/>
        </w:rPr>
        <w:t xml:space="preserve">Ryzyka wpływające na realizację </w:t>
      </w:r>
      <w:r w:rsidR="00A01325" w:rsidRPr="00A01325">
        <w:rPr>
          <w:lang w:val="pl-PL" w:eastAsia="pl-PL"/>
        </w:rPr>
        <w:t>przedsięwzięcia</w:t>
      </w:r>
      <w:bookmarkEnd w:id="10"/>
    </w:p>
    <w:tbl>
      <w:tblPr>
        <w:tblW w:w="1001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85"/>
        <w:gridCol w:w="1937"/>
        <w:gridCol w:w="1701"/>
        <w:gridCol w:w="2693"/>
      </w:tblGrid>
      <w:tr w:rsidR="0020760A" w:rsidRPr="001B6667" w14:paraId="21CEE253" w14:textId="77777777" w:rsidTr="00402AAE">
        <w:trPr>
          <w:trHeight w:val="724"/>
        </w:trPr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4E3E877B" w14:textId="77777777" w:rsidR="0020760A" w:rsidRPr="001B6667" w:rsidRDefault="0020760A" w:rsidP="002F56B5">
            <w:pPr>
              <w:jc w:val="center"/>
              <w:rPr>
                <w:rFonts w:eastAsia="MS MinNew Roman" w:cs="Arial"/>
                <w:b/>
                <w:bCs/>
                <w:sz w:val="20"/>
                <w:lang w:val="pl-PL"/>
              </w:rPr>
            </w:pPr>
            <w:r w:rsidRPr="001B6667">
              <w:rPr>
                <w:rFonts w:eastAsia="MS MinNew Roman" w:cs="Arial"/>
                <w:b/>
                <w:bCs/>
                <w:sz w:val="20"/>
                <w:lang w:val="pl-PL"/>
              </w:rPr>
              <w:t>Nazwa ryzyka</w:t>
            </w:r>
          </w:p>
        </w:tc>
        <w:tc>
          <w:tcPr>
            <w:tcW w:w="1937" w:type="dxa"/>
            <w:shd w:val="clear" w:color="auto" w:fill="D9D9D9" w:themeFill="background1" w:themeFillShade="D9"/>
            <w:vAlign w:val="center"/>
          </w:tcPr>
          <w:p w14:paraId="4FE0613C" w14:textId="77777777" w:rsidR="0020760A" w:rsidRPr="001B6667" w:rsidRDefault="0020760A" w:rsidP="00E75F90">
            <w:pPr>
              <w:pStyle w:val="Legenda"/>
              <w:jc w:val="center"/>
              <w:rPr>
                <w:rFonts w:ascii="Arial" w:hAnsi="Arial" w:cs="Arial"/>
                <w:color w:val="0070C0"/>
                <w:sz w:val="20"/>
                <w:lang w:eastAsia="pl-PL"/>
              </w:rPr>
            </w:pPr>
            <w:r w:rsidRPr="001B6667">
              <w:rPr>
                <w:rFonts w:ascii="Arial" w:hAnsi="Arial" w:cs="Arial"/>
                <w:sz w:val="20"/>
                <w:szCs w:val="20"/>
              </w:rPr>
              <w:t>Siła oddziaływania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DFF15AF" w14:textId="77777777" w:rsidR="0020760A" w:rsidRPr="001B6667" w:rsidRDefault="0020760A" w:rsidP="00E75F90">
            <w:pPr>
              <w:pStyle w:val="Legend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Prawdopodobieństwo wystąpienia ryzyka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6DEFC113" w14:textId="77777777" w:rsidR="0020760A" w:rsidRPr="001B6667" w:rsidRDefault="0020760A" w:rsidP="00D0302D">
            <w:pPr>
              <w:pStyle w:val="Legenda"/>
              <w:jc w:val="center"/>
              <w:rPr>
                <w:rFonts w:ascii="Arial" w:hAnsi="Arial" w:cs="Arial"/>
                <w:color w:val="0070C0"/>
                <w:sz w:val="20"/>
                <w:lang w:eastAsia="pl-PL"/>
              </w:rPr>
            </w:pPr>
            <w:r w:rsidRPr="001B6667">
              <w:rPr>
                <w:rFonts w:ascii="Arial" w:hAnsi="Arial" w:cs="Arial"/>
                <w:sz w:val="20"/>
                <w:szCs w:val="20"/>
              </w:rPr>
              <w:t xml:space="preserve">Sposób </w:t>
            </w:r>
            <w:r>
              <w:rPr>
                <w:rFonts w:ascii="Arial" w:hAnsi="Arial" w:cs="Arial"/>
                <w:sz w:val="20"/>
                <w:szCs w:val="20"/>
              </w:rPr>
              <w:t>zarzadzania</w:t>
            </w:r>
            <w:r w:rsidRPr="001B6667">
              <w:rPr>
                <w:rFonts w:ascii="Arial" w:hAnsi="Arial" w:cs="Arial"/>
                <w:sz w:val="20"/>
                <w:szCs w:val="20"/>
              </w:rPr>
              <w:t xml:space="preserve"> ryzyk</w:t>
            </w:r>
            <w:r>
              <w:rPr>
                <w:rFonts w:ascii="Arial" w:hAnsi="Arial" w:cs="Arial"/>
                <w:sz w:val="20"/>
                <w:szCs w:val="20"/>
              </w:rPr>
              <w:t>iem</w:t>
            </w:r>
          </w:p>
        </w:tc>
      </w:tr>
      <w:tr w:rsidR="0020760A" w:rsidRPr="00AA190F" w14:paraId="25377812" w14:textId="77777777" w:rsidTr="00402AAE">
        <w:trPr>
          <w:trHeight w:val="724"/>
        </w:trPr>
        <w:tc>
          <w:tcPr>
            <w:tcW w:w="3685" w:type="dxa"/>
          </w:tcPr>
          <w:p w14:paraId="18CD5DB3" w14:textId="7A1BE933" w:rsidR="0020760A" w:rsidRPr="008A3BD8" w:rsidRDefault="00BC5FFE" w:rsidP="001B6667">
            <w:pPr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  <w:t>Ryzyko opóźnień w procedurach zamówień publicznych (PZP) i dostawie sprzętu IT</w:t>
            </w:r>
          </w:p>
        </w:tc>
        <w:tc>
          <w:tcPr>
            <w:tcW w:w="1937" w:type="dxa"/>
            <w:shd w:val="clear" w:color="auto" w:fill="FFFFFF"/>
          </w:tcPr>
          <w:p w14:paraId="199063D0" w14:textId="5FE8211C" w:rsidR="0020760A" w:rsidRPr="008A3BD8" w:rsidRDefault="00BC5FFE" w:rsidP="00E75F90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Średnia</w:t>
            </w:r>
          </w:p>
        </w:tc>
        <w:tc>
          <w:tcPr>
            <w:tcW w:w="1701" w:type="dxa"/>
            <w:shd w:val="clear" w:color="auto" w:fill="FFFFFF"/>
          </w:tcPr>
          <w:p w14:paraId="5351D67D" w14:textId="3B4CDC5C" w:rsidR="0020760A" w:rsidRPr="008A3BD8" w:rsidRDefault="00BC5FFE" w:rsidP="00E75F90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Średnie</w:t>
            </w:r>
          </w:p>
        </w:tc>
        <w:tc>
          <w:tcPr>
            <w:tcW w:w="2693" w:type="dxa"/>
            <w:shd w:val="clear" w:color="auto" w:fill="FFFFFF"/>
          </w:tcPr>
          <w:p w14:paraId="059E4E88" w14:textId="42B85793" w:rsidR="0020760A" w:rsidRPr="008A3BD8" w:rsidRDefault="00BC5FFE" w:rsidP="001B6667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Zastosowanie dwutorowości prac; opóźnienie dostawy docelowego klastra GPU o kilka miesięcy nie wstrzymuje projektu, ponieważ zespoły projektowo-implementacyjne (WP4) i inżynierowie danych (WP3) rozpoczynają działania natychmiast w miesiącu M01 z wykorzystaniem tymczasowej, lokalnej infrastruktury uczelnianej oraz próbnych, zanonimizowanych zestawów danych</w:t>
            </w:r>
          </w:p>
        </w:tc>
      </w:tr>
      <w:tr w:rsidR="00BC5FFE" w:rsidRPr="00AA190F" w14:paraId="5D00F1FB" w14:textId="77777777" w:rsidTr="00402AAE">
        <w:trPr>
          <w:trHeight w:val="724"/>
        </w:trPr>
        <w:tc>
          <w:tcPr>
            <w:tcW w:w="3685" w:type="dxa"/>
          </w:tcPr>
          <w:p w14:paraId="13871880" w14:textId="225A2B35" w:rsidR="00BC5FFE" w:rsidRPr="008A3BD8" w:rsidRDefault="00BC5FFE" w:rsidP="001B6667">
            <w:pPr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  <w:t>Ryzyko inflacji oraz wzrostu cen zaawansowanych komponentów IT (ryzyko kursowe)</w:t>
            </w:r>
          </w:p>
        </w:tc>
        <w:tc>
          <w:tcPr>
            <w:tcW w:w="1937" w:type="dxa"/>
            <w:shd w:val="clear" w:color="auto" w:fill="FFFFFF"/>
          </w:tcPr>
          <w:p w14:paraId="40C3A777" w14:textId="7F666B50" w:rsidR="00BC5FFE" w:rsidRPr="008A3BD8" w:rsidRDefault="00BC5FFE" w:rsidP="00E75F90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Duża</w:t>
            </w:r>
          </w:p>
        </w:tc>
        <w:tc>
          <w:tcPr>
            <w:tcW w:w="1701" w:type="dxa"/>
            <w:shd w:val="clear" w:color="auto" w:fill="FFFFFF"/>
          </w:tcPr>
          <w:p w14:paraId="2CFC4637" w14:textId="128A42BA" w:rsidR="00BC5FFE" w:rsidRPr="008A3BD8" w:rsidRDefault="00BC5FFE" w:rsidP="00E75F90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Średnie</w:t>
            </w:r>
          </w:p>
        </w:tc>
        <w:tc>
          <w:tcPr>
            <w:tcW w:w="2693" w:type="dxa"/>
            <w:shd w:val="clear" w:color="auto" w:fill="FFFFFF"/>
          </w:tcPr>
          <w:p w14:paraId="651E787B" w14:textId="59E27D02" w:rsidR="00BC5FFE" w:rsidRPr="008A3BD8" w:rsidRDefault="00BC5FFE" w:rsidP="001B6667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Wprowadzenie do budżetu sprzętowego (</w:t>
            </w:r>
            <w:proofErr w:type="spellStart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CapEx</w:t>
            </w:r>
            <w:proofErr w:type="spellEnd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 xml:space="preserve">) w ramach pakietu WP2 wyraźnego bufora bezpieczeństwa na poziomie około 25%, waloryzującego wyceny serwerów HPC (z procesorami GPU klasy NVIDIA H100/A100/L40S) o wahania kursowe. Dodatkowo ryzyko finansowe mitygowane jest poprzez oparcie projektu na budowie suwerennych </w:t>
            </w: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lastRenderedPageBreak/>
              <w:t>zasobów open-</w:t>
            </w:r>
            <w:proofErr w:type="spellStart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source</w:t>
            </w:r>
            <w:proofErr w:type="spellEnd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 xml:space="preserve"> on-</w:t>
            </w:r>
            <w:proofErr w:type="spellStart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premise</w:t>
            </w:r>
            <w:proofErr w:type="spellEnd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 xml:space="preserve"> zamiast ponoszenia zmiennych opłat licencyjnych.</w:t>
            </w:r>
          </w:p>
        </w:tc>
      </w:tr>
      <w:tr w:rsidR="00BC5FFE" w:rsidRPr="00AA190F" w14:paraId="7D00D1E1" w14:textId="77777777" w:rsidTr="00402AAE">
        <w:trPr>
          <w:trHeight w:val="724"/>
        </w:trPr>
        <w:tc>
          <w:tcPr>
            <w:tcW w:w="3685" w:type="dxa"/>
          </w:tcPr>
          <w:p w14:paraId="2B00DF97" w14:textId="3659773D" w:rsidR="00BC5FFE" w:rsidRPr="008A3BD8" w:rsidRDefault="00BC5FFE" w:rsidP="001B6667">
            <w:pPr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  <w:lastRenderedPageBreak/>
              <w:t>Ryzyko trudności rekrutacyjnych i braku dostępności specjalistów AI/IT</w:t>
            </w:r>
          </w:p>
        </w:tc>
        <w:tc>
          <w:tcPr>
            <w:tcW w:w="1937" w:type="dxa"/>
            <w:shd w:val="clear" w:color="auto" w:fill="FFFFFF"/>
          </w:tcPr>
          <w:p w14:paraId="5B8E7873" w14:textId="7AA3DEDB" w:rsidR="00BC5FFE" w:rsidRPr="008A3BD8" w:rsidRDefault="00BC5FFE" w:rsidP="00E75F90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Średnia</w:t>
            </w:r>
          </w:p>
        </w:tc>
        <w:tc>
          <w:tcPr>
            <w:tcW w:w="1701" w:type="dxa"/>
            <w:shd w:val="clear" w:color="auto" w:fill="FFFFFF"/>
          </w:tcPr>
          <w:p w14:paraId="03AFB065" w14:textId="5F7FE6FD" w:rsidR="00BC5FFE" w:rsidRPr="008A3BD8" w:rsidRDefault="00BC5FFE" w:rsidP="00E75F90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Średnie</w:t>
            </w:r>
          </w:p>
        </w:tc>
        <w:tc>
          <w:tcPr>
            <w:tcW w:w="2693" w:type="dxa"/>
            <w:shd w:val="clear" w:color="auto" w:fill="FFFFFF"/>
          </w:tcPr>
          <w:p w14:paraId="060EB34A" w14:textId="33573BD5" w:rsidR="00BC5FFE" w:rsidRPr="008A3BD8" w:rsidRDefault="00BC5FFE" w:rsidP="001B6667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Zaplanowanie bezpiecznego, 3-miesięcznego okresu na starcie projektu (M01–M03) dedykowanego wyłącznie na transparentne i zgodne z wytycznymi unijnymi procedury otwartych konkursów, co zwiększa rynkową atrakcyjność rekrutacji i gwarantuje skuteczny wybór kadry.</w:t>
            </w:r>
          </w:p>
        </w:tc>
      </w:tr>
      <w:tr w:rsidR="00BC5FFE" w:rsidRPr="00AA190F" w14:paraId="6A05FBAB" w14:textId="77777777" w:rsidTr="00402AAE">
        <w:trPr>
          <w:trHeight w:val="724"/>
        </w:trPr>
        <w:tc>
          <w:tcPr>
            <w:tcW w:w="3685" w:type="dxa"/>
          </w:tcPr>
          <w:p w14:paraId="1993C5F0" w14:textId="27A8B6BC" w:rsidR="00BC5FFE" w:rsidRPr="008A3BD8" w:rsidRDefault="00BC5FFE" w:rsidP="001B6667">
            <w:pPr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  <w:t>Ryzyko wycieku danych wrażliwych i naruszenia tajemnicy ustawowej</w:t>
            </w:r>
          </w:p>
        </w:tc>
        <w:tc>
          <w:tcPr>
            <w:tcW w:w="1937" w:type="dxa"/>
            <w:shd w:val="clear" w:color="auto" w:fill="FFFFFF"/>
          </w:tcPr>
          <w:p w14:paraId="551D5570" w14:textId="3EAFC297" w:rsidR="00BC5FFE" w:rsidRPr="008A3BD8" w:rsidRDefault="00BC5FFE" w:rsidP="00E75F90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Duża</w:t>
            </w:r>
          </w:p>
        </w:tc>
        <w:tc>
          <w:tcPr>
            <w:tcW w:w="1701" w:type="dxa"/>
            <w:shd w:val="clear" w:color="auto" w:fill="FFFFFF"/>
          </w:tcPr>
          <w:p w14:paraId="61638DF1" w14:textId="633504FD" w:rsidR="00BC5FFE" w:rsidRPr="008A3BD8" w:rsidRDefault="00BC5FFE" w:rsidP="00E75F90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Niskie</w:t>
            </w:r>
          </w:p>
        </w:tc>
        <w:tc>
          <w:tcPr>
            <w:tcW w:w="2693" w:type="dxa"/>
            <w:shd w:val="clear" w:color="auto" w:fill="FFFFFF"/>
          </w:tcPr>
          <w:p w14:paraId="434931BD" w14:textId="5627C17F" w:rsidR="00BC5FFE" w:rsidRPr="008A3BD8" w:rsidRDefault="00BC5FFE" w:rsidP="001B6667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Całkowita rezygnacja z chmury publicznej na rzecz odizolowanego logicznie systemu lokalnego on-</w:t>
            </w:r>
            <w:proofErr w:type="spellStart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premise</w:t>
            </w:r>
            <w:proofErr w:type="spellEnd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 xml:space="preserve">. Zastosowanie wydzielonej sieci o przepustowości 100/400 </w:t>
            </w:r>
            <w:proofErr w:type="spellStart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GbE</w:t>
            </w:r>
            <w:proofErr w:type="spellEnd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 xml:space="preserve"> odcinającej klaster od sieci </w:t>
            </w:r>
            <w:proofErr w:type="gramStart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zewnętrznej ,</w:t>
            </w:r>
            <w:proofErr w:type="gramEnd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 xml:space="preserve"> wdrożenie rygorystycznych zasad architektury Zero Trust, </w:t>
            </w:r>
            <w:proofErr w:type="spellStart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mikrosegmentacji</w:t>
            </w:r>
            <w:proofErr w:type="spellEnd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 xml:space="preserve"> sieciowej oraz implementacja automatycznych algorytmów bezwzględnej </w:t>
            </w:r>
            <w:proofErr w:type="spellStart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anonimizacji</w:t>
            </w:r>
            <w:proofErr w:type="spellEnd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 xml:space="preserve"> danych osobowych w WP3 przed ich wejściem do potoku sztucznej inteligencji.</w:t>
            </w:r>
          </w:p>
        </w:tc>
      </w:tr>
      <w:tr w:rsidR="00BC5FFE" w:rsidRPr="00AA190F" w14:paraId="700C1F62" w14:textId="77777777" w:rsidTr="00402AAE">
        <w:trPr>
          <w:trHeight w:val="724"/>
        </w:trPr>
        <w:tc>
          <w:tcPr>
            <w:tcW w:w="3685" w:type="dxa"/>
          </w:tcPr>
          <w:p w14:paraId="572023A2" w14:textId="2802A831" w:rsidR="00BC5FFE" w:rsidRPr="008A3BD8" w:rsidRDefault="00BC5FFE" w:rsidP="001B6667">
            <w:pPr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  <w:t>Ryzyko cyberataków typu „</w:t>
            </w:r>
            <w:proofErr w:type="spellStart"/>
            <w:r w:rsidRPr="008A3BD8"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  <w:t>prompt</w:t>
            </w:r>
            <w:proofErr w:type="spellEnd"/>
            <w:r w:rsidRPr="008A3BD8"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  <w:t xml:space="preserve"> </w:t>
            </w:r>
            <w:proofErr w:type="spellStart"/>
            <w:r w:rsidRPr="008A3BD8"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  <w:t>injection</w:t>
            </w:r>
            <w:proofErr w:type="spellEnd"/>
            <w:r w:rsidRPr="008A3BD8"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  <w:t>” na lokalne modele LLM</w:t>
            </w:r>
          </w:p>
        </w:tc>
        <w:tc>
          <w:tcPr>
            <w:tcW w:w="1937" w:type="dxa"/>
            <w:shd w:val="clear" w:color="auto" w:fill="FFFFFF"/>
          </w:tcPr>
          <w:p w14:paraId="0703EB67" w14:textId="2DD69DE3" w:rsidR="00BC5FFE" w:rsidRPr="008A3BD8" w:rsidRDefault="00BC5FFE" w:rsidP="00E75F90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Średnia</w:t>
            </w:r>
          </w:p>
        </w:tc>
        <w:tc>
          <w:tcPr>
            <w:tcW w:w="1701" w:type="dxa"/>
            <w:shd w:val="clear" w:color="auto" w:fill="FFFFFF"/>
          </w:tcPr>
          <w:p w14:paraId="3C6A70F6" w14:textId="2A8160F8" w:rsidR="00BC5FFE" w:rsidRPr="008A3BD8" w:rsidRDefault="00BC5FFE" w:rsidP="00E75F90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Średnie</w:t>
            </w:r>
          </w:p>
        </w:tc>
        <w:tc>
          <w:tcPr>
            <w:tcW w:w="2693" w:type="dxa"/>
            <w:shd w:val="clear" w:color="auto" w:fill="FFFFFF"/>
          </w:tcPr>
          <w:p w14:paraId="5A7C5D17" w14:textId="63E66530" w:rsidR="00BC5FFE" w:rsidRPr="008A3BD8" w:rsidRDefault="00BC5FFE" w:rsidP="001B6667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 xml:space="preserve">Zaprojektowanie bezpiecznej architektury, w której odizolowany rdzeń obliczeniowy </w:t>
            </w:r>
            <w:proofErr w:type="spellStart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backendu</w:t>
            </w:r>
            <w:proofErr w:type="spellEnd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 xml:space="preserve"> komunikuje się z warstwą prezentacji i DMZ wyłącznie asynchronicznie za pośrednictwem dedykowanego, bezpiecznego brokera komunikatów realizującego głęboką inspekcję i oczyszczanie zawartości pakietów (</w:t>
            </w:r>
            <w:proofErr w:type="spellStart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content</w:t>
            </w:r>
            <w:proofErr w:type="spellEnd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 xml:space="preserve"> </w:t>
            </w:r>
            <w:proofErr w:type="spellStart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sanitization</w:t>
            </w:r>
            <w:proofErr w:type="spellEnd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).</w:t>
            </w:r>
          </w:p>
        </w:tc>
      </w:tr>
      <w:tr w:rsidR="00BC5FFE" w:rsidRPr="00AA190F" w14:paraId="135C255B" w14:textId="77777777" w:rsidTr="00402AAE">
        <w:trPr>
          <w:trHeight w:val="724"/>
        </w:trPr>
        <w:tc>
          <w:tcPr>
            <w:tcW w:w="3685" w:type="dxa"/>
          </w:tcPr>
          <w:p w14:paraId="55836110" w14:textId="380D5FEC" w:rsidR="00BC5FFE" w:rsidRPr="008A3BD8" w:rsidRDefault="00BC5FFE" w:rsidP="001B6667">
            <w:pPr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  <w:t xml:space="preserve">Ryzyko niezgodności algorytmów AI z nowymi regulacjami prawnymi (w tym AI </w:t>
            </w:r>
            <w:proofErr w:type="spellStart"/>
            <w:r w:rsidRPr="008A3BD8"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  <w:t>Act</w:t>
            </w:r>
            <w:proofErr w:type="spellEnd"/>
            <w:r w:rsidRPr="008A3BD8"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  <w:t xml:space="preserve"> i RODO)</w:t>
            </w:r>
          </w:p>
        </w:tc>
        <w:tc>
          <w:tcPr>
            <w:tcW w:w="1937" w:type="dxa"/>
            <w:shd w:val="clear" w:color="auto" w:fill="FFFFFF"/>
          </w:tcPr>
          <w:p w14:paraId="2C2F8F4F" w14:textId="487D1922" w:rsidR="00BC5FFE" w:rsidRPr="008A3BD8" w:rsidRDefault="00BC5FFE" w:rsidP="00E75F90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Duża</w:t>
            </w:r>
          </w:p>
        </w:tc>
        <w:tc>
          <w:tcPr>
            <w:tcW w:w="1701" w:type="dxa"/>
            <w:shd w:val="clear" w:color="auto" w:fill="FFFFFF"/>
          </w:tcPr>
          <w:p w14:paraId="3799A423" w14:textId="733606E6" w:rsidR="00BC5FFE" w:rsidRPr="008A3BD8" w:rsidRDefault="00BC5FFE" w:rsidP="00E75F90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Niskie</w:t>
            </w:r>
          </w:p>
        </w:tc>
        <w:tc>
          <w:tcPr>
            <w:tcW w:w="2693" w:type="dxa"/>
            <w:shd w:val="clear" w:color="auto" w:fill="FFFFFF"/>
          </w:tcPr>
          <w:p w14:paraId="1C3AB5C6" w14:textId="50C95854" w:rsidR="00BC5FFE" w:rsidRPr="008A3BD8" w:rsidRDefault="00BC5FFE" w:rsidP="001B6667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 xml:space="preserve">Wdrożenie w fazie testowej (WP6) obowiązkowego audytu etycznego AI (tzw. AI </w:t>
            </w:r>
            <w:proofErr w:type="spellStart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Fairness</w:t>
            </w:r>
            <w:proofErr w:type="spellEnd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 xml:space="preserve">) realizowanego </w:t>
            </w: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lastRenderedPageBreak/>
              <w:t>przez niezależny podmiot trzeci w celu weryfikacji bezpieczeństwa algorytmicznego pod kątem standardów unijnego aktu o sztucznej inteligencji. Ponadto w miesiącach M31–M33 zaplanowano niezależne audyty zgodności z RODO oraz oficjalne procedury certyfikacji prawnej</w:t>
            </w:r>
          </w:p>
        </w:tc>
      </w:tr>
      <w:tr w:rsidR="00BC5FFE" w:rsidRPr="00AA190F" w14:paraId="6BE0B2BC" w14:textId="77777777" w:rsidTr="00402AAE">
        <w:trPr>
          <w:trHeight w:val="724"/>
        </w:trPr>
        <w:tc>
          <w:tcPr>
            <w:tcW w:w="3685" w:type="dxa"/>
          </w:tcPr>
          <w:p w14:paraId="00387E31" w14:textId="52BF3948" w:rsidR="00BC5FFE" w:rsidRPr="008A3BD8" w:rsidRDefault="00BC5FFE" w:rsidP="001B6667">
            <w:pPr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  <w:lastRenderedPageBreak/>
              <w:t>Ryzyko niedoszacowania czasu na audyty bezpieczeństwa i wdrożenie pilotażowe</w:t>
            </w:r>
          </w:p>
        </w:tc>
        <w:tc>
          <w:tcPr>
            <w:tcW w:w="1937" w:type="dxa"/>
            <w:shd w:val="clear" w:color="auto" w:fill="FFFFFF"/>
          </w:tcPr>
          <w:p w14:paraId="124DD4CD" w14:textId="67E95FFA" w:rsidR="00BC5FFE" w:rsidRPr="008A3BD8" w:rsidRDefault="00BC5FFE" w:rsidP="00E75F90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Średnia</w:t>
            </w:r>
          </w:p>
        </w:tc>
        <w:tc>
          <w:tcPr>
            <w:tcW w:w="1701" w:type="dxa"/>
            <w:shd w:val="clear" w:color="auto" w:fill="FFFFFF"/>
          </w:tcPr>
          <w:p w14:paraId="4EE97C63" w14:textId="5B2900B5" w:rsidR="00BC5FFE" w:rsidRPr="008A3BD8" w:rsidRDefault="00BC5FFE" w:rsidP="00E75F90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Niskie</w:t>
            </w:r>
          </w:p>
        </w:tc>
        <w:tc>
          <w:tcPr>
            <w:tcW w:w="2693" w:type="dxa"/>
            <w:shd w:val="clear" w:color="auto" w:fill="FFFFFF"/>
          </w:tcPr>
          <w:p w14:paraId="6E55C7D9" w14:textId="4B0A016E" w:rsidR="00BC5FFE" w:rsidRPr="008A3BD8" w:rsidRDefault="00BC5FFE" w:rsidP="001B6667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 xml:space="preserve">Wydzielenie długiego pakietu prac (WP6), co zapewnia optymalny margines czasu na realizację rygorystycznych testów penetracyjnych, poprawek </w:t>
            </w:r>
            <w:proofErr w:type="spellStart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poaudytowych</w:t>
            </w:r>
            <w:proofErr w:type="spellEnd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, szkoleń stanowiskowych personelu oraz tzw. ślepych testów merytorycznych oceniających jakość AI bezpośrednio przez sędziów i adwokatów.</w:t>
            </w:r>
          </w:p>
        </w:tc>
      </w:tr>
    </w:tbl>
    <w:p w14:paraId="5C061B03" w14:textId="77777777" w:rsidR="00D90F1A" w:rsidRPr="001B6667" w:rsidRDefault="00A44CAE" w:rsidP="00485E7E">
      <w:pPr>
        <w:pStyle w:val="Nagwek2"/>
        <w:tabs>
          <w:tab w:val="num" w:pos="1276"/>
        </w:tabs>
        <w:ind w:left="788" w:hanging="431"/>
        <w:rPr>
          <w:lang w:val="pl-PL" w:eastAsia="pl-PL"/>
        </w:rPr>
      </w:pPr>
      <w:bookmarkStart w:id="11" w:name="_Toc462924073"/>
      <w:r w:rsidRPr="001B6667">
        <w:rPr>
          <w:lang w:val="pl-PL" w:eastAsia="pl-PL"/>
        </w:rPr>
        <w:t>Ryzyka wpływające na utrzymanie efektów</w:t>
      </w:r>
      <w:bookmarkEnd w:id="11"/>
    </w:p>
    <w:tbl>
      <w:tblPr>
        <w:tblW w:w="1006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85"/>
        <w:gridCol w:w="1985"/>
        <w:gridCol w:w="1701"/>
        <w:gridCol w:w="2693"/>
      </w:tblGrid>
      <w:tr w:rsidR="00E40C7B" w:rsidRPr="008A3BD8" w14:paraId="12C23381" w14:textId="77777777" w:rsidTr="00402AAE">
        <w:trPr>
          <w:trHeight w:val="724"/>
        </w:trPr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71471F13" w14:textId="77777777" w:rsidR="00E40C7B" w:rsidRPr="008A3BD8" w:rsidRDefault="00E40C7B" w:rsidP="000074EC">
            <w:pPr>
              <w:jc w:val="center"/>
              <w:rPr>
                <w:rFonts w:eastAsia="MS MinNew Roman" w:cs="Arial"/>
                <w:b/>
                <w:bCs/>
                <w:color w:val="000000" w:themeColor="text1"/>
                <w:sz w:val="20"/>
                <w:lang w:val="pl-PL"/>
              </w:rPr>
            </w:pPr>
            <w:r w:rsidRPr="008A3BD8">
              <w:rPr>
                <w:rFonts w:eastAsia="MS MinNew Roman" w:cs="Arial"/>
                <w:b/>
                <w:bCs/>
                <w:color w:val="000000" w:themeColor="text1"/>
                <w:sz w:val="20"/>
                <w:lang w:val="pl-PL"/>
              </w:rPr>
              <w:t>Nazwa ryzyka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508005B3" w14:textId="77777777" w:rsidR="00E40C7B" w:rsidRPr="008A3BD8" w:rsidRDefault="00E40C7B" w:rsidP="000074EC">
            <w:pPr>
              <w:pStyle w:val="Legenda"/>
              <w:jc w:val="center"/>
              <w:rPr>
                <w:rFonts w:ascii="Arial" w:hAnsi="Arial" w:cs="Arial"/>
                <w:color w:val="000000" w:themeColor="text1"/>
                <w:sz w:val="20"/>
                <w:lang w:eastAsia="pl-PL"/>
              </w:rPr>
            </w:pPr>
            <w:r w:rsidRPr="008A3BD8">
              <w:rPr>
                <w:rFonts w:ascii="Arial" w:hAnsi="Arial" w:cs="Arial"/>
                <w:color w:val="000000" w:themeColor="text1"/>
                <w:sz w:val="20"/>
                <w:szCs w:val="20"/>
              </w:rPr>
              <w:t>Siła oddziaływania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5A679026" w14:textId="77777777" w:rsidR="00E40C7B" w:rsidRPr="008A3BD8" w:rsidRDefault="00E40C7B" w:rsidP="000074EC">
            <w:pPr>
              <w:pStyle w:val="Legenda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A3BD8">
              <w:rPr>
                <w:rFonts w:ascii="Arial" w:hAnsi="Arial" w:cs="Arial"/>
                <w:color w:val="000000" w:themeColor="text1"/>
                <w:sz w:val="20"/>
                <w:szCs w:val="20"/>
              </w:rPr>
              <w:t>Prawdopodobieństwo wystąpienia ryzyka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5211DFC4" w14:textId="77777777" w:rsidR="00E40C7B" w:rsidRPr="008A3BD8" w:rsidRDefault="00E40C7B" w:rsidP="000074EC">
            <w:pPr>
              <w:pStyle w:val="Legenda"/>
              <w:jc w:val="center"/>
              <w:rPr>
                <w:rFonts w:ascii="Arial" w:hAnsi="Arial" w:cs="Arial"/>
                <w:color w:val="000000" w:themeColor="text1"/>
                <w:sz w:val="20"/>
                <w:lang w:eastAsia="pl-PL"/>
              </w:rPr>
            </w:pPr>
            <w:r w:rsidRPr="008A3BD8">
              <w:rPr>
                <w:rFonts w:ascii="Arial" w:hAnsi="Arial" w:cs="Arial"/>
                <w:color w:val="000000" w:themeColor="text1"/>
                <w:sz w:val="20"/>
                <w:szCs w:val="20"/>
              </w:rPr>
              <w:t>Sposób zarzadzania ryzykiem</w:t>
            </w:r>
          </w:p>
        </w:tc>
      </w:tr>
      <w:tr w:rsidR="00E40C7B" w:rsidRPr="008A3BD8" w14:paraId="3C35D3EE" w14:textId="77777777" w:rsidTr="00402AAE">
        <w:trPr>
          <w:trHeight w:val="724"/>
        </w:trPr>
        <w:tc>
          <w:tcPr>
            <w:tcW w:w="3685" w:type="dxa"/>
          </w:tcPr>
          <w:p w14:paraId="3F3E9269" w14:textId="016EE6B2" w:rsidR="00E40C7B" w:rsidRPr="008A3BD8" w:rsidRDefault="00E75F90" w:rsidP="000074EC">
            <w:pPr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  <w:t xml:space="preserve">Ryzyko </w:t>
            </w:r>
            <w:proofErr w:type="spellStart"/>
            <w:r w:rsidRPr="008A3BD8"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  <w:t>deaktualizacji</w:t>
            </w:r>
            <w:proofErr w:type="spellEnd"/>
            <w:r w:rsidRPr="008A3BD8"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  <w:t xml:space="preserve"> technologicznej lokalnych modeli sztucznej inteligencji (LLM)</w:t>
            </w:r>
          </w:p>
        </w:tc>
        <w:tc>
          <w:tcPr>
            <w:tcW w:w="1985" w:type="dxa"/>
            <w:shd w:val="clear" w:color="auto" w:fill="FFFFFF"/>
          </w:tcPr>
          <w:p w14:paraId="5E83A8F9" w14:textId="44337581" w:rsidR="00E40C7B" w:rsidRPr="008A3BD8" w:rsidRDefault="00E75F90" w:rsidP="000074EC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Duża</w:t>
            </w:r>
          </w:p>
        </w:tc>
        <w:tc>
          <w:tcPr>
            <w:tcW w:w="1701" w:type="dxa"/>
            <w:shd w:val="clear" w:color="auto" w:fill="FFFFFF"/>
          </w:tcPr>
          <w:p w14:paraId="7BF648B2" w14:textId="5C5AEDA1" w:rsidR="00E40C7B" w:rsidRPr="008A3BD8" w:rsidRDefault="00E75F90" w:rsidP="000074EC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Średnie</w:t>
            </w:r>
          </w:p>
        </w:tc>
        <w:tc>
          <w:tcPr>
            <w:tcW w:w="2693" w:type="dxa"/>
            <w:shd w:val="clear" w:color="auto" w:fill="FFFFFF"/>
          </w:tcPr>
          <w:p w14:paraId="324FD89D" w14:textId="7FD260F6" w:rsidR="00E40C7B" w:rsidRPr="008A3BD8" w:rsidRDefault="00E75F90" w:rsidP="000074EC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Architektura systemu DSE-L została celowo oparta na suwerennych rozwiązaniach open-</w:t>
            </w:r>
            <w:proofErr w:type="spellStart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source</w:t>
            </w:r>
            <w:proofErr w:type="spellEnd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 xml:space="preserve">, co zapobiega tzw. </w:t>
            </w:r>
            <w:proofErr w:type="spellStart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vendor</w:t>
            </w:r>
            <w:proofErr w:type="spellEnd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 xml:space="preserve"> lock-in. Zastosowanie podejścia modułowego oraz technologii kontenerowej (</w:t>
            </w:r>
            <w:proofErr w:type="spellStart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Kubernetes</w:t>
            </w:r>
            <w:proofErr w:type="spellEnd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/Docker) umożliwia bezproblemową podmianę modeli bazowych (np. na nowsze generacje modeli open-</w:t>
            </w:r>
            <w:proofErr w:type="spellStart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source</w:t>
            </w:r>
            <w:proofErr w:type="spellEnd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) w ramach standardowych procedur utrzymaniowych. Dodatkowo wykorzystanie architektury RAG (</w:t>
            </w:r>
            <w:proofErr w:type="spellStart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Retrieval-Augmented</w:t>
            </w:r>
            <w:proofErr w:type="spellEnd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 xml:space="preserve"> </w:t>
            </w:r>
            <w:proofErr w:type="spellStart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Generation</w:t>
            </w:r>
            <w:proofErr w:type="spellEnd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 xml:space="preserve">) sprawia, że baza wiedzy merytorycznej jest niezależna od samych wag modelu i może być stale aktualizowana </w:t>
            </w: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lastRenderedPageBreak/>
              <w:t>poprzez proste zasilanie bazy wektorowej nowymi dokumentami.</w:t>
            </w:r>
          </w:p>
        </w:tc>
      </w:tr>
      <w:tr w:rsidR="00E75F90" w:rsidRPr="008A3BD8" w14:paraId="71DD0A57" w14:textId="77777777" w:rsidTr="00402AAE">
        <w:trPr>
          <w:trHeight w:val="724"/>
        </w:trPr>
        <w:tc>
          <w:tcPr>
            <w:tcW w:w="3685" w:type="dxa"/>
          </w:tcPr>
          <w:p w14:paraId="14BBD394" w14:textId="74427323" w:rsidR="00E75F90" w:rsidRPr="008A3BD8" w:rsidRDefault="00E75F90" w:rsidP="000074EC">
            <w:pPr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  <w:lastRenderedPageBreak/>
              <w:t>Ryzyko braku środków operacyjnych (</w:t>
            </w:r>
            <w:proofErr w:type="spellStart"/>
            <w:r w:rsidRPr="008A3BD8"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  <w:t>OpEx</w:t>
            </w:r>
            <w:proofErr w:type="spellEnd"/>
            <w:r w:rsidRPr="008A3BD8"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  <w:t>) na utrzymanie i serwis klastra sprzętowego HPC</w:t>
            </w:r>
          </w:p>
        </w:tc>
        <w:tc>
          <w:tcPr>
            <w:tcW w:w="1985" w:type="dxa"/>
            <w:shd w:val="clear" w:color="auto" w:fill="FFFFFF"/>
          </w:tcPr>
          <w:p w14:paraId="04B09C07" w14:textId="64E5E31D" w:rsidR="00E75F90" w:rsidRPr="008A3BD8" w:rsidRDefault="00E75F90" w:rsidP="000074EC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Duża</w:t>
            </w:r>
          </w:p>
        </w:tc>
        <w:tc>
          <w:tcPr>
            <w:tcW w:w="1701" w:type="dxa"/>
            <w:shd w:val="clear" w:color="auto" w:fill="FFFFFF"/>
          </w:tcPr>
          <w:p w14:paraId="065E620F" w14:textId="6C8A3301" w:rsidR="00E75F90" w:rsidRPr="008A3BD8" w:rsidRDefault="00E75F90" w:rsidP="000074EC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Niskie</w:t>
            </w:r>
          </w:p>
        </w:tc>
        <w:tc>
          <w:tcPr>
            <w:tcW w:w="2693" w:type="dxa"/>
            <w:shd w:val="clear" w:color="auto" w:fill="FFFFFF"/>
          </w:tcPr>
          <w:p w14:paraId="6DE47EB0" w14:textId="1458FA38" w:rsidR="00E75F90" w:rsidRPr="008A3BD8" w:rsidRDefault="00E75F90" w:rsidP="000074EC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Strategia finansowa projektu (zgodna z Kryterium nr 11 FERC) zakłada maksymalizację nakładów inwestycyjnych (</w:t>
            </w:r>
            <w:proofErr w:type="spellStart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CapEx</w:t>
            </w:r>
            <w:proofErr w:type="spellEnd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 xml:space="preserve">) w celu uniknięcia stałych, wysokich opłat abonamentowych za chmurę obliczeniową i licencje komercyjne. Ponadto, w ramach postępowań przetargowych (WP2) zostanie uwzględniony wymóg min. 5-letniej gwarancji producenta typu </w:t>
            </w:r>
            <w:proofErr w:type="spellStart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Next</w:t>
            </w:r>
            <w:proofErr w:type="spellEnd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 xml:space="preserve"> Business Day (NBD) na kluczowe komponenty (serwery GPU, szybkie macierze </w:t>
            </w:r>
            <w:proofErr w:type="spellStart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NVMe</w:t>
            </w:r>
            <w:proofErr w:type="spellEnd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). Koszty bieżące (energia elektryczna, podstawowa administracja) zostaną zabezpieczone w wieloletnich planach finansowych konsorcjantów (Politechnika Krakowska oraz Naczelna Rada Adwokacka) jako stały element utrzymania własnej infrastruktury IT.</w:t>
            </w:r>
          </w:p>
        </w:tc>
      </w:tr>
      <w:tr w:rsidR="00E75F90" w:rsidRPr="008A3BD8" w14:paraId="7297E580" w14:textId="77777777" w:rsidTr="00402AAE">
        <w:trPr>
          <w:trHeight w:val="724"/>
        </w:trPr>
        <w:tc>
          <w:tcPr>
            <w:tcW w:w="3685" w:type="dxa"/>
          </w:tcPr>
          <w:p w14:paraId="344490FC" w14:textId="3287AD21" w:rsidR="00E75F90" w:rsidRPr="008A3BD8" w:rsidRDefault="00375963" w:rsidP="000074EC">
            <w:pPr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  <w:t>Ryzyko odpływu kluczowych kadr technicznych (</w:t>
            </w:r>
            <w:proofErr w:type="spellStart"/>
            <w:r w:rsidRPr="008A3BD8"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  <w:t>MLOps</w:t>
            </w:r>
            <w:proofErr w:type="spellEnd"/>
            <w:r w:rsidRPr="008A3BD8"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  <w:t xml:space="preserve"> / Data Science) odpowiedzialnych za system</w:t>
            </w:r>
          </w:p>
        </w:tc>
        <w:tc>
          <w:tcPr>
            <w:tcW w:w="1985" w:type="dxa"/>
            <w:shd w:val="clear" w:color="auto" w:fill="FFFFFF"/>
          </w:tcPr>
          <w:p w14:paraId="457AE718" w14:textId="415F9FD1" w:rsidR="00E75F90" w:rsidRPr="008A3BD8" w:rsidRDefault="00375963" w:rsidP="000074EC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Średnia</w:t>
            </w:r>
          </w:p>
        </w:tc>
        <w:tc>
          <w:tcPr>
            <w:tcW w:w="1701" w:type="dxa"/>
            <w:shd w:val="clear" w:color="auto" w:fill="FFFFFF"/>
          </w:tcPr>
          <w:p w14:paraId="17004B81" w14:textId="2924800F" w:rsidR="00E75F90" w:rsidRPr="008A3BD8" w:rsidRDefault="00375963" w:rsidP="000074EC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Średnie</w:t>
            </w:r>
          </w:p>
        </w:tc>
        <w:tc>
          <w:tcPr>
            <w:tcW w:w="2693" w:type="dxa"/>
            <w:shd w:val="clear" w:color="auto" w:fill="FFFFFF"/>
          </w:tcPr>
          <w:p w14:paraId="015D47CB" w14:textId="3BF6138B" w:rsidR="00E75F90" w:rsidRPr="008A3BD8" w:rsidRDefault="00375963" w:rsidP="000074EC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Działania mitygujące zostaną podjęte już w trakcie trwania projektu (w ramach pakietu prac WP6). Zaplanowano tam kompleksowe szkolenia stanowiskowe oraz przygotowanie szczegółowej dokumentacji techniczno-operacyjnej dla etatowych pracowników pionów IT konsorcjantów. Codzienne utrzymanie platformy zostanie zintegrowane ze stałymi strukturami technicznymi lidera technologicznego (PK) oraz departamentów IT samorządu adwokackiego, co uniezależni trwałość e-</w:t>
            </w: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lastRenderedPageBreak/>
              <w:t>usługi od rotacji personelu zatrudnionego ściśle do prac badawczo-rozwojowych.</w:t>
            </w:r>
          </w:p>
        </w:tc>
      </w:tr>
      <w:tr w:rsidR="00375963" w:rsidRPr="008A3BD8" w14:paraId="44340D4F" w14:textId="77777777" w:rsidTr="00402AAE">
        <w:trPr>
          <w:trHeight w:val="724"/>
        </w:trPr>
        <w:tc>
          <w:tcPr>
            <w:tcW w:w="3685" w:type="dxa"/>
          </w:tcPr>
          <w:p w14:paraId="7CC8AA4A" w14:textId="791362EA" w:rsidR="00375963" w:rsidRPr="008A3BD8" w:rsidRDefault="007E3248" w:rsidP="000074EC">
            <w:pPr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  <w:lastRenderedPageBreak/>
              <w:t xml:space="preserve">Ryzyko niedostosowania systemu do dynamicznych zmian w otoczeniu prawnym (np. ewolucja AI </w:t>
            </w:r>
            <w:proofErr w:type="spellStart"/>
            <w:r w:rsidRPr="008A3BD8"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  <w:t>Act</w:t>
            </w:r>
            <w:proofErr w:type="spellEnd"/>
            <w:r w:rsidRPr="008A3BD8"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  <w:t>, RODO)</w:t>
            </w:r>
          </w:p>
        </w:tc>
        <w:tc>
          <w:tcPr>
            <w:tcW w:w="1985" w:type="dxa"/>
            <w:shd w:val="clear" w:color="auto" w:fill="FFFFFF"/>
          </w:tcPr>
          <w:p w14:paraId="3939C41B" w14:textId="00D60770" w:rsidR="00375963" w:rsidRPr="008A3BD8" w:rsidRDefault="007E3248" w:rsidP="000074EC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Średnia</w:t>
            </w:r>
          </w:p>
        </w:tc>
        <w:tc>
          <w:tcPr>
            <w:tcW w:w="1701" w:type="dxa"/>
            <w:shd w:val="clear" w:color="auto" w:fill="FFFFFF"/>
          </w:tcPr>
          <w:p w14:paraId="7825227C" w14:textId="4170255A" w:rsidR="00375963" w:rsidRPr="008A3BD8" w:rsidRDefault="007E3248" w:rsidP="000074EC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Średnie</w:t>
            </w:r>
          </w:p>
        </w:tc>
        <w:tc>
          <w:tcPr>
            <w:tcW w:w="2693" w:type="dxa"/>
            <w:shd w:val="clear" w:color="auto" w:fill="FFFFFF"/>
          </w:tcPr>
          <w:p w14:paraId="43A8F7B7" w14:textId="5AB0F572" w:rsidR="00375963" w:rsidRPr="008A3BD8" w:rsidRDefault="007E3248" w:rsidP="000074EC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Po zakończeniu projektu powołany zostanie międzyinstytucjonalny Komitet Sterujący ds. Trwałości Systemu DSE-L (złożony z ekspertów prawnych NRA oraz inżynierów PK). Ponieważ system funkcjonuje w pełni lokalnie (on-</w:t>
            </w:r>
            <w:proofErr w:type="spellStart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premise</w:t>
            </w:r>
            <w:proofErr w:type="spellEnd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 xml:space="preserve">) w odizolowanej sieci i konsorcjum posiada pełne prawa do kodu źródłowego warstwy aplikacyjnej, ewentualne modyfikacje filtrów </w:t>
            </w:r>
            <w:proofErr w:type="spellStart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anonimizujących</w:t>
            </w:r>
            <w:proofErr w:type="spellEnd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, algorytmów weryfikacji formalno-prawnej czy polityk dostępu Zero Trust mogą być wprowadzane elastycznie i autonomicznie, bez konieczności angażowania zewnętrznych dostawców.</w:t>
            </w:r>
          </w:p>
        </w:tc>
      </w:tr>
      <w:tr w:rsidR="007E3248" w:rsidRPr="008A3BD8" w14:paraId="0B479620" w14:textId="77777777" w:rsidTr="00402AAE">
        <w:trPr>
          <w:trHeight w:val="724"/>
        </w:trPr>
        <w:tc>
          <w:tcPr>
            <w:tcW w:w="3685" w:type="dxa"/>
          </w:tcPr>
          <w:p w14:paraId="38364F0C" w14:textId="63D72A9E" w:rsidR="007E3248" w:rsidRPr="008A3BD8" w:rsidRDefault="00B8590C" w:rsidP="000074EC">
            <w:pPr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szCs w:val="24"/>
                <w:lang w:val="pl-PL" w:eastAsia="pl-PL"/>
              </w:rPr>
              <w:t>Ryzyko spadku zaangażowania i rezygnacji instytucjonalnych użytkowników z e-usługi (A2A)</w:t>
            </w:r>
          </w:p>
        </w:tc>
        <w:tc>
          <w:tcPr>
            <w:tcW w:w="1985" w:type="dxa"/>
            <w:shd w:val="clear" w:color="auto" w:fill="FFFFFF"/>
          </w:tcPr>
          <w:p w14:paraId="16835648" w14:textId="347021A2" w:rsidR="007E3248" w:rsidRPr="008A3BD8" w:rsidRDefault="00B8590C" w:rsidP="000074EC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Średnia</w:t>
            </w:r>
          </w:p>
        </w:tc>
        <w:tc>
          <w:tcPr>
            <w:tcW w:w="1701" w:type="dxa"/>
            <w:shd w:val="clear" w:color="auto" w:fill="FFFFFF"/>
          </w:tcPr>
          <w:p w14:paraId="4791C73F" w14:textId="3AEA2895" w:rsidR="007E3248" w:rsidRPr="008A3BD8" w:rsidRDefault="00B8590C" w:rsidP="000074EC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Niskie</w:t>
            </w:r>
          </w:p>
        </w:tc>
        <w:tc>
          <w:tcPr>
            <w:tcW w:w="2693" w:type="dxa"/>
            <w:shd w:val="clear" w:color="auto" w:fill="FFFFFF"/>
          </w:tcPr>
          <w:p w14:paraId="3E95937A" w14:textId="74099E2A" w:rsidR="007E3248" w:rsidRPr="008A3BD8" w:rsidRDefault="00B8590C" w:rsidP="000074EC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</w:pPr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 xml:space="preserve">Konstrukcja e-usługi odpowiada na realne, zdiagnozowane wąskie gardła wewnątrzadministracyjne (czas przetwarzania pism i </w:t>
            </w:r>
            <w:proofErr w:type="spellStart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anonimizacji</w:t>
            </w:r>
            <w:proofErr w:type="spellEnd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 xml:space="preserve"> poniżej 3 sekund dla dokumentów do 20 stron). Zaangażowanie docelowych użytkowników (sędziów, adwokatów) w fazie „ślepych testów” i optymalizacji UX/UI (WP6) gwarantuje wysoką ergonomię systemu. Trwałość popytu na usługę zabezpiecza jej horyzontalny charakter i integracja przez API z systemami dziedzinowymi, stając się standardowym elementem codziennego, zautomatyzowanego potoku pracy (</w:t>
            </w:r>
            <w:proofErr w:type="spellStart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workflow</w:t>
            </w:r>
            <w:proofErr w:type="spellEnd"/>
            <w:r w:rsidRPr="008A3BD8"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20"/>
                <w:lang w:eastAsia="pl-PL"/>
              </w:rPr>
              <w:t>) wewnątrz instytucji.</w:t>
            </w:r>
          </w:p>
        </w:tc>
      </w:tr>
    </w:tbl>
    <w:p w14:paraId="24664121" w14:textId="77777777" w:rsidR="00485E7E" w:rsidRPr="00485E7E" w:rsidRDefault="00485E7E" w:rsidP="00485E7E">
      <w:pPr>
        <w:pStyle w:val="Tekstpodstawowy"/>
        <w:rPr>
          <w:lang w:val="pl-PL" w:eastAsia="pl-PL"/>
        </w:rPr>
      </w:pPr>
    </w:p>
    <w:p w14:paraId="1E31E7F8" w14:textId="77777777" w:rsidR="0056584B" w:rsidRPr="001B6667" w:rsidRDefault="002F7D84" w:rsidP="00885C3A">
      <w:pPr>
        <w:pStyle w:val="Nagwek1"/>
        <w:rPr>
          <w:rFonts w:cs="Arial"/>
          <w:lang w:val="pl-PL" w:eastAsia="pl-PL"/>
        </w:rPr>
      </w:pPr>
      <w:r w:rsidRPr="001B6667">
        <w:rPr>
          <w:rFonts w:cs="Arial"/>
          <w:lang w:val="pl-PL" w:eastAsia="pl-PL"/>
        </w:rPr>
        <w:lastRenderedPageBreak/>
        <w:t>OTOCZENIE PRAWNE</w:t>
      </w:r>
      <w:r w:rsidR="00E01872">
        <w:rPr>
          <w:rFonts w:cs="Arial"/>
          <w:lang w:val="pl-PL" w:eastAsia="pl-PL"/>
        </w:rPr>
        <w:t xml:space="preserve"> </w:t>
      </w:r>
      <w:r w:rsidR="00E01872" w:rsidRPr="00E01872">
        <w:rPr>
          <w:rFonts w:cs="Arial"/>
          <w:b w:val="0"/>
          <w:caps w:val="0"/>
          <w:color w:val="7F7F7F" w:themeColor="text1" w:themeTint="80"/>
          <w:sz w:val="20"/>
          <w:szCs w:val="20"/>
          <w:lang w:val="pl-PL" w:eastAsia="pl-PL"/>
        </w:rPr>
        <w:t>&lt;&lt;maksymalnie 1000 znaków&gt;&gt;</w:t>
      </w:r>
    </w:p>
    <w:p w14:paraId="1C74DA24" w14:textId="658BDD73" w:rsidR="00244181" w:rsidRPr="00244181" w:rsidRDefault="00244181" w:rsidP="001B6667">
      <w:pPr>
        <w:pStyle w:val="Tekstpodstawowy2"/>
        <w:spacing w:after="240"/>
        <w:ind w:left="902"/>
        <w:rPr>
          <w:rFonts w:cs="Arial"/>
          <w:color w:val="000000" w:themeColor="text1"/>
          <w:sz w:val="22"/>
          <w:lang w:val="pl-PL" w:eastAsia="pl-PL"/>
        </w:rPr>
      </w:pPr>
      <w:r w:rsidRPr="00244181">
        <w:rPr>
          <w:rFonts w:cstheme="minorHAnsi"/>
          <w:color w:val="000000" w:themeColor="text1"/>
          <w:lang w:val="pl-PL"/>
        </w:rPr>
        <w:t xml:space="preserve">Wdrożenie systemu DSE-L doprowadzi do likwidacji zatorów administracyjnych w sądownictwie poprzez m.in. automatyzację weryfikacji pism na poziomie </w:t>
      </w:r>
      <w:proofErr w:type="spellStart"/>
      <w:r w:rsidRPr="00244181">
        <w:rPr>
          <w:rFonts w:cstheme="minorHAnsi"/>
          <w:color w:val="000000" w:themeColor="text1"/>
          <w:lang w:val="pl-PL"/>
        </w:rPr>
        <w:t>back-office</w:t>
      </w:r>
      <w:proofErr w:type="spellEnd"/>
      <w:r w:rsidRPr="00244181">
        <w:rPr>
          <w:rFonts w:cstheme="minorHAnsi"/>
          <w:color w:val="000000" w:themeColor="text1"/>
          <w:lang w:val="pl-PL"/>
        </w:rPr>
        <w:t xml:space="preserve">, ochronę prywatności i danych wrażliwych obywateli, zwiększenie transparentności i dostępności do zasobów wiedzy prawnej, eliminację błędów formalnych na etapie </w:t>
      </w:r>
      <w:proofErr w:type="spellStart"/>
      <w:r w:rsidRPr="00244181">
        <w:rPr>
          <w:rFonts w:cstheme="minorHAnsi"/>
          <w:color w:val="000000" w:themeColor="text1"/>
          <w:lang w:val="pl-PL"/>
        </w:rPr>
        <w:t>przedprocesowym</w:t>
      </w:r>
      <w:proofErr w:type="spellEnd"/>
      <w:r w:rsidRPr="00244181">
        <w:rPr>
          <w:rFonts w:cstheme="minorHAnsi"/>
          <w:color w:val="000000" w:themeColor="text1"/>
          <w:lang w:val="pl-PL"/>
        </w:rPr>
        <w:t xml:space="preserve"> oraz wyznaczanie standardów etycznych i zgodności z prawem unijnym. Wskazany powyżej zakres projektu należy wskazać, że przedsięwzięcia jest gotowe do realizacji w istniejącym otoczeniu prawnym. Przedsięwzięcie pozwoli na efektywniejszą realizację przepisów procedury administracyjnej, karnej oraz cywilnej, jak też sądowej w zakresie cyfryzacji i digitalizacji postępowań. Obowiązujące regulacje prawne nie tylko umożliwiają jego wdrożenie, lecz również tworzą odpowiednie ramy normatywne dla wykorzystania nowoczesnych narzędzi cyfrowych wspierających przebieg postępowań prowadzonych przez organy adwokatury, administracji publicznej i wymiar sprawiedliwości.</w:t>
      </w:r>
    </w:p>
    <w:tbl>
      <w:tblPr>
        <w:tblStyle w:val="Tabela-Siatka"/>
        <w:tblW w:w="9599" w:type="dxa"/>
        <w:tblInd w:w="461" w:type="dxa"/>
        <w:tblLook w:val="04A0" w:firstRow="1" w:lastRow="0" w:firstColumn="1" w:lastColumn="0" w:noHBand="0" w:noVBand="1"/>
      </w:tblPr>
      <w:tblGrid>
        <w:gridCol w:w="461"/>
        <w:gridCol w:w="4079"/>
        <w:gridCol w:w="1276"/>
        <w:gridCol w:w="2199"/>
        <w:gridCol w:w="1584"/>
      </w:tblGrid>
      <w:tr w:rsidR="0078552C" w:rsidRPr="00AA190F" w14:paraId="3079F191" w14:textId="77777777" w:rsidTr="00B3193E">
        <w:tc>
          <w:tcPr>
            <w:tcW w:w="461" w:type="dxa"/>
            <w:shd w:val="clear" w:color="auto" w:fill="D9D9D9" w:themeFill="background1" w:themeFillShade="D9"/>
          </w:tcPr>
          <w:p w14:paraId="4917D717" w14:textId="77777777" w:rsidR="0078552C" w:rsidRPr="00B3193E" w:rsidRDefault="0078552C" w:rsidP="00480C5A">
            <w:pPr>
              <w:jc w:val="center"/>
              <w:rPr>
                <w:rFonts w:eastAsia="MS MinNew Roman" w:cs="Arial"/>
                <w:b/>
                <w:bCs/>
                <w:sz w:val="20"/>
                <w:lang w:val="pl-PL"/>
              </w:rPr>
            </w:pPr>
            <w:proofErr w:type="spellStart"/>
            <w:r w:rsidRPr="0078552C">
              <w:rPr>
                <w:rFonts w:eastAsia="MS MinNew Roman" w:cs="Arial"/>
                <w:b/>
                <w:bCs/>
                <w:sz w:val="20"/>
                <w:lang w:val="pl-PL"/>
              </w:rPr>
              <w:t>Lp</w:t>
            </w:r>
            <w:proofErr w:type="spellEnd"/>
          </w:p>
        </w:tc>
        <w:tc>
          <w:tcPr>
            <w:tcW w:w="4212" w:type="dxa"/>
            <w:shd w:val="clear" w:color="auto" w:fill="D9D9D9" w:themeFill="background1" w:themeFillShade="D9"/>
          </w:tcPr>
          <w:p w14:paraId="32A36699" w14:textId="77777777" w:rsidR="0078552C" w:rsidRPr="00B3193E" w:rsidRDefault="008B3343" w:rsidP="008B3343">
            <w:pPr>
              <w:pStyle w:val="Legenda"/>
              <w:jc w:val="center"/>
              <w:rPr>
                <w:rFonts w:ascii="Arial" w:eastAsia="MS Min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MS MinNew Roman" w:hAnsi="Arial" w:cs="Arial"/>
                <w:kern w:val="0"/>
                <w:sz w:val="20"/>
                <w:szCs w:val="20"/>
              </w:rPr>
              <w:t>T</w:t>
            </w:r>
            <w:r w:rsidR="00193CC4">
              <w:rPr>
                <w:rFonts w:ascii="Arial" w:eastAsia="MS MinNew Roman" w:hAnsi="Arial" w:cs="Arial"/>
                <w:kern w:val="0"/>
                <w:sz w:val="20"/>
                <w:szCs w:val="20"/>
              </w:rPr>
              <w:t>ytuł</w:t>
            </w:r>
            <w:r w:rsidR="00193CC4" w:rsidRPr="00B3193E">
              <w:rPr>
                <w:rFonts w:ascii="Arial" w:eastAsia="MS MinNew Roman" w:hAnsi="Arial" w:cs="Arial"/>
                <w:kern w:val="0"/>
                <w:sz w:val="20"/>
                <w:szCs w:val="20"/>
              </w:rPr>
              <w:t xml:space="preserve"> </w:t>
            </w:r>
            <w:r w:rsidR="0078552C" w:rsidRPr="00B3193E">
              <w:rPr>
                <w:rFonts w:ascii="Arial" w:eastAsia="MS MinNew Roman" w:hAnsi="Arial" w:cs="Arial"/>
                <w:kern w:val="0"/>
                <w:sz w:val="20"/>
                <w:szCs w:val="20"/>
              </w:rPr>
              <w:t>aktu prawnego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14:paraId="41A3BBDF" w14:textId="77777777" w:rsidR="0078552C" w:rsidRPr="00B3193E" w:rsidRDefault="0078552C" w:rsidP="00B3193E">
            <w:pPr>
              <w:pStyle w:val="Legenda"/>
              <w:jc w:val="center"/>
              <w:rPr>
                <w:rFonts w:ascii="Arial" w:eastAsia="MS MinNew Roman" w:hAnsi="Arial" w:cs="Arial"/>
                <w:kern w:val="0"/>
                <w:sz w:val="20"/>
                <w:szCs w:val="20"/>
              </w:rPr>
            </w:pPr>
            <w:r w:rsidRPr="00B3193E">
              <w:rPr>
                <w:rFonts w:ascii="Arial" w:eastAsia="MS MinNew Roman" w:hAnsi="Arial" w:cs="Arial"/>
                <w:kern w:val="0"/>
                <w:sz w:val="20"/>
                <w:szCs w:val="20"/>
              </w:rPr>
              <w:t>Czy wymaga zmian?</w:t>
            </w:r>
          </w:p>
        </w:tc>
        <w:tc>
          <w:tcPr>
            <w:tcW w:w="2252" w:type="dxa"/>
            <w:shd w:val="clear" w:color="auto" w:fill="D9D9D9" w:themeFill="background1" w:themeFillShade="D9"/>
          </w:tcPr>
          <w:p w14:paraId="416B2E02" w14:textId="77777777" w:rsidR="0078552C" w:rsidRPr="00B3193E" w:rsidRDefault="0078552C" w:rsidP="00B3193E">
            <w:pPr>
              <w:pStyle w:val="Legenda"/>
              <w:jc w:val="center"/>
              <w:rPr>
                <w:rFonts w:ascii="Arial" w:eastAsia="MS MinNew Roman" w:hAnsi="Arial" w:cs="Arial"/>
                <w:kern w:val="0"/>
                <w:sz w:val="20"/>
                <w:szCs w:val="20"/>
              </w:rPr>
            </w:pPr>
            <w:r w:rsidRPr="00B3193E">
              <w:rPr>
                <w:rFonts w:ascii="Arial" w:eastAsia="MS MinNew Roman" w:hAnsi="Arial" w:cs="Arial"/>
                <w:kern w:val="0"/>
                <w:sz w:val="20"/>
                <w:szCs w:val="20"/>
              </w:rPr>
              <w:t>Opis zmian (jeśli dotyczy)</w:t>
            </w:r>
          </w:p>
        </w:tc>
        <w:tc>
          <w:tcPr>
            <w:tcW w:w="1396" w:type="dxa"/>
            <w:shd w:val="clear" w:color="auto" w:fill="D9D9D9" w:themeFill="background1" w:themeFillShade="D9"/>
          </w:tcPr>
          <w:p w14:paraId="47D0CDF4" w14:textId="77777777" w:rsidR="0078552C" w:rsidRPr="00B3193E" w:rsidRDefault="0078552C" w:rsidP="00B3193E">
            <w:pPr>
              <w:pStyle w:val="Legenda"/>
              <w:jc w:val="center"/>
              <w:rPr>
                <w:rFonts w:ascii="Arial" w:eastAsia="MS MinNew Roman" w:hAnsi="Arial" w:cs="Arial"/>
                <w:kern w:val="0"/>
                <w:sz w:val="20"/>
                <w:szCs w:val="20"/>
              </w:rPr>
            </w:pPr>
            <w:r w:rsidRPr="00B3193E">
              <w:rPr>
                <w:rFonts w:ascii="Arial" w:eastAsia="MS MinNew Roman" w:hAnsi="Arial" w:cs="Arial"/>
                <w:kern w:val="0"/>
                <w:sz w:val="20"/>
                <w:szCs w:val="20"/>
              </w:rPr>
              <w:t>Etap prac legislacyjnych (jeśli dotyczy)</w:t>
            </w:r>
          </w:p>
        </w:tc>
      </w:tr>
      <w:tr w:rsidR="0078552C" w:rsidRPr="00244181" w14:paraId="06B24C4D" w14:textId="77777777" w:rsidTr="00B3193E">
        <w:tc>
          <w:tcPr>
            <w:tcW w:w="461" w:type="dxa"/>
          </w:tcPr>
          <w:p w14:paraId="51351F0B" w14:textId="2FDD0F3D" w:rsidR="0078552C" w:rsidRPr="00244181" w:rsidRDefault="00700074" w:rsidP="00480C5A">
            <w:pPr>
              <w:jc w:val="both"/>
              <w:rPr>
                <w:rFonts w:cstheme="minorHAnsi"/>
                <w:color w:val="000000" w:themeColor="text1"/>
                <w:lang w:val="pl-PL"/>
              </w:rPr>
            </w:pPr>
            <w:r w:rsidRPr="00244181">
              <w:rPr>
                <w:rFonts w:cstheme="minorHAnsi"/>
                <w:color w:val="000000" w:themeColor="text1"/>
                <w:lang w:val="pl-PL"/>
              </w:rPr>
              <w:t>1</w:t>
            </w:r>
          </w:p>
        </w:tc>
        <w:tc>
          <w:tcPr>
            <w:tcW w:w="4212" w:type="dxa"/>
          </w:tcPr>
          <w:p w14:paraId="7DF4BAE4" w14:textId="1723E9B9" w:rsidR="0078552C" w:rsidRPr="00244181" w:rsidRDefault="00244181" w:rsidP="00700074">
            <w:pPr>
              <w:jc w:val="both"/>
              <w:rPr>
                <w:rFonts w:cstheme="minorHAnsi"/>
                <w:color w:val="000000" w:themeColor="text1"/>
                <w:lang w:val="pl-PL"/>
              </w:rPr>
            </w:pPr>
            <w:r w:rsidRPr="00244181">
              <w:rPr>
                <w:rFonts w:cstheme="minorHAnsi"/>
                <w:color w:val="000000" w:themeColor="text1"/>
                <w:lang w:val="pl-PL"/>
              </w:rPr>
              <w:t>Nie dotyczy</w:t>
            </w:r>
          </w:p>
        </w:tc>
        <w:tc>
          <w:tcPr>
            <w:tcW w:w="1278" w:type="dxa"/>
          </w:tcPr>
          <w:p w14:paraId="30B2AB20" w14:textId="77777777" w:rsidR="0078552C" w:rsidRPr="00244181" w:rsidRDefault="0078552C" w:rsidP="00480C5A">
            <w:pPr>
              <w:jc w:val="both"/>
              <w:rPr>
                <w:rFonts w:cstheme="minorHAnsi"/>
                <w:color w:val="000000" w:themeColor="text1"/>
              </w:rPr>
            </w:pPr>
            <w:r w:rsidRPr="00244181">
              <w:rPr>
                <w:rFonts w:cstheme="minorHAnsi"/>
                <w:strike/>
                <w:color w:val="000000" w:themeColor="text1"/>
              </w:rPr>
              <w:t>TAK</w:t>
            </w:r>
            <w:r w:rsidRPr="00244181">
              <w:rPr>
                <w:rFonts w:cstheme="minorHAnsi"/>
                <w:color w:val="000000" w:themeColor="text1"/>
              </w:rPr>
              <w:t>/NIE</w:t>
            </w:r>
            <w:r w:rsidRPr="00244181">
              <w:rPr>
                <w:rStyle w:val="Odwoanieprzypisudolnego"/>
                <w:color w:val="000000" w:themeColor="text1"/>
              </w:rPr>
              <w:footnoteReference w:id="4"/>
            </w:r>
          </w:p>
        </w:tc>
        <w:tc>
          <w:tcPr>
            <w:tcW w:w="2252" w:type="dxa"/>
          </w:tcPr>
          <w:p w14:paraId="515BAC7C" w14:textId="3E802931" w:rsidR="0078552C" w:rsidRPr="00244181" w:rsidRDefault="00700074" w:rsidP="00700074">
            <w:pPr>
              <w:jc w:val="center"/>
              <w:rPr>
                <w:rFonts w:cstheme="minorHAnsi"/>
                <w:color w:val="000000" w:themeColor="text1"/>
              </w:rPr>
            </w:pPr>
            <w:r w:rsidRPr="00244181">
              <w:rPr>
                <w:rFonts w:cstheme="minorHAnsi"/>
                <w:color w:val="000000" w:themeColor="text1"/>
              </w:rPr>
              <w:t xml:space="preserve">Nie </w:t>
            </w:r>
            <w:proofErr w:type="spellStart"/>
            <w:r w:rsidRPr="00244181">
              <w:rPr>
                <w:rFonts w:cstheme="minorHAnsi"/>
                <w:color w:val="000000" w:themeColor="text1"/>
              </w:rPr>
              <w:t>dotyczy</w:t>
            </w:r>
            <w:proofErr w:type="spellEnd"/>
          </w:p>
        </w:tc>
        <w:tc>
          <w:tcPr>
            <w:tcW w:w="1396" w:type="dxa"/>
          </w:tcPr>
          <w:p w14:paraId="44F50449" w14:textId="684BD6EC" w:rsidR="0078552C" w:rsidRPr="00244181" w:rsidRDefault="00700074" w:rsidP="00700074">
            <w:pPr>
              <w:jc w:val="center"/>
              <w:rPr>
                <w:rFonts w:cstheme="minorHAnsi"/>
                <w:color w:val="000000" w:themeColor="text1"/>
              </w:rPr>
            </w:pPr>
            <w:r w:rsidRPr="00244181">
              <w:rPr>
                <w:rFonts w:cstheme="minorHAnsi"/>
                <w:color w:val="000000" w:themeColor="text1"/>
              </w:rPr>
              <w:t xml:space="preserve">Nie </w:t>
            </w:r>
            <w:proofErr w:type="spellStart"/>
            <w:r w:rsidRPr="00244181">
              <w:rPr>
                <w:rFonts w:cstheme="minorHAnsi"/>
                <w:color w:val="000000" w:themeColor="text1"/>
              </w:rPr>
              <w:t>dotyczy</w:t>
            </w:r>
            <w:proofErr w:type="spellEnd"/>
          </w:p>
        </w:tc>
      </w:tr>
    </w:tbl>
    <w:p w14:paraId="0125C90B" w14:textId="77777777" w:rsidR="00661C7C" w:rsidRDefault="00661C7C" w:rsidP="00534314">
      <w:pPr>
        <w:pStyle w:val="Tekstpodstawowy2"/>
        <w:ind w:left="0"/>
        <w:rPr>
          <w:lang w:val="pl-PL" w:eastAsia="pl-PL"/>
        </w:rPr>
      </w:pPr>
    </w:p>
    <w:p w14:paraId="125126D7" w14:textId="77777777" w:rsidR="008A3BD8" w:rsidRDefault="008A3BD8" w:rsidP="00534314">
      <w:pPr>
        <w:pStyle w:val="Tekstpodstawowy2"/>
        <w:ind w:left="0"/>
        <w:rPr>
          <w:lang w:val="pl-PL" w:eastAsia="pl-PL"/>
        </w:rPr>
      </w:pPr>
    </w:p>
    <w:p w14:paraId="4BFE5371" w14:textId="77777777" w:rsidR="008A3BD8" w:rsidRDefault="008A3BD8" w:rsidP="00534314">
      <w:pPr>
        <w:pStyle w:val="Tekstpodstawowy2"/>
        <w:ind w:left="0"/>
        <w:rPr>
          <w:lang w:val="pl-PL" w:eastAsia="pl-PL"/>
        </w:rPr>
      </w:pPr>
    </w:p>
    <w:p w14:paraId="3BC66E14" w14:textId="77777777" w:rsidR="008A3BD8" w:rsidRDefault="008A3BD8" w:rsidP="00534314">
      <w:pPr>
        <w:pStyle w:val="Tekstpodstawowy2"/>
        <w:ind w:left="0"/>
        <w:rPr>
          <w:lang w:val="pl-PL" w:eastAsia="pl-PL"/>
        </w:rPr>
      </w:pPr>
    </w:p>
    <w:p w14:paraId="48F15D27" w14:textId="77777777" w:rsidR="008A3BD8" w:rsidRDefault="008A3BD8" w:rsidP="00534314">
      <w:pPr>
        <w:pStyle w:val="Tekstpodstawowy2"/>
        <w:ind w:left="0"/>
        <w:rPr>
          <w:lang w:val="pl-PL" w:eastAsia="pl-PL"/>
        </w:rPr>
      </w:pPr>
    </w:p>
    <w:p w14:paraId="1465AB42" w14:textId="77777777" w:rsidR="008A3BD8" w:rsidRDefault="008A3BD8" w:rsidP="00534314">
      <w:pPr>
        <w:pStyle w:val="Tekstpodstawowy2"/>
        <w:ind w:left="0"/>
        <w:rPr>
          <w:lang w:val="pl-PL" w:eastAsia="pl-PL"/>
        </w:rPr>
      </w:pPr>
    </w:p>
    <w:p w14:paraId="7872A7E8" w14:textId="77777777" w:rsidR="008A3BD8" w:rsidRDefault="008A3BD8" w:rsidP="00534314">
      <w:pPr>
        <w:pStyle w:val="Tekstpodstawowy2"/>
        <w:ind w:left="0"/>
        <w:rPr>
          <w:lang w:val="pl-PL" w:eastAsia="pl-PL"/>
        </w:rPr>
      </w:pPr>
    </w:p>
    <w:p w14:paraId="63EFEDA3" w14:textId="77777777" w:rsidR="008A3BD8" w:rsidRDefault="008A3BD8" w:rsidP="00534314">
      <w:pPr>
        <w:pStyle w:val="Tekstpodstawowy2"/>
        <w:ind w:left="0"/>
        <w:rPr>
          <w:lang w:val="pl-PL" w:eastAsia="pl-PL"/>
        </w:rPr>
      </w:pPr>
    </w:p>
    <w:p w14:paraId="6CE825F8" w14:textId="77777777" w:rsidR="008A3BD8" w:rsidRDefault="008A3BD8" w:rsidP="00534314">
      <w:pPr>
        <w:pStyle w:val="Tekstpodstawowy2"/>
        <w:ind w:left="0"/>
        <w:rPr>
          <w:lang w:val="pl-PL" w:eastAsia="pl-PL"/>
        </w:rPr>
      </w:pPr>
    </w:p>
    <w:p w14:paraId="6F37A386" w14:textId="77777777" w:rsidR="008A3BD8" w:rsidRDefault="008A3BD8" w:rsidP="00534314">
      <w:pPr>
        <w:pStyle w:val="Tekstpodstawowy2"/>
        <w:ind w:left="0"/>
        <w:rPr>
          <w:lang w:val="pl-PL" w:eastAsia="pl-PL"/>
        </w:rPr>
      </w:pPr>
    </w:p>
    <w:p w14:paraId="5FE3A96F" w14:textId="77777777" w:rsidR="008A3BD8" w:rsidRDefault="008A3BD8" w:rsidP="00534314">
      <w:pPr>
        <w:pStyle w:val="Tekstpodstawowy2"/>
        <w:ind w:left="0"/>
        <w:rPr>
          <w:lang w:val="pl-PL" w:eastAsia="pl-PL"/>
        </w:rPr>
      </w:pPr>
    </w:p>
    <w:p w14:paraId="4BDAE13A" w14:textId="77777777" w:rsidR="008A3BD8" w:rsidRDefault="008A3BD8" w:rsidP="00534314">
      <w:pPr>
        <w:pStyle w:val="Tekstpodstawowy2"/>
        <w:ind w:left="0"/>
        <w:rPr>
          <w:lang w:val="pl-PL" w:eastAsia="pl-PL"/>
        </w:rPr>
      </w:pPr>
    </w:p>
    <w:p w14:paraId="2D2B4826" w14:textId="77777777" w:rsidR="008A3BD8" w:rsidRDefault="008A3BD8" w:rsidP="00534314">
      <w:pPr>
        <w:pStyle w:val="Tekstpodstawowy2"/>
        <w:ind w:left="0"/>
        <w:rPr>
          <w:lang w:val="pl-PL" w:eastAsia="pl-PL"/>
        </w:rPr>
      </w:pPr>
    </w:p>
    <w:p w14:paraId="553A2C04" w14:textId="77777777" w:rsidR="008A3BD8" w:rsidRDefault="008A3BD8" w:rsidP="00534314">
      <w:pPr>
        <w:pStyle w:val="Tekstpodstawowy2"/>
        <w:ind w:left="0"/>
        <w:rPr>
          <w:lang w:val="pl-PL" w:eastAsia="pl-PL"/>
        </w:rPr>
      </w:pPr>
    </w:p>
    <w:p w14:paraId="22268009" w14:textId="77777777" w:rsidR="008A3BD8" w:rsidRDefault="008A3BD8" w:rsidP="00534314">
      <w:pPr>
        <w:pStyle w:val="Tekstpodstawowy2"/>
        <w:ind w:left="0"/>
        <w:rPr>
          <w:lang w:val="pl-PL" w:eastAsia="pl-PL"/>
        </w:rPr>
      </w:pPr>
    </w:p>
    <w:p w14:paraId="46A01531" w14:textId="77777777" w:rsidR="008A3BD8" w:rsidRDefault="008A3BD8" w:rsidP="00534314">
      <w:pPr>
        <w:pStyle w:val="Tekstpodstawowy2"/>
        <w:ind w:left="0"/>
        <w:rPr>
          <w:lang w:val="pl-PL" w:eastAsia="pl-PL"/>
        </w:rPr>
      </w:pPr>
    </w:p>
    <w:p w14:paraId="219E5EC6" w14:textId="77777777" w:rsidR="007573B2" w:rsidRDefault="007573B2" w:rsidP="00505D03">
      <w:pPr>
        <w:pStyle w:val="Nagwek1"/>
        <w:numPr>
          <w:ilvl w:val="0"/>
          <w:numId w:val="10"/>
        </w:numPr>
        <w:rPr>
          <w:rFonts w:cs="Arial"/>
          <w:lang w:val="pl-PL" w:eastAsia="pl-PL"/>
        </w:rPr>
      </w:pPr>
      <w:r w:rsidRPr="007609C7">
        <w:rPr>
          <w:rFonts w:cs="Arial"/>
          <w:lang w:val="pl-PL" w:eastAsia="pl-PL"/>
        </w:rPr>
        <w:lastRenderedPageBreak/>
        <w:t>ARCHITEKTURA</w:t>
      </w:r>
    </w:p>
    <w:p w14:paraId="176B0975" w14:textId="77777777" w:rsidR="008A3BD8" w:rsidRPr="008A3BD8" w:rsidRDefault="008A3BD8" w:rsidP="008A3BD8">
      <w:pPr>
        <w:pStyle w:val="Tekstpodstawowy"/>
        <w:rPr>
          <w:lang w:val="pl-PL" w:eastAsia="pl-PL"/>
        </w:rPr>
      </w:pPr>
    </w:p>
    <w:p w14:paraId="394CC1F1" w14:textId="77777777" w:rsidR="007573B2" w:rsidRDefault="007573B2" w:rsidP="007573B2">
      <w:pPr>
        <w:pStyle w:val="Nagwek2"/>
        <w:keepNext/>
        <w:rPr>
          <w:lang w:val="pl-PL" w:eastAsia="pl-PL"/>
        </w:rPr>
      </w:pPr>
      <w:r>
        <w:rPr>
          <w:lang w:val="pl-PL" w:eastAsia="pl-PL"/>
        </w:rPr>
        <w:t>Widok kooperacji aplikacji</w:t>
      </w:r>
    </w:p>
    <w:p w14:paraId="67FF6A1C" w14:textId="77777777" w:rsidR="007573B2" w:rsidRDefault="007573B2" w:rsidP="007573B2">
      <w:pPr>
        <w:pStyle w:val="Tekstpodstawowy3"/>
        <w:ind w:left="851"/>
        <w:rPr>
          <w:lang w:val="pl-PL" w:eastAsia="pl-PL"/>
        </w:rPr>
      </w:pPr>
    </w:p>
    <w:p w14:paraId="4C969EB8" w14:textId="08DC7A78" w:rsidR="00C24030" w:rsidRDefault="00487B01" w:rsidP="007573B2">
      <w:pPr>
        <w:pStyle w:val="Tekstpodstawowy3"/>
        <w:ind w:left="851"/>
        <w:rPr>
          <w:lang w:val="pl-PL" w:eastAsia="pl-PL"/>
        </w:rPr>
      </w:pPr>
      <w:r w:rsidRPr="00487B01">
        <w:rPr>
          <w:noProof/>
        </w:rPr>
        <w:drawing>
          <wp:inline distT="0" distB="0" distL="0" distR="0" wp14:anchorId="0D530485" wp14:editId="0CB33F8E">
            <wp:extent cx="5400000" cy="3117857"/>
            <wp:effectExtent l="0" t="0" r="0" b="6350"/>
            <wp:docPr id="44453611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53611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3117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53DDEC" w14:textId="6B4FC2EB" w:rsidR="00C24030" w:rsidRPr="007D5D41" w:rsidRDefault="00C24030" w:rsidP="00485E7E">
      <w:pPr>
        <w:pStyle w:val="Tekstpodstawowy3"/>
        <w:ind w:left="0"/>
        <w:rPr>
          <w:lang w:val="pl-PL" w:eastAsia="pl-PL"/>
        </w:rPr>
      </w:pPr>
    </w:p>
    <w:tbl>
      <w:tblPr>
        <w:tblW w:w="9495" w:type="dxa"/>
        <w:tblInd w:w="581" w:type="dxa"/>
        <w:tblBorders>
          <w:top w:val="single" w:sz="4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808080"/>
          <w:insideV w:val="single" w:sz="2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1"/>
        <w:gridCol w:w="7434"/>
      </w:tblGrid>
      <w:tr w:rsidR="0032240B" w:rsidRPr="00C60369" w14:paraId="2F25E9EB" w14:textId="77777777" w:rsidTr="00402AAE">
        <w:trPr>
          <w:cantSplit/>
          <w:tblHeader/>
        </w:trPr>
        <w:tc>
          <w:tcPr>
            <w:tcW w:w="2061" w:type="dxa"/>
            <w:shd w:val="pct5" w:color="auto" w:fill="auto"/>
          </w:tcPr>
          <w:p w14:paraId="040336E1" w14:textId="77777777" w:rsidR="0032240B" w:rsidRPr="00321C0D" w:rsidRDefault="0032240B" w:rsidP="000074EC">
            <w:pPr>
              <w:pStyle w:val="Nagwektabeli"/>
              <w:rPr>
                <w:rFonts w:ascii="Arial" w:hAnsi="Arial" w:cs="Arial"/>
                <w:sz w:val="22"/>
                <w:szCs w:val="22"/>
              </w:rPr>
            </w:pPr>
            <w:r w:rsidRPr="00321C0D">
              <w:rPr>
                <w:rFonts w:ascii="Arial" w:hAnsi="Arial" w:cs="Arial"/>
                <w:color w:val="333333"/>
                <w:sz w:val="22"/>
                <w:szCs w:val="22"/>
              </w:rPr>
              <w:t>Status</w:t>
            </w:r>
          </w:p>
        </w:tc>
        <w:tc>
          <w:tcPr>
            <w:tcW w:w="7434" w:type="dxa"/>
            <w:shd w:val="pct5" w:color="auto" w:fill="auto"/>
          </w:tcPr>
          <w:p w14:paraId="0A5D0F70" w14:textId="77777777" w:rsidR="0032240B" w:rsidRPr="00321C0D" w:rsidRDefault="0032240B" w:rsidP="000074EC">
            <w:pPr>
              <w:pStyle w:val="Nagwektabeli"/>
              <w:rPr>
                <w:rFonts w:ascii="Arial" w:hAnsi="Arial" w:cs="Arial"/>
                <w:sz w:val="22"/>
                <w:szCs w:val="22"/>
              </w:rPr>
            </w:pPr>
            <w:r w:rsidRPr="00321C0D">
              <w:rPr>
                <w:rFonts w:ascii="Arial" w:hAnsi="Arial" w:cs="Arial"/>
                <w:sz w:val="22"/>
                <w:szCs w:val="22"/>
              </w:rPr>
              <w:t>Opis</w:t>
            </w:r>
          </w:p>
        </w:tc>
      </w:tr>
      <w:tr w:rsidR="0032240B" w:rsidRPr="00AA190F" w14:paraId="1583C93B" w14:textId="77777777" w:rsidTr="00402AAE">
        <w:trPr>
          <w:cantSplit/>
        </w:trPr>
        <w:tc>
          <w:tcPr>
            <w:tcW w:w="2061" w:type="dxa"/>
          </w:tcPr>
          <w:p w14:paraId="5C8BB8FB" w14:textId="77777777" w:rsidR="0032240B" w:rsidRPr="00321C0D" w:rsidRDefault="0032240B" w:rsidP="000074EC">
            <w:pPr>
              <w:pStyle w:val="Poletabeli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321C0D">
              <w:rPr>
                <w:rFonts w:ascii="Arial" w:hAnsi="Arial" w:cs="Arial"/>
                <w:color w:val="333333"/>
                <w:sz w:val="22"/>
                <w:szCs w:val="22"/>
                <w:lang w:val="pl-PL" w:eastAsia="pl-PL"/>
              </w:rPr>
              <w:t>Planowany</w:t>
            </w:r>
          </w:p>
        </w:tc>
        <w:tc>
          <w:tcPr>
            <w:tcW w:w="7434" w:type="dxa"/>
          </w:tcPr>
          <w:p w14:paraId="77446280" w14:textId="77777777" w:rsidR="0032240B" w:rsidRPr="00321C0D" w:rsidRDefault="0032240B" w:rsidP="000074EC">
            <w:pPr>
              <w:pStyle w:val="Poletabeli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321C0D">
              <w:rPr>
                <w:rFonts w:ascii="Arial" w:hAnsi="Arial" w:cs="Arial"/>
                <w:color w:val="333333"/>
                <w:sz w:val="22"/>
                <w:szCs w:val="22"/>
                <w:lang w:val="pl-PL" w:eastAsia="pl-PL"/>
              </w:rPr>
              <w:t>System projektowany, w trakcie budowy, w trakcie wdrożenia.</w:t>
            </w:r>
          </w:p>
        </w:tc>
      </w:tr>
      <w:tr w:rsidR="0032240B" w:rsidRPr="00AA190F" w14:paraId="068BCC78" w14:textId="77777777" w:rsidTr="00402AAE">
        <w:trPr>
          <w:cantSplit/>
        </w:trPr>
        <w:tc>
          <w:tcPr>
            <w:tcW w:w="2061" w:type="dxa"/>
          </w:tcPr>
          <w:p w14:paraId="7BCB924E" w14:textId="77777777" w:rsidR="0032240B" w:rsidRPr="00321C0D" w:rsidRDefault="0032240B" w:rsidP="000074EC">
            <w:pPr>
              <w:pStyle w:val="Poletabeli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321C0D">
              <w:rPr>
                <w:rFonts w:ascii="Arial" w:hAnsi="Arial" w:cs="Arial"/>
                <w:color w:val="333333"/>
                <w:sz w:val="22"/>
                <w:szCs w:val="22"/>
                <w:lang w:val="pl-PL" w:eastAsia="pl-PL"/>
              </w:rPr>
              <w:t>Modyfikowany</w:t>
            </w:r>
          </w:p>
        </w:tc>
        <w:tc>
          <w:tcPr>
            <w:tcW w:w="7434" w:type="dxa"/>
          </w:tcPr>
          <w:p w14:paraId="4BB8AB2D" w14:textId="76A069BF" w:rsidR="0032240B" w:rsidRPr="00321C0D" w:rsidRDefault="0032240B" w:rsidP="000074EC">
            <w:pPr>
              <w:pStyle w:val="Poletabeli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321C0D">
              <w:rPr>
                <w:rFonts w:ascii="Arial" w:hAnsi="Arial" w:cs="Arial"/>
                <w:color w:val="333333"/>
                <w:sz w:val="22"/>
                <w:szCs w:val="22"/>
                <w:lang w:val="pl-PL" w:eastAsia="pl-PL"/>
              </w:rPr>
              <w:t xml:space="preserve">System modyfikowany, rozszerzany na potrzeby </w:t>
            </w:r>
            <w:r w:rsidR="00DC4364">
              <w:rPr>
                <w:rFonts w:ascii="Arial" w:hAnsi="Arial" w:cs="Arial"/>
                <w:color w:val="333333"/>
                <w:sz w:val="22"/>
                <w:szCs w:val="22"/>
                <w:lang w:val="pl-PL" w:eastAsia="pl-PL"/>
              </w:rPr>
              <w:t>przedsięwzięcia</w:t>
            </w:r>
            <w:r w:rsidRPr="00321C0D">
              <w:rPr>
                <w:rFonts w:ascii="Arial" w:hAnsi="Arial" w:cs="Arial"/>
                <w:color w:val="333333"/>
                <w:sz w:val="22"/>
                <w:szCs w:val="22"/>
                <w:lang w:val="pl-PL" w:eastAsia="pl-PL"/>
              </w:rPr>
              <w:t>.</w:t>
            </w:r>
          </w:p>
        </w:tc>
      </w:tr>
      <w:tr w:rsidR="0032240B" w:rsidRPr="00AA190F" w14:paraId="033E4921" w14:textId="77777777" w:rsidTr="00402AAE">
        <w:trPr>
          <w:cantSplit/>
        </w:trPr>
        <w:tc>
          <w:tcPr>
            <w:tcW w:w="2061" w:type="dxa"/>
          </w:tcPr>
          <w:p w14:paraId="3C2FD962" w14:textId="77777777" w:rsidR="0032240B" w:rsidRPr="00321C0D" w:rsidRDefault="0032240B" w:rsidP="000074EC">
            <w:pPr>
              <w:pStyle w:val="Poletabeli"/>
              <w:rPr>
                <w:rFonts w:ascii="Arial" w:hAnsi="Arial" w:cs="Arial"/>
                <w:color w:val="333333"/>
                <w:sz w:val="22"/>
                <w:szCs w:val="22"/>
                <w:lang w:val="pl-PL" w:eastAsia="pl-PL"/>
              </w:rPr>
            </w:pPr>
            <w:r w:rsidRPr="00321C0D">
              <w:rPr>
                <w:rFonts w:ascii="Arial" w:hAnsi="Arial" w:cs="Arial"/>
                <w:color w:val="333333"/>
                <w:sz w:val="22"/>
                <w:szCs w:val="22"/>
                <w:lang w:val="pl-PL" w:eastAsia="pl-PL"/>
              </w:rPr>
              <w:t>Istniejący</w:t>
            </w:r>
          </w:p>
        </w:tc>
        <w:tc>
          <w:tcPr>
            <w:tcW w:w="7434" w:type="dxa"/>
          </w:tcPr>
          <w:p w14:paraId="12B34A83" w14:textId="77777777" w:rsidR="0032240B" w:rsidRPr="00321C0D" w:rsidRDefault="0032240B" w:rsidP="000074EC">
            <w:pPr>
              <w:pStyle w:val="Poletabeli"/>
              <w:rPr>
                <w:rFonts w:ascii="Arial" w:hAnsi="Arial" w:cs="Arial"/>
                <w:color w:val="333333"/>
                <w:sz w:val="22"/>
                <w:szCs w:val="22"/>
                <w:lang w:val="pl-PL" w:eastAsia="pl-PL"/>
              </w:rPr>
            </w:pPr>
            <w:r w:rsidRPr="00321C0D">
              <w:rPr>
                <w:rFonts w:ascii="Arial" w:hAnsi="Arial" w:cs="Arial"/>
                <w:color w:val="333333"/>
                <w:sz w:val="22"/>
                <w:szCs w:val="22"/>
                <w:lang w:val="pl-PL" w:eastAsia="pl-PL"/>
              </w:rPr>
              <w:t>System działający produkcyjnie, gotowy do wykorzystania</w:t>
            </w:r>
          </w:p>
        </w:tc>
      </w:tr>
    </w:tbl>
    <w:p w14:paraId="078819AF" w14:textId="77777777" w:rsidR="0032240B" w:rsidRDefault="0032240B" w:rsidP="00485E7E">
      <w:pPr>
        <w:pStyle w:val="Tekstpodstawowy2"/>
        <w:ind w:left="0"/>
        <w:jc w:val="both"/>
        <w:rPr>
          <w:lang w:val="pl-PL"/>
        </w:rPr>
      </w:pPr>
    </w:p>
    <w:p w14:paraId="0B4E05E1" w14:textId="0305B0E3" w:rsidR="007573B2" w:rsidRPr="00E01872" w:rsidRDefault="007573B2" w:rsidP="007573B2">
      <w:pPr>
        <w:pStyle w:val="Tekstpodstawowy2"/>
        <w:ind w:left="851"/>
        <w:jc w:val="both"/>
        <w:rPr>
          <w:color w:val="7F7F7F" w:themeColor="text1" w:themeTint="80"/>
          <w:sz w:val="20"/>
          <w:szCs w:val="20"/>
          <w:lang w:val="pl-PL"/>
        </w:rPr>
      </w:pPr>
      <w:r>
        <w:rPr>
          <w:lang w:val="pl-PL"/>
        </w:rPr>
        <w:t>Lista syst</w:t>
      </w:r>
      <w:r w:rsidR="00E01872">
        <w:rPr>
          <w:lang w:val="pl-PL"/>
        </w:rPr>
        <w:t>emów wykorzyst</w:t>
      </w:r>
      <w:r w:rsidR="0032240B">
        <w:rPr>
          <w:lang w:val="pl-PL"/>
        </w:rPr>
        <w:t>yw</w:t>
      </w:r>
      <w:r w:rsidR="00E01872">
        <w:rPr>
          <w:lang w:val="pl-PL"/>
        </w:rPr>
        <w:t xml:space="preserve">anych w </w:t>
      </w:r>
      <w:r w:rsidR="00DC4364">
        <w:rPr>
          <w:lang w:val="pl-PL"/>
        </w:rPr>
        <w:t xml:space="preserve">przedsięwzięciu </w:t>
      </w:r>
      <w:r w:rsidR="00E01872" w:rsidRPr="00E01872">
        <w:rPr>
          <w:color w:val="7F7F7F" w:themeColor="text1" w:themeTint="80"/>
          <w:sz w:val="20"/>
          <w:szCs w:val="20"/>
          <w:lang w:val="pl-PL"/>
        </w:rPr>
        <w:t>&lt;&lt;maksymalnie 2000 znaków&gt;&gt;</w:t>
      </w:r>
    </w:p>
    <w:tbl>
      <w:tblPr>
        <w:tblW w:w="950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1384"/>
        <w:gridCol w:w="1639"/>
        <w:gridCol w:w="2307"/>
        <w:gridCol w:w="1472"/>
        <w:gridCol w:w="1906"/>
      </w:tblGrid>
      <w:tr w:rsidR="00D0302D" w:rsidRPr="008A3BD8" w14:paraId="14EBC0E0" w14:textId="77777777" w:rsidTr="008A3BD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442ECB" w14:textId="77777777" w:rsidR="00D0302D" w:rsidRPr="008A3BD8" w:rsidRDefault="00D0302D" w:rsidP="00480C5A">
            <w:pPr>
              <w:spacing w:line="256" w:lineRule="auto"/>
              <w:jc w:val="center"/>
              <w:rPr>
                <w:b/>
                <w:color w:val="000000" w:themeColor="text1"/>
                <w:sz w:val="20"/>
                <w:szCs w:val="24"/>
                <w:lang w:val="pl-PL"/>
              </w:rPr>
            </w:pPr>
            <w:r w:rsidRPr="008A3BD8">
              <w:rPr>
                <w:b/>
                <w:color w:val="000000" w:themeColor="text1"/>
                <w:sz w:val="20"/>
                <w:szCs w:val="24"/>
                <w:lang w:val="pl-PL"/>
              </w:rPr>
              <w:t>Lp.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C3F6D2" w14:textId="77777777" w:rsidR="00D0302D" w:rsidRPr="008A3BD8" w:rsidRDefault="00D0302D" w:rsidP="00480C5A">
            <w:pPr>
              <w:spacing w:line="256" w:lineRule="auto"/>
              <w:jc w:val="center"/>
              <w:rPr>
                <w:b/>
                <w:color w:val="000000" w:themeColor="text1"/>
                <w:sz w:val="20"/>
                <w:szCs w:val="24"/>
                <w:lang w:val="pl-PL"/>
              </w:rPr>
            </w:pPr>
            <w:r w:rsidRPr="008A3BD8">
              <w:rPr>
                <w:b/>
                <w:color w:val="000000" w:themeColor="text1"/>
                <w:sz w:val="20"/>
                <w:szCs w:val="24"/>
                <w:lang w:val="pl-PL"/>
              </w:rPr>
              <w:t>Nazwa systemu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E09767" w14:textId="77777777" w:rsidR="00D0302D" w:rsidRPr="008A3BD8" w:rsidRDefault="00D0302D" w:rsidP="00480C5A">
            <w:pPr>
              <w:spacing w:line="256" w:lineRule="auto"/>
              <w:jc w:val="center"/>
              <w:rPr>
                <w:b/>
                <w:color w:val="000000" w:themeColor="text1"/>
                <w:sz w:val="20"/>
                <w:lang w:val="pl-PL"/>
              </w:rPr>
            </w:pPr>
            <w:r w:rsidRPr="008A3BD8">
              <w:rPr>
                <w:b/>
                <w:color w:val="000000" w:themeColor="text1"/>
                <w:sz w:val="20"/>
                <w:lang w:val="pl-PL"/>
              </w:rPr>
              <w:t>Gestor systemu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1D1E57" w14:textId="77777777" w:rsidR="00D0302D" w:rsidRPr="008A3BD8" w:rsidRDefault="00D0302D" w:rsidP="00480C5A">
            <w:pPr>
              <w:spacing w:line="256" w:lineRule="auto"/>
              <w:jc w:val="center"/>
              <w:rPr>
                <w:b/>
                <w:color w:val="000000" w:themeColor="text1"/>
                <w:sz w:val="20"/>
                <w:lang w:val="pl-PL"/>
              </w:rPr>
            </w:pPr>
            <w:r w:rsidRPr="008A3BD8">
              <w:rPr>
                <w:b/>
                <w:color w:val="000000" w:themeColor="text1"/>
                <w:sz w:val="20"/>
                <w:lang w:val="pl-PL"/>
              </w:rPr>
              <w:t>Opis systemu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21B3DD" w14:textId="77777777" w:rsidR="00D0302D" w:rsidRPr="008A3BD8" w:rsidRDefault="0032240B" w:rsidP="00480C5A">
            <w:pPr>
              <w:spacing w:line="256" w:lineRule="auto"/>
              <w:jc w:val="center"/>
              <w:rPr>
                <w:b/>
                <w:color w:val="000000" w:themeColor="text1"/>
                <w:sz w:val="20"/>
                <w:szCs w:val="24"/>
                <w:lang w:val="pl-PL"/>
              </w:rPr>
            </w:pPr>
            <w:r w:rsidRPr="008A3BD8">
              <w:rPr>
                <w:b/>
                <w:color w:val="000000" w:themeColor="text1"/>
                <w:sz w:val="20"/>
                <w:lang w:val="pl-PL"/>
              </w:rPr>
              <w:t>Status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3FE1156" w14:textId="77777777" w:rsidR="00D0302D" w:rsidRPr="008A3BD8" w:rsidRDefault="00D0302D" w:rsidP="00480C5A">
            <w:pPr>
              <w:spacing w:line="256" w:lineRule="auto"/>
              <w:jc w:val="center"/>
              <w:rPr>
                <w:b/>
                <w:color w:val="000000" w:themeColor="text1"/>
                <w:sz w:val="20"/>
                <w:lang w:val="pl-PL"/>
              </w:rPr>
            </w:pPr>
            <w:r w:rsidRPr="008A3BD8">
              <w:rPr>
                <w:b/>
                <w:color w:val="000000" w:themeColor="text1"/>
                <w:sz w:val="20"/>
                <w:szCs w:val="24"/>
                <w:lang w:val="pl-PL"/>
              </w:rPr>
              <w:t xml:space="preserve">Krótki opis </w:t>
            </w:r>
            <w:r w:rsidR="0032240B" w:rsidRPr="008A3BD8">
              <w:rPr>
                <w:b/>
                <w:color w:val="000000" w:themeColor="text1"/>
                <w:sz w:val="20"/>
                <w:szCs w:val="24"/>
                <w:lang w:val="pl-PL"/>
              </w:rPr>
              <w:t xml:space="preserve">ewentualnej </w:t>
            </w:r>
            <w:r w:rsidRPr="008A3BD8">
              <w:rPr>
                <w:b/>
                <w:color w:val="000000" w:themeColor="text1"/>
                <w:sz w:val="20"/>
                <w:szCs w:val="24"/>
                <w:lang w:val="pl-PL"/>
              </w:rPr>
              <w:t>zmiany</w:t>
            </w:r>
          </w:p>
        </w:tc>
      </w:tr>
      <w:tr w:rsidR="00D0302D" w:rsidRPr="008A3BD8" w14:paraId="0259586D" w14:textId="77777777" w:rsidTr="008A3BD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006E" w14:textId="7CBE18F7" w:rsidR="00D0302D" w:rsidRPr="008A3BD8" w:rsidRDefault="003F08BA" w:rsidP="008143CA">
            <w:pPr>
              <w:spacing w:line="257" w:lineRule="auto"/>
              <w:jc w:val="both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5880" w14:textId="1F75F17A" w:rsidR="00D0302D" w:rsidRPr="008A3BD8" w:rsidRDefault="003F08BA" w:rsidP="008143CA">
            <w:pPr>
              <w:spacing w:line="257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Doradczy System Ekspertowy DSE-L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E67D" w14:textId="01EDB3F8" w:rsidR="00D0302D" w:rsidRPr="008A3BD8" w:rsidRDefault="003F08BA" w:rsidP="008143CA">
            <w:pPr>
              <w:spacing w:line="257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Politechnika Krakowska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27E6" w14:textId="479A29C7" w:rsidR="00D0302D" w:rsidRPr="008A3BD8" w:rsidRDefault="003F08BA" w:rsidP="008143CA">
            <w:pPr>
              <w:spacing w:line="257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Centralny system analityczno-obliczeniowy oparty na suwerennych, otwartych modelach językowych (Open-Source LLM) oraz architekturze RAG. Służy do automatyzacji weryfikacji formalno-prawnej oraz ekstrakcji </w:t>
            </w:r>
            <w:r w:rsidRPr="008A3BD8">
              <w:rPr>
                <w:color w:val="000000" w:themeColor="text1"/>
                <w:sz w:val="20"/>
                <w:lang w:val="pl-PL" w:eastAsia="pl-PL"/>
              </w:rPr>
              <w:lastRenderedPageBreak/>
              <w:t xml:space="preserve">cech pism procesowych w procesach 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back-office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>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57E7" w14:textId="3309BB63" w:rsidR="00D0302D" w:rsidRPr="008A3BD8" w:rsidRDefault="003F08BA" w:rsidP="008143CA">
            <w:pPr>
              <w:spacing w:line="257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lastRenderedPageBreak/>
              <w:t>System planowany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1F58" w14:textId="530D85B5" w:rsidR="00D0302D" w:rsidRPr="008A3BD8" w:rsidRDefault="003F08BA" w:rsidP="008143CA">
            <w:pPr>
              <w:spacing w:line="257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Nowo projektowany, odizolowany system lokalny (on-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premise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) wdrażany w ramach realizowanego przedsięwzięcia. Nie dotyczy modyfikacji </w:t>
            </w:r>
            <w:r w:rsidRPr="008A3BD8">
              <w:rPr>
                <w:color w:val="000000" w:themeColor="text1"/>
                <w:sz w:val="20"/>
                <w:lang w:val="pl-PL" w:eastAsia="pl-PL"/>
              </w:rPr>
              <w:lastRenderedPageBreak/>
              <w:t>istniejącego rozwiązania.</w:t>
            </w:r>
          </w:p>
        </w:tc>
      </w:tr>
      <w:tr w:rsidR="003F08BA" w:rsidRPr="008A3BD8" w14:paraId="0816E419" w14:textId="77777777" w:rsidTr="008A3BD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C033" w14:textId="7139456E" w:rsidR="003F08BA" w:rsidRPr="008A3BD8" w:rsidRDefault="003F08BA" w:rsidP="008143CA">
            <w:pPr>
              <w:spacing w:line="257" w:lineRule="auto"/>
              <w:jc w:val="both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lastRenderedPageBreak/>
              <w:t>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396B" w14:textId="7FD78B2E" w:rsidR="003F08BA" w:rsidRPr="008A3BD8" w:rsidRDefault="003F08BA" w:rsidP="008143CA">
            <w:pPr>
              <w:spacing w:line="257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Systemy Sądowe (portale orzecznicze i systemy dziedzinowe)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B65A" w14:textId="420EA78C" w:rsidR="003F08BA" w:rsidRPr="008A3BD8" w:rsidRDefault="003F08BA" w:rsidP="008143CA">
            <w:pPr>
              <w:spacing w:line="257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Ministerstwo Sprawiedliwości / Sądy Powszechne i Administracyjne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9DE6" w14:textId="52B14B6E" w:rsidR="003F08BA" w:rsidRPr="008A3BD8" w:rsidRDefault="003F08BA" w:rsidP="008143CA">
            <w:pPr>
              <w:spacing w:line="257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Systemy teleinformatyczne przeznaczone do obsługi toku spraw sądowych, prowadzenia repertoriów oraz publikacji zanonimizowanych orzeczeń sądów powszechnych, administracyjnych, SN oraz NSA.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3621" w14:textId="3A8CEA70" w:rsidR="003F08BA" w:rsidRPr="008A3BD8" w:rsidRDefault="003F08BA" w:rsidP="008143CA">
            <w:pPr>
              <w:spacing w:line="257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System istniejący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64F6" w14:textId="465BBCCB" w:rsidR="003F08BA" w:rsidRPr="008A3BD8" w:rsidRDefault="003F08BA" w:rsidP="008143CA">
            <w:pPr>
              <w:spacing w:line="257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Integracja z systemem DSE-L poprzez ich dedykowane, bezpieczne i niepubliczne interfejsy API klasy A2A. Połączenie zostanie zabezpieczone za pomocą szyfrowanych kanałów VPN (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IPSec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) oraz obustronnego uwierzytelniania 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mTLS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>.</w:t>
            </w:r>
          </w:p>
        </w:tc>
      </w:tr>
      <w:tr w:rsidR="003F08BA" w:rsidRPr="008A3BD8" w14:paraId="6E111F29" w14:textId="77777777" w:rsidTr="008A3BD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C302" w14:textId="21E56208" w:rsidR="003F08BA" w:rsidRPr="008A3BD8" w:rsidRDefault="003F08BA" w:rsidP="008143CA">
            <w:pPr>
              <w:spacing w:line="257" w:lineRule="auto"/>
              <w:jc w:val="both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1816" w14:textId="02A23B8B" w:rsidR="003F08BA" w:rsidRPr="008A3BD8" w:rsidRDefault="003F08BA" w:rsidP="008143CA">
            <w:pPr>
              <w:spacing w:line="257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Systemy klasy EZD / EZD RP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0790" w14:textId="2109589E" w:rsidR="003F08BA" w:rsidRPr="008A3BD8" w:rsidRDefault="003F08BA" w:rsidP="008143CA">
            <w:pPr>
              <w:spacing w:line="257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Ministerstwo Cyfryzacji / NASK-PIB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1E05" w14:textId="45E45FF9" w:rsidR="003F08BA" w:rsidRPr="008A3BD8" w:rsidRDefault="003F08BA" w:rsidP="008143CA">
            <w:pPr>
              <w:spacing w:line="257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Ogólnokrajowe systemy elektronicznego zarządzania dokumentacją, służące do dokumentowania przebiegu załatwiania spraw, bieżącej obsługi korespondencji oraz archiwizacji dokumentacji elektronicznej w podmiotach publicznych.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5F49" w14:textId="0DB33F1B" w:rsidR="003F08BA" w:rsidRPr="008A3BD8" w:rsidRDefault="003F08BA" w:rsidP="008143CA">
            <w:pPr>
              <w:spacing w:line="257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System istniejący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5992" w14:textId="4C216674" w:rsidR="003F08BA" w:rsidRPr="008A3BD8" w:rsidRDefault="003F08BA" w:rsidP="008143CA">
            <w:pPr>
              <w:spacing w:line="257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Wdrożenie dedykowanego interfejsu API klasy A2A zintegrowanego z kontrolowaną warstwą brzegową (DMZ) systemu DSE-L. Zmiana umożliwi automatyczne, asynchroniczne przekazywanie pism procesowych do weryfikacji przez moduły AI.</w:t>
            </w:r>
          </w:p>
        </w:tc>
      </w:tr>
      <w:tr w:rsidR="003F08BA" w:rsidRPr="008A3BD8" w14:paraId="5CF586EF" w14:textId="77777777" w:rsidTr="008A3BD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9F01" w14:textId="52466028" w:rsidR="003F08BA" w:rsidRPr="008A3BD8" w:rsidRDefault="003F08BA" w:rsidP="008143CA">
            <w:pPr>
              <w:spacing w:line="257" w:lineRule="auto"/>
              <w:jc w:val="both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88E8" w14:textId="363DFFC6" w:rsidR="003F08BA" w:rsidRPr="008A3BD8" w:rsidRDefault="003F08BA" w:rsidP="008143CA">
            <w:pPr>
              <w:spacing w:line="257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Systemy i Repertoria NRA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182D" w14:textId="4EC69CEF" w:rsidR="003F08BA" w:rsidRPr="008A3BD8" w:rsidRDefault="003F08BA" w:rsidP="008143CA">
            <w:pPr>
              <w:spacing w:line="257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Naczelna Rada Adwokacka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65C5" w14:textId="23721282" w:rsidR="003F08BA" w:rsidRPr="008A3BD8" w:rsidRDefault="003F08BA" w:rsidP="008143CA">
            <w:pPr>
              <w:spacing w:line="257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Systemy teleinformatyczne i bazy danych służące do obsługi struktur samorządu adwokackiego, w tym prowadzenia rejestrów adwokatów i aplikantów adwokackich oraz zarządzania wewnętrznymi procesami kancelaryjnymi.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EDDE" w14:textId="1EA02E19" w:rsidR="003F08BA" w:rsidRPr="008A3BD8" w:rsidRDefault="003F08BA" w:rsidP="008143CA">
            <w:pPr>
              <w:spacing w:line="257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System istniejący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1313" w14:textId="2EEABED8" w:rsidR="003F08BA" w:rsidRPr="008A3BD8" w:rsidRDefault="003F08BA" w:rsidP="008143CA">
            <w:pPr>
              <w:spacing w:line="257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Dostosowanie systemów do asynchronicznej wymiany danych z systemem DSE-L za pośrednictwem </w:t>
            </w:r>
            <w:proofErr w:type="gramStart"/>
            <w:r w:rsidRPr="008A3BD8">
              <w:rPr>
                <w:color w:val="000000" w:themeColor="text1"/>
                <w:sz w:val="20"/>
                <w:lang w:val="pl-PL" w:eastAsia="pl-PL"/>
              </w:rPr>
              <w:t>ich  zabezpieczonego</w:t>
            </w:r>
            <w:proofErr w:type="gramEnd"/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 API (REST/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GraphQL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). Pozwoli to na automatyczną weryfikację braków formalnych w pismach </w:t>
            </w:r>
            <w:r w:rsidRPr="008A3BD8">
              <w:rPr>
                <w:color w:val="000000" w:themeColor="text1"/>
                <w:sz w:val="20"/>
                <w:lang w:val="pl-PL" w:eastAsia="pl-PL"/>
              </w:rPr>
              <w:lastRenderedPageBreak/>
              <w:t>przygotowywanych przez członków samorządu.</w:t>
            </w:r>
          </w:p>
        </w:tc>
      </w:tr>
    </w:tbl>
    <w:p w14:paraId="38A1FED4" w14:textId="77777777" w:rsidR="007573B2" w:rsidRPr="008A3BD8" w:rsidRDefault="007573B2" w:rsidP="007573B2">
      <w:pPr>
        <w:jc w:val="both"/>
        <w:rPr>
          <w:color w:val="000000" w:themeColor="text1"/>
          <w:szCs w:val="24"/>
          <w:lang w:val="pl-PL" w:eastAsia="pl-PL"/>
        </w:rPr>
      </w:pPr>
    </w:p>
    <w:p w14:paraId="39B9CB75" w14:textId="77777777" w:rsidR="007573B2" w:rsidRDefault="007573B2" w:rsidP="007573B2">
      <w:pPr>
        <w:spacing w:before="120" w:after="120"/>
        <w:ind w:left="851" w:firstLine="68"/>
        <w:jc w:val="both"/>
        <w:rPr>
          <w:color w:val="0070C0"/>
          <w:szCs w:val="24"/>
          <w:lang w:val="pl-PL" w:eastAsia="pl-PL"/>
        </w:rPr>
      </w:pPr>
      <w:r>
        <w:rPr>
          <w:lang w:val="pl-PL"/>
        </w:rPr>
        <w:t>Lista przepływów</w:t>
      </w:r>
      <w:r w:rsidR="00E01872">
        <w:rPr>
          <w:lang w:val="pl-PL"/>
        </w:rPr>
        <w:t xml:space="preserve"> </w:t>
      </w:r>
      <w:r w:rsidR="00E01872" w:rsidRPr="00E01872">
        <w:rPr>
          <w:color w:val="7F7F7F" w:themeColor="text1" w:themeTint="80"/>
          <w:sz w:val="20"/>
          <w:lang w:val="pl-PL"/>
        </w:rPr>
        <w:t>&lt;&lt;maksymalnie 2000 znaków</w:t>
      </w:r>
      <w:r w:rsidR="00E01872" w:rsidRPr="00E01872">
        <w:rPr>
          <w:sz w:val="20"/>
          <w:lang w:val="pl-PL"/>
        </w:rPr>
        <w:t>&gt;&gt;</w:t>
      </w:r>
    </w:p>
    <w:tbl>
      <w:tblPr>
        <w:tblW w:w="992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358"/>
        <w:gridCol w:w="1618"/>
        <w:gridCol w:w="1275"/>
        <w:gridCol w:w="1418"/>
        <w:gridCol w:w="1418"/>
        <w:gridCol w:w="1984"/>
      </w:tblGrid>
      <w:tr w:rsidR="00D0302D" w14:paraId="6E43DC49" w14:textId="77777777" w:rsidTr="008A3BD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BF1A14" w14:textId="77777777" w:rsidR="00D0302D" w:rsidRPr="000758B8" w:rsidRDefault="00D0302D" w:rsidP="00480C5A">
            <w:pPr>
              <w:spacing w:line="256" w:lineRule="auto"/>
              <w:jc w:val="center"/>
              <w:rPr>
                <w:b/>
                <w:sz w:val="20"/>
                <w:szCs w:val="24"/>
                <w:lang w:val="pl-PL"/>
              </w:rPr>
            </w:pPr>
            <w:r w:rsidRPr="000758B8">
              <w:rPr>
                <w:b/>
                <w:sz w:val="20"/>
                <w:szCs w:val="24"/>
                <w:lang w:val="pl-PL"/>
              </w:rPr>
              <w:t>Lp.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9582B2F" w14:textId="77777777" w:rsidR="00D0302D" w:rsidRPr="000758B8" w:rsidRDefault="00D0302D" w:rsidP="00480C5A">
            <w:pPr>
              <w:spacing w:line="256" w:lineRule="auto"/>
              <w:jc w:val="center"/>
              <w:rPr>
                <w:b/>
                <w:sz w:val="20"/>
                <w:szCs w:val="24"/>
                <w:lang w:val="pl-PL"/>
              </w:rPr>
            </w:pPr>
            <w:r w:rsidRPr="000758B8">
              <w:rPr>
                <w:b/>
                <w:sz w:val="20"/>
                <w:szCs w:val="24"/>
                <w:lang w:val="pl-PL"/>
              </w:rPr>
              <w:t>System źródłowy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7D9392" w14:textId="77777777" w:rsidR="00D0302D" w:rsidRPr="000758B8" w:rsidRDefault="00D0302D" w:rsidP="00480C5A">
            <w:pPr>
              <w:spacing w:line="256" w:lineRule="auto"/>
              <w:jc w:val="center"/>
              <w:rPr>
                <w:b/>
                <w:sz w:val="20"/>
                <w:lang w:val="pl-PL"/>
              </w:rPr>
            </w:pPr>
            <w:r w:rsidRPr="000758B8">
              <w:rPr>
                <w:b/>
                <w:sz w:val="20"/>
                <w:lang w:val="pl-PL"/>
              </w:rPr>
              <w:t>System docelowy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933EA6" w14:textId="0C5FA88B" w:rsidR="00D0302D" w:rsidRPr="000758B8" w:rsidRDefault="0063545E" w:rsidP="00480C5A">
            <w:pPr>
              <w:spacing w:line="256" w:lineRule="auto"/>
              <w:jc w:val="center"/>
              <w:rPr>
                <w:b/>
                <w:sz w:val="20"/>
                <w:szCs w:val="24"/>
                <w:lang w:val="pl-PL"/>
              </w:rPr>
            </w:pPr>
            <w:r w:rsidRPr="000758B8">
              <w:rPr>
                <w:b/>
                <w:sz w:val="20"/>
                <w:lang w:val="pl-PL"/>
              </w:rPr>
              <w:t>Zakres wymienianych danych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D754D4" w14:textId="77777777" w:rsidR="00D0302D" w:rsidRPr="000758B8" w:rsidRDefault="00D0302D" w:rsidP="00480C5A">
            <w:pPr>
              <w:spacing w:line="256" w:lineRule="auto"/>
              <w:jc w:val="center"/>
              <w:rPr>
                <w:b/>
                <w:sz w:val="20"/>
                <w:lang w:val="pl-PL"/>
              </w:rPr>
            </w:pPr>
            <w:r w:rsidRPr="000758B8">
              <w:rPr>
                <w:b/>
                <w:sz w:val="20"/>
                <w:lang w:val="pl-PL"/>
              </w:rPr>
              <w:t>Sposób wymiany danych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DDF96C" w14:textId="77777777" w:rsidR="00D0302D" w:rsidRPr="000758B8" w:rsidRDefault="00D0302D" w:rsidP="00480C5A">
            <w:pPr>
              <w:spacing w:line="256" w:lineRule="auto"/>
              <w:jc w:val="center"/>
              <w:rPr>
                <w:b/>
                <w:sz w:val="20"/>
                <w:szCs w:val="24"/>
                <w:lang w:val="pl-PL"/>
              </w:rPr>
            </w:pPr>
            <w:r w:rsidRPr="000758B8">
              <w:rPr>
                <w:b/>
                <w:sz w:val="20"/>
                <w:lang w:val="pl-PL"/>
              </w:rPr>
              <w:t>Typ modyfikacji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B664C0" w14:textId="77777777" w:rsidR="00D0302D" w:rsidRPr="000758B8" w:rsidRDefault="00D0302D" w:rsidP="00480C5A">
            <w:pPr>
              <w:spacing w:line="256" w:lineRule="auto"/>
              <w:jc w:val="center"/>
              <w:rPr>
                <w:b/>
                <w:sz w:val="20"/>
                <w:lang w:val="pl-PL"/>
              </w:rPr>
            </w:pPr>
            <w:r w:rsidRPr="000758B8">
              <w:rPr>
                <w:b/>
                <w:sz w:val="20"/>
                <w:lang w:val="pl-PL"/>
              </w:rPr>
              <w:t>Typ Interfejsu</w:t>
            </w:r>
          </w:p>
        </w:tc>
      </w:tr>
      <w:tr w:rsidR="00D0302D" w14:paraId="7A53439E" w14:textId="77777777" w:rsidTr="008A3BD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C1C0" w14:textId="5C41BD27" w:rsidR="00D0302D" w:rsidRPr="008A3BD8" w:rsidRDefault="003F08BA" w:rsidP="00480C5A">
            <w:pPr>
              <w:spacing w:line="256" w:lineRule="auto"/>
              <w:jc w:val="both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A583" w14:textId="25FD1808" w:rsidR="00D0302D" w:rsidRPr="008A3BD8" w:rsidRDefault="003F08BA" w:rsidP="008143CA">
            <w:pPr>
              <w:spacing w:line="257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System klasy EZD / EZD RP lub systemy dziedzinowe wymiaru sprawiedliwości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665B" w14:textId="439E3089" w:rsidR="00D0302D" w:rsidRPr="008A3BD8" w:rsidRDefault="008143CA" w:rsidP="00480C5A">
            <w:pPr>
              <w:spacing w:line="256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DSE-L – Warstwa brzegowa (DMZ / 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Staging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 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Area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B41C" w14:textId="4CE6EA6C" w:rsidR="00D0302D" w:rsidRPr="008A3BD8" w:rsidRDefault="008143CA" w:rsidP="00480C5A">
            <w:pPr>
              <w:spacing w:line="256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Zabezpieczone dokumenty wejściowe (pisma procesowe, załączniki, decyzje)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642C" w14:textId="3CC68DDE" w:rsidR="00D0302D" w:rsidRPr="008A3BD8" w:rsidRDefault="008143CA" w:rsidP="00480C5A">
            <w:pPr>
              <w:spacing w:line="256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kopiowanie danych (§13 ust. 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C933" w14:textId="420ED980" w:rsidR="00D0302D" w:rsidRPr="008A3BD8" w:rsidRDefault="008143CA" w:rsidP="00480C5A">
            <w:pPr>
              <w:spacing w:line="256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krytyczny dla sukcesu przedsięwzięcia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5B81" w14:textId="689CAF83" w:rsidR="00D0302D" w:rsidRPr="008A3BD8" w:rsidRDefault="008143CA" w:rsidP="00480C5A">
            <w:pPr>
              <w:pStyle w:val="CommentText"/>
              <w:spacing w:line="256" w:lineRule="auto"/>
              <w:rPr>
                <w:color w:val="000000" w:themeColor="text1"/>
                <w:lang w:val="pl-PL"/>
              </w:rPr>
            </w:pPr>
            <w:r w:rsidRPr="008A3BD8">
              <w:rPr>
                <w:color w:val="000000" w:themeColor="text1"/>
                <w:lang w:val="pl-PL" w:eastAsia="pl-PL"/>
              </w:rPr>
              <w:t>Dedykowany niepubliczny interfejs API (REST/</w:t>
            </w:r>
            <w:proofErr w:type="spellStart"/>
            <w:r w:rsidRPr="008A3BD8">
              <w:rPr>
                <w:color w:val="000000" w:themeColor="text1"/>
                <w:lang w:val="pl-PL" w:eastAsia="pl-PL"/>
              </w:rPr>
              <w:t>GraphQL</w:t>
            </w:r>
            <w:proofErr w:type="spellEnd"/>
            <w:r w:rsidRPr="008A3BD8">
              <w:rPr>
                <w:color w:val="000000" w:themeColor="text1"/>
                <w:lang w:val="pl-PL" w:eastAsia="pl-PL"/>
              </w:rPr>
              <w:t xml:space="preserve">), protokół TLS 1.3 / </w:t>
            </w:r>
            <w:proofErr w:type="spellStart"/>
            <w:r w:rsidRPr="008A3BD8">
              <w:rPr>
                <w:color w:val="000000" w:themeColor="text1"/>
                <w:lang w:val="pl-PL" w:eastAsia="pl-PL"/>
              </w:rPr>
              <w:t>mTLS</w:t>
            </w:r>
            <w:proofErr w:type="spellEnd"/>
            <w:r w:rsidRPr="008A3BD8">
              <w:rPr>
                <w:color w:val="000000" w:themeColor="text1"/>
                <w:lang w:val="pl-PL" w:eastAsia="pl-PL"/>
              </w:rPr>
              <w:t>, formaty JSON, XML, PDF/A, DOCX</w:t>
            </w:r>
          </w:p>
        </w:tc>
      </w:tr>
      <w:tr w:rsidR="008143CA" w:rsidRPr="00AA190F" w14:paraId="3201B356" w14:textId="77777777" w:rsidTr="008A3BD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1777" w14:textId="0649B28E" w:rsidR="008143CA" w:rsidRPr="008A3BD8" w:rsidRDefault="008143CA" w:rsidP="00480C5A">
            <w:pPr>
              <w:spacing w:line="256" w:lineRule="auto"/>
              <w:jc w:val="both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EA99" w14:textId="374CF93A" w:rsidR="008143CA" w:rsidRPr="008A3BD8" w:rsidRDefault="008143CA" w:rsidP="008143CA">
            <w:pPr>
              <w:spacing w:line="257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DSE-L – Warstwa brzegowa (DMZ / 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Staging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 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Area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>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DC86" w14:textId="74A2E90C" w:rsidR="008143CA" w:rsidRPr="008A3BD8" w:rsidRDefault="008143CA" w:rsidP="00480C5A">
            <w:pPr>
              <w:spacing w:line="256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DSE-L – Warstwa przetwarzania wysokiej wydajności (HPC 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Core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04EE" w14:textId="643B2AAB" w:rsidR="008143CA" w:rsidRPr="008A3BD8" w:rsidRDefault="008143CA" w:rsidP="00480C5A">
            <w:pPr>
              <w:spacing w:line="256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Dokumenty wejściowe przekazane do analizy semantycznej, asysty RAG i 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anonimizacji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 NER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E8DE" w14:textId="6F83E982" w:rsidR="008143CA" w:rsidRPr="008A3BD8" w:rsidRDefault="008143CA" w:rsidP="00480C5A">
            <w:pPr>
              <w:spacing w:line="256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kopiowanie danych (§13 ust. 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4E49" w14:textId="4F1309F0" w:rsidR="008143CA" w:rsidRPr="008A3BD8" w:rsidRDefault="008143CA" w:rsidP="00480C5A">
            <w:pPr>
              <w:spacing w:line="256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krytyczny dla sukcesu przedsięwzięcia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24DC" w14:textId="6D17D1F5" w:rsidR="008143CA" w:rsidRPr="008A3BD8" w:rsidRDefault="008143CA" w:rsidP="00480C5A">
            <w:pPr>
              <w:pStyle w:val="CommentText"/>
              <w:spacing w:line="256" w:lineRule="auto"/>
              <w:rPr>
                <w:color w:val="000000" w:themeColor="text1"/>
                <w:lang w:val="pl-PL" w:eastAsia="pl-PL"/>
              </w:rPr>
            </w:pPr>
            <w:r w:rsidRPr="008A3BD8">
              <w:rPr>
                <w:color w:val="000000" w:themeColor="text1"/>
                <w:lang w:val="pl-PL" w:eastAsia="pl-PL"/>
              </w:rPr>
              <w:t>Rozwiązanie sprzętowe separacji sieci (Cross-</w:t>
            </w:r>
            <w:proofErr w:type="spellStart"/>
            <w:r w:rsidRPr="008A3BD8">
              <w:rPr>
                <w:color w:val="000000" w:themeColor="text1"/>
                <w:lang w:val="pl-PL" w:eastAsia="pl-PL"/>
              </w:rPr>
              <w:t>Domain</w:t>
            </w:r>
            <w:proofErr w:type="spellEnd"/>
            <w:r w:rsidRPr="008A3BD8">
              <w:rPr>
                <w:color w:val="000000" w:themeColor="text1"/>
                <w:lang w:val="pl-PL" w:eastAsia="pl-PL"/>
              </w:rPr>
              <w:t xml:space="preserve"> Solution), asynchroniczny broker wiadomości</w:t>
            </w:r>
          </w:p>
        </w:tc>
      </w:tr>
      <w:tr w:rsidR="008143CA" w:rsidRPr="00AA190F" w14:paraId="35F2F913" w14:textId="77777777" w:rsidTr="008A3BD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CD80" w14:textId="454A22DF" w:rsidR="008143CA" w:rsidRPr="008A3BD8" w:rsidRDefault="008143CA" w:rsidP="00480C5A">
            <w:pPr>
              <w:spacing w:line="256" w:lineRule="auto"/>
              <w:jc w:val="both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7654" w14:textId="21FCB003" w:rsidR="008143CA" w:rsidRPr="008A3BD8" w:rsidRDefault="00C0659A" w:rsidP="008143CA">
            <w:pPr>
              <w:spacing w:line="257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Systemy teleinformatyczne Naczelnej Rady Adwokackiej (NRA)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36CA" w14:textId="5E71065B" w:rsidR="008143CA" w:rsidRPr="008A3BD8" w:rsidRDefault="00C0659A" w:rsidP="00480C5A">
            <w:pPr>
              <w:spacing w:line="256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DSE-L – Warstwa brzegowa (DMZ)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C368" w14:textId="39555E02" w:rsidR="008143CA" w:rsidRPr="008A3BD8" w:rsidRDefault="00C0659A" w:rsidP="00480C5A">
            <w:pPr>
              <w:spacing w:line="256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Dane rejestrowe adwokatów i aplikantów do dwukierunkowej weryfikacji uprawnień pełnomocników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2AAC" w14:textId="7864296C" w:rsidR="008143CA" w:rsidRPr="008A3BD8" w:rsidRDefault="00C0659A" w:rsidP="00480C5A">
            <w:pPr>
              <w:spacing w:line="256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tryb 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odwołań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 bezpośrednich (§13 ust. 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E3AC" w14:textId="65D7E391" w:rsidR="008143CA" w:rsidRPr="008A3BD8" w:rsidRDefault="00C0659A" w:rsidP="00480C5A">
            <w:pPr>
              <w:spacing w:line="256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krytyczny dla sukcesu przedsięwzięcia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197F" w14:textId="3DD99FF3" w:rsidR="008143CA" w:rsidRPr="008A3BD8" w:rsidRDefault="00C0659A" w:rsidP="00480C5A">
            <w:pPr>
              <w:pStyle w:val="CommentText"/>
              <w:spacing w:line="256" w:lineRule="auto"/>
              <w:rPr>
                <w:color w:val="000000" w:themeColor="text1"/>
                <w:lang w:val="pl-PL" w:eastAsia="pl-PL"/>
              </w:rPr>
            </w:pPr>
            <w:r w:rsidRPr="008A3BD8">
              <w:rPr>
                <w:color w:val="000000" w:themeColor="text1"/>
                <w:lang w:val="pl-PL" w:eastAsia="pl-PL"/>
              </w:rPr>
              <w:t xml:space="preserve">Dedykowane API A2A, </w:t>
            </w:r>
            <w:proofErr w:type="spellStart"/>
            <w:r w:rsidRPr="008A3BD8">
              <w:rPr>
                <w:color w:val="000000" w:themeColor="text1"/>
                <w:lang w:val="pl-PL" w:eastAsia="pl-PL"/>
              </w:rPr>
              <w:t>mTLS</w:t>
            </w:r>
            <w:proofErr w:type="spellEnd"/>
            <w:r w:rsidRPr="008A3BD8">
              <w:rPr>
                <w:color w:val="000000" w:themeColor="text1"/>
                <w:lang w:val="pl-PL" w:eastAsia="pl-PL"/>
              </w:rPr>
              <w:t>, szyfrowane punktowe tunele VPN (</w:t>
            </w:r>
            <w:proofErr w:type="spellStart"/>
            <w:r w:rsidRPr="008A3BD8">
              <w:rPr>
                <w:color w:val="000000" w:themeColor="text1"/>
                <w:lang w:val="pl-PL" w:eastAsia="pl-PL"/>
              </w:rPr>
              <w:t>IPSec</w:t>
            </w:r>
            <w:proofErr w:type="spellEnd"/>
            <w:r w:rsidRPr="008A3BD8">
              <w:rPr>
                <w:color w:val="000000" w:themeColor="text1"/>
                <w:lang w:val="pl-PL" w:eastAsia="pl-PL"/>
              </w:rPr>
              <w:t>)</w:t>
            </w:r>
          </w:p>
        </w:tc>
      </w:tr>
      <w:tr w:rsidR="00C0659A" w14:paraId="54A00A37" w14:textId="77777777" w:rsidTr="008A3BD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01C9" w14:textId="1AB4D0FA" w:rsidR="00C0659A" w:rsidRPr="008A3BD8" w:rsidRDefault="00C0659A" w:rsidP="00480C5A">
            <w:pPr>
              <w:spacing w:line="256" w:lineRule="auto"/>
              <w:jc w:val="both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6FDD" w14:textId="0B4294B1" w:rsidR="00C0659A" w:rsidRPr="008A3BD8" w:rsidRDefault="00C0659A" w:rsidP="008143CA">
            <w:pPr>
              <w:spacing w:line="257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DSE-L – Warstwa przetwarzania wysokiej wydajności (HPC 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Core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>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1DB7" w14:textId="7A645AC8" w:rsidR="00C0659A" w:rsidRPr="008A3BD8" w:rsidRDefault="00C0659A" w:rsidP="00480C5A">
            <w:pPr>
              <w:spacing w:line="256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DSE-L – Warstwa brzegowa (DMZ)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EAAA" w14:textId="41B8C00A" w:rsidR="00C0659A" w:rsidRPr="008A3BD8" w:rsidRDefault="00C0659A" w:rsidP="00480C5A">
            <w:pPr>
              <w:spacing w:line="256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Przetworzone, trwale 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zaanonimizowane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 dokumenty oraz ustrukturyzowane raporty analizy AI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7F43" w14:textId="54C136E0" w:rsidR="00C0659A" w:rsidRPr="008A3BD8" w:rsidRDefault="00C0659A" w:rsidP="00480C5A">
            <w:pPr>
              <w:spacing w:line="256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kopiowanie danych (§13 ust. 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D86D" w14:textId="2EE14F17" w:rsidR="00C0659A" w:rsidRPr="008A3BD8" w:rsidRDefault="00C0659A" w:rsidP="00480C5A">
            <w:pPr>
              <w:spacing w:line="256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krytyczny dla sukcesu przedsięwzięcia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9215" w14:textId="50BBB602" w:rsidR="00C0659A" w:rsidRPr="008A3BD8" w:rsidRDefault="00C0659A" w:rsidP="00480C5A">
            <w:pPr>
              <w:pStyle w:val="CommentText"/>
              <w:spacing w:line="256" w:lineRule="auto"/>
              <w:rPr>
                <w:color w:val="000000" w:themeColor="text1"/>
                <w:lang w:val="pl-PL" w:eastAsia="pl-PL"/>
              </w:rPr>
            </w:pPr>
            <w:r w:rsidRPr="008A3BD8">
              <w:rPr>
                <w:color w:val="000000" w:themeColor="text1"/>
                <w:lang w:val="pl-PL" w:eastAsia="pl-PL"/>
              </w:rPr>
              <w:t xml:space="preserve">Sprzętowa Brama Kontroli Treści (Content </w:t>
            </w:r>
            <w:proofErr w:type="spellStart"/>
            <w:r w:rsidRPr="008A3BD8">
              <w:rPr>
                <w:color w:val="000000" w:themeColor="text1"/>
                <w:lang w:val="pl-PL" w:eastAsia="pl-PL"/>
              </w:rPr>
              <w:t>Guard</w:t>
            </w:r>
            <w:proofErr w:type="spellEnd"/>
            <w:r w:rsidRPr="008A3BD8">
              <w:rPr>
                <w:color w:val="000000" w:themeColor="text1"/>
                <w:lang w:val="pl-PL" w:eastAsia="pl-PL"/>
              </w:rPr>
              <w:t xml:space="preserve">) z modułem Data </w:t>
            </w:r>
            <w:proofErr w:type="spellStart"/>
            <w:r w:rsidRPr="008A3BD8">
              <w:rPr>
                <w:color w:val="000000" w:themeColor="text1"/>
                <w:lang w:val="pl-PL" w:eastAsia="pl-PL"/>
              </w:rPr>
              <w:t>Loss</w:t>
            </w:r>
            <w:proofErr w:type="spellEnd"/>
            <w:r w:rsidRPr="008A3BD8">
              <w:rPr>
                <w:color w:val="000000" w:themeColor="text1"/>
                <w:lang w:val="pl-PL" w:eastAsia="pl-PL"/>
              </w:rPr>
              <w:t xml:space="preserve"> </w:t>
            </w:r>
            <w:proofErr w:type="spellStart"/>
            <w:r w:rsidRPr="008A3BD8">
              <w:rPr>
                <w:color w:val="000000" w:themeColor="text1"/>
                <w:lang w:val="pl-PL" w:eastAsia="pl-PL"/>
              </w:rPr>
              <w:t>Prevention</w:t>
            </w:r>
            <w:proofErr w:type="spellEnd"/>
            <w:r w:rsidRPr="008A3BD8">
              <w:rPr>
                <w:color w:val="000000" w:themeColor="text1"/>
                <w:lang w:val="pl-PL" w:eastAsia="pl-PL"/>
              </w:rPr>
              <w:t xml:space="preserve"> (DLP), format JSON/XML</w:t>
            </w:r>
          </w:p>
        </w:tc>
      </w:tr>
      <w:tr w:rsidR="00C0659A" w:rsidRPr="00AA190F" w14:paraId="47E1600B" w14:textId="77777777" w:rsidTr="008A3BD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8418" w14:textId="2C2E6E4C" w:rsidR="00C0659A" w:rsidRPr="008A3BD8" w:rsidRDefault="00C0659A" w:rsidP="00480C5A">
            <w:pPr>
              <w:spacing w:line="256" w:lineRule="auto"/>
              <w:jc w:val="both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77F1" w14:textId="379B06ED" w:rsidR="00C0659A" w:rsidRPr="008A3BD8" w:rsidRDefault="00C0659A" w:rsidP="008143CA">
            <w:pPr>
              <w:spacing w:line="257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DSE-L – Warstwa </w:t>
            </w:r>
            <w:r w:rsidRPr="008A3BD8">
              <w:rPr>
                <w:color w:val="000000" w:themeColor="text1"/>
                <w:sz w:val="20"/>
                <w:lang w:val="pl-PL" w:eastAsia="pl-PL"/>
              </w:rPr>
              <w:lastRenderedPageBreak/>
              <w:t>brzegowa (DMZ)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2F9F" w14:textId="29A209B3" w:rsidR="00C0659A" w:rsidRPr="008A3BD8" w:rsidRDefault="00C0659A" w:rsidP="00480C5A">
            <w:pPr>
              <w:spacing w:line="256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lastRenderedPageBreak/>
              <w:t xml:space="preserve">System klasy EZD / EZD RP lub systemy </w:t>
            </w:r>
            <w:r w:rsidRPr="008A3BD8">
              <w:rPr>
                <w:color w:val="000000" w:themeColor="text1"/>
                <w:sz w:val="20"/>
                <w:lang w:val="pl-PL" w:eastAsia="pl-PL"/>
              </w:rPr>
              <w:lastRenderedPageBreak/>
              <w:t>dziedzinowe wymiaru sprawiedliwości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9CC8" w14:textId="1F9FFC2B" w:rsidR="00C0659A" w:rsidRPr="008A3BD8" w:rsidRDefault="00C0659A" w:rsidP="00480C5A">
            <w:pPr>
              <w:spacing w:line="256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lastRenderedPageBreak/>
              <w:t>Paczka wynikowa (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zaanonimi</w:t>
            </w:r>
            <w:r w:rsidRPr="008A3BD8">
              <w:rPr>
                <w:color w:val="000000" w:themeColor="text1"/>
                <w:sz w:val="20"/>
                <w:lang w:val="pl-PL" w:eastAsia="pl-PL"/>
              </w:rPr>
              <w:lastRenderedPageBreak/>
              <w:t>zowany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 dokument, raport walidacyjny JSON/XML z oceną formalną i asystą RAG)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A36F" w14:textId="3A05A2B3" w:rsidR="00C0659A" w:rsidRPr="008A3BD8" w:rsidRDefault="00C0659A" w:rsidP="00480C5A">
            <w:pPr>
              <w:spacing w:line="256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lastRenderedPageBreak/>
              <w:t>kopiowanie danych (§13 ust. 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C00D" w14:textId="3C057258" w:rsidR="00C0659A" w:rsidRPr="008A3BD8" w:rsidRDefault="00C0659A" w:rsidP="00480C5A">
            <w:pPr>
              <w:spacing w:line="256" w:lineRule="auto"/>
              <w:jc w:val="center"/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krytyczny dla sukcesu </w:t>
            </w:r>
            <w:r w:rsidRPr="008A3BD8">
              <w:rPr>
                <w:color w:val="000000" w:themeColor="text1"/>
                <w:sz w:val="20"/>
                <w:lang w:val="pl-PL" w:eastAsia="pl-PL"/>
              </w:rPr>
              <w:lastRenderedPageBreak/>
              <w:t>przedsięwzięcia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8DB0" w14:textId="2FD3CAAB" w:rsidR="00C0659A" w:rsidRPr="008A3BD8" w:rsidRDefault="00C0659A" w:rsidP="00480C5A">
            <w:pPr>
              <w:pStyle w:val="CommentText"/>
              <w:spacing w:line="256" w:lineRule="auto"/>
              <w:rPr>
                <w:color w:val="000000" w:themeColor="text1"/>
                <w:lang w:val="pl-PL" w:eastAsia="pl-PL"/>
              </w:rPr>
            </w:pPr>
            <w:r w:rsidRPr="008A3BD8">
              <w:rPr>
                <w:color w:val="000000" w:themeColor="text1"/>
                <w:lang w:val="pl-PL" w:eastAsia="pl-PL"/>
              </w:rPr>
              <w:lastRenderedPageBreak/>
              <w:t xml:space="preserve">Dedykowane API A2A, </w:t>
            </w:r>
            <w:proofErr w:type="spellStart"/>
            <w:r w:rsidRPr="008A3BD8">
              <w:rPr>
                <w:color w:val="000000" w:themeColor="text1"/>
                <w:lang w:val="pl-PL" w:eastAsia="pl-PL"/>
              </w:rPr>
              <w:t>token</w:t>
            </w:r>
            <w:proofErr w:type="spellEnd"/>
            <w:r w:rsidRPr="008A3BD8">
              <w:rPr>
                <w:color w:val="000000" w:themeColor="text1"/>
                <w:lang w:val="pl-PL" w:eastAsia="pl-PL"/>
              </w:rPr>
              <w:t xml:space="preserve"> transakcyjny, </w:t>
            </w:r>
            <w:r w:rsidRPr="008A3BD8">
              <w:rPr>
                <w:color w:val="000000" w:themeColor="text1"/>
                <w:lang w:val="pl-PL" w:eastAsia="pl-PL"/>
              </w:rPr>
              <w:lastRenderedPageBreak/>
              <w:t xml:space="preserve">cyfrowa pieczęć systemu DSE-L, </w:t>
            </w:r>
            <w:proofErr w:type="spellStart"/>
            <w:r w:rsidRPr="008A3BD8">
              <w:rPr>
                <w:color w:val="000000" w:themeColor="text1"/>
                <w:lang w:val="pl-PL" w:eastAsia="pl-PL"/>
              </w:rPr>
              <w:t>mTLS</w:t>
            </w:r>
            <w:proofErr w:type="spellEnd"/>
          </w:p>
        </w:tc>
      </w:tr>
    </w:tbl>
    <w:p w14:paraId="675609D8" w14:textId="77777777" w:rsidR="007573B2" w:rsidRDefault="007573B2" w:rsidP="007609C7">
      <w:pPr>
        <w:pStyle w:val="Tekstpodstawowy2"/>
        <w:spacing w:after="0"/>
        <w:ind w:left="0"/>
        <w:jc w:val="both"/>
        <w:rPr>
          <w:color w:val="0070C0"/>
          <w:lang w:val="pl-PL" w:eastAsia="pl-PL"/>
        </w:rPr>
      </w:pPr>
    </w:p>
    <w:p w14:paraId="6AC490A3" w14:textId="77777777" w:rsidR="007573B2" w:rsidRPr="00E63915" w:rsidRDefault="007573B2" w:rsidP="007573B2">
      <w:pPr>
        <w:pStyle w:val="Nagwek2"/>
        <w:keepNext/>
        <w:rPr>
          <w:lang w:val="pl-PL"/>
        </w:rPr>
      </w:pPr>
      <w:bookmarkStart w:id="12" w:name="_Hlk508868570"/>
      <w:r w:rsidRPr="00E63915">
        <w:rPr>
          <w:lang w:val="pl-PL"/>
        </w:rPr>
        <w:t xml:space="preserve">Kluczowe komponenty architektury rozwiązania </w:t>
      </w:r>
    </w:p>
    <w:bookmarkEnd w:id="12"/>
    <w:p w14:paraId="11EDB002" w14:textId="0FF067B0" w:rsidR="007573B2" w:rsidRPr="004A0BB2" w:rsidRDefault="007573B2" w:rsidP="004A0BB2">
      <w:pPr>
        <w:pStyle w:val="Tekstpodstawowy2"/>
        <w:rPr>
          <w:rFonts w:cs="Arial"/>
          <w:color w:val="0070C0"/>
          <w:sz w:val="22"/>
          <w:lang w:val="pl-PL" w:eastAsia="pl-PL"/>
        </w:rPr>
      </w:pPr>
      <w:r w:rsidRPr="00B73FE9">
        <w:rPr>
          <w:rFonts w:cs="Arial"/>
          <w:color w:val="0070C0"/>
          <w:sz w:val="22"/>
          <w:lang w:val="pl-PL" w:eastAsia="pl-PL"/>
        </w:rPr>
        <w:t>&lt;&lt;Na diagramie należy przedstawić kluczowe komponenty funkcjonalne niezbędne do działania rozwiązania. Diagram należy przygotować tylko dla nowych bądź znacząco modyfikowanych systemów. Przykład:</w:t>
      </w:r>
    </w:p>
    <w:p w14:paraId="6685FAB1" w14:textId="77777777" w:rsidR="00AD549B" w:rsidRDefault="00E01872" w:rsidP="00E01872">
      <w:pPr>
        <w:pStyle w:val="Tekstpodstawowy3"/>
        <w:ind w:left="851"/>
        <w:rPr>
          <w:lang w:val="pl-PL" w:eastAsia="pl-PL"/>
        </w:rPr>
      </w:pPr>
      <w:bookmarkStart w:id="13" w:name="_Hlk508868657"/>
      <w:r>
        <w:rPr>
          <w:lang w:val="pl-PL" w:eastAsia="pl-PL"/>
        </w:rPr>
        <w:tab/>
      </w:r>
    </w:p>
    <w:p w14:paraId="3CEF3A75" w14:textId="3FFCD525" w:rsidR="00C24030" w:rsidRDefault="004F151A" w:rsidP="00E01872">
      <w:pPr>
        <w:pStyle w:val="Tekstpodstawowy3"/>
        <w:ind w:left="851"/>
        <w:rPr>
          <w:color w:val="0070C0"/>
          <w:szCs w:val="20"/>
          <w:lang w:val="pl-PL" w:eastAsia="pl-PL"/>
        </w:rPr>
      </w:pPr>
      <w:r w:rsidRPr="004F151A">
        <w:rPr>
          <w:noProof/>
        </w:rPr>
        <w:drawing>
          <wp:inline distT="0" distB="0" distL="0" distR="0" wp14:anchorId="6189BD5D" wp14:editId="58C18CC3">
            <wp:extent cx="5860800" cy="2072212"/>
            <wp:effectExtent l="0" t="0" r="6985" b="4445"/>
            <wp:docPr id="213073815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073815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60800" cy="207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792195" w14:textId="3B914F72" w:rsidR="004F151A" w:rsidRPr="00E01872" w:rsidRDefault="004F151A" w:rsidP="00E01872">
      <w:pPr>
        <w:pStyle w:val="Tekstpodstawowy3"/>
        <w:ind w:left="851"/>
        <w:rPr>
          <w:color w:val="0070C0"/>
          <w:szCs w:val="20"/>
          <w:lang w:val="pl-PL" w:eastAsia="pl-PL"/>
        </w:rPr>
      </w:pPr>
      <w:r w:rsidRPr="004F151A">
        <w:rPr>
          <w:noProof/>
        </w:rPr>
        <w:drawing>
          <wp:inline distT="0" distB="0" distL="0" distR="0" wp14:anchorId="50A1A9BF" wp14:editId="16586F02">
            <wp:extent cx="6050280" cy="2004755"/>
            <wp:effectExtent l="0" t="0" r="7620" b="0"/>
            <wp:docPr id="41511518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11518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74862" cy="201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F4452" w14:textId="77777777" w:rsidR="00485E7E" w:rsidRDefault="00485E7E" w:rsidP="00485E7E">
      <w:pPr>
        <w:pStyle w:val="Tekstpodstawowy2"/>
        <w:ind w:left="0"/>
        <w:rPr>
          <w:lang w:val="pl-PL" w:eastAsia="pl-PL"/>
        </w:rPr>
      </w:pPr>
    </w:p>
    <w:p w14:paraId="7E0158C2" w14:textId="77777777" w:rsidR="008A3BD8" w:rsidRDefault="008A3BD8" w:rsidP="00485E7E">
      <w:pPr>
        <w:pStyle w:val="Tekstpodstawowy2"/>
        <w:ind w:left="0"/>
        <w:rPr>
          <w:lang w:val="pl-PL" w:eastAsia="pl-PL"/>
        </w:rPr>
      </w:pPr>
    </w:p>
    <w:p w14:paraId="4B331D34" w14:textId="77777777" w:rsidR="008A3BD8" w:rsidRDefault="008A3BD8" w:rsidP="00485E7E">
      <w:pPr>
        <w:pStyle w:val="Tekstpodstawowy2"/>
        <w:ind w:left="0"/>
        <w:rPr>
          <w:lang w:val="pl-PL" w:eastAsia="pl-PL"/>
        </w:rPr>
      </w:pPr>
    </w:p>
    <w:p w14:paraId="6A82E803" w14:textId="77777777" w:rsidR="008A3BD8" w:rsidRPr="00485E7E" w:rsidRDefault="008A3BD8" w:rsidP="00485E7E">
      <w:pPr>
        <w:pStyle w:val="Tekstpodstawowy2"/>
        <w:ind w:left="0"/>
        <w:rPr>
          <w:lang w:val="pl-PL" w:eastAsia="pl-PL"/>
        </w:rPr>
      </w:pPr>
    </w:p>
    <w:p w14:paraId="330B6901" w14:textId="77777777" w:rsidR="007573B2" w:rsidRPr="00E01872" w:rsidRDefault="007573B2" w:rsidP="007573B2">
      <w:pPr>
        <w:pStyle w:val="Nagwek2"/>
        <w:keepNext/>
        <w:rPr>
          <w:b w:val="0"/>
          <w:color w:val="7F7F7F" w:themeColor="text1" w:themeTint="80"/>
          <w:sz w:val="20"/>
          <w:szCs w:val="20"/>
          <w:lang w:val="pl-PL" w:eastAsia="pl-PL"/>
        </w:rPr>
      </w:pPr>
      <w:r>
        <w:rPr>
          <w:lang w:val="pl-PL" w:eastAsia="pl-PL"/>
        </w:rPr>
        <w:lastRenderedPageBreak/>
        <w:t>Przyjęte założenia technologiczne</w:t>
      </w:r>
      <w:r w:rsidR="00E01872">
        <w:rPr>
          <w:lang w:val="pl-PL" w:eastAsia="pl-PL"/>
        </w:rPr>
        <w:t xml:space="preserve"> </w:t>
      </w:r>
      <w:r w:rsidR="00E01872" w:rsidRPr="00E01872">
        <w:rPr>
          <w:b w:val="0"/>
          <w:color w:val="7F7F7F" w:themeColor="text1" w:themeTint="80"/>
          <w:sz w:val="20"/>
          <w:szCs w:val="20"/>
          <w:lang w:val="pl-PL" w:eastAsia="pl-PL"/>
        </w:rPr>
        <w:t>&lt;&lt;maksymalnie 2000 znaków&gt;&gt;</w:t>
      </w:r>
    </w:p>
    <w:bookmarkEnd w:id="13"/>
    <w:p w14:paraId="57C81CCF" w14:textId="54933D71" w:rsidR="007573B2" w:rsidRPr="000B571E" w:rsidRDefault="007573B2" w:rsidP="002E59AF">
      <w:pPr>
        <w:ind w:left="851"/>
        <w:rPr>
          <w:rFonts w:cs="Arial"/>
          <w:color w:val="0070C0"/>
          <w:sz w:val="22"/>
          <w:szCs w:val="22"/>
          <w:lang w:val="pl-PL" w:eastAsia="pl-PL"/>
        </w:rPr>
      </w:pPr>
    </w:p>
    <w:tbl>
      <w:tblPr>
        <w:tblW w:w="9214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6521"/>
      </w:tblGrid>
      <w:tr w:rsidR="00F90F03" w:rsidRPr="008A3BD8" w14:paraId="6D93509F" w14:textId="77777777" w:rsidTr="00321C0D">
        <w:tc>
          <w:tcPr>
            <w:tcW w:w="567" w:type="dxa"/>
            <w:shd w:val="clear" w:color="auto" w:fill="E7E6E6"/>
          </w:tcPr>
          <w:p w14:paraId="0C6ED2F3" w14:textId="77777777" w:rsidR="00F90F03" w:rsidRPr="008A3BD8" w:rsidRDefault="00F90F03" w:rsidP="00480C5A">
            <w:pPr>
              <w:jc w:val="center"/>
              <w:rPr>
                <w:b/>
                <w:color w:val="000000" w:themeColor="text1"/>
                <w:sz w:val="20"/>
                <w:szCs w:val="24"/>
                <w:lang w:val="pl-PL"/>
              </w:rPr>
            </w:pPr>
            <w:r w:rsidRPr="008A3BD8">
              <w:rPr>
                <w:b/>
                <w:color w:val="000000" w:themeColor="text1"/>
                <w:sz w:val="20"/>
                <w:szCs w:val="24"/>
                <w:lang w:val="pl-PL"/>
              </w:rPr>
              <w:t>Lp.</w:t>
            </w:r>
          </w:p>
        </w:tc>
        <w:tc>
          <w:tcPr>
            <w:tcW w:w="2126" w:type="dxa"/>
            <w:shd w:val="clear" w:color="auto" w:fill="E7E6E6"/>
          </w:tcPr>
          <w:p w14:paraId="129F7EE9" w14:textId="77777777" w:rsidR="00F90F03" w:rsidRPr="008A3BD8" w:rsidRDefault="00F90F03" w:rsidP="00480C5A">
            <w:pPr>
              <w:rPr>
                <w:b/>
                <w:color w:val="000000" w:themeColor="text1"/>
                <w:sz w:val="20"/>
                <w:szCs w:val="24"/>
                <w:lang w:val="pl-PL"/>
              </w:rPr>
            </w:pPr>
            <w:r w:rsidRPr="008A3BD8">
              <w:rPr>
                <w:b/>
                <w:color w:val="000000" w:themeColor="text1"/>
                <w:sz w:val="20"/>
                <w:szCs w:val="24"/>
                <w:lang w:val="pl-PL"/>
              </w:rPr>
              <w:t>Obszar</w:t>
            </w:r>
          </w:p>
        </w:tc>
        <w:tc>
          <w:tcPr>
            <w:tcW w:w="6521" w:type="dxa"/>
            <w:shd w:val="clear" w:color="auto" w:fill="E7E6E6"/>
          </w:tcPr>
          <w:p w14:paraId="0BD460D4" w14:textId="77777777" w:rsidR="00F90F03" w:rsidRPr="008A3BD8" w:rsidRDefault="00F90F03" w:rsidP="00480C5A">
            <w:pPr>
              <w:jc w:val="center"/>
              <w:rPr>
                <w:b/>
                <w:color w:val="000000" w:themeColor="text1"/>
                <w:sz w:val="20"/>
                <w:lang w:val="pl-PL"/>
              </w:rPr>
            </w:pPr>
            <w:r w:rsidRPr="008A3BD8">
              <w:rPr>
                <w:b/>
                <w:color w:val="000000" w:themeColor="text1"/>
                <w:sz w:val="20"/>
                <w:lang w:val="pl-PL"/>
              </w:rPr>
              <w:t>Założenie technologiczne</w:t>
            </w:r>
          </w:p>
        </w:tc>
      </w:tr>
      <w:tr w:rsidR="00F90F03" w:rsidRPr="008A3BD8" w14:paraId="334853B6" w14:textId="77777777" w:rsidTr="00321C0D">
        <w:tc>
          <w:tcPr>
            <w:tcW w:w="567" w:type="dxa"/>
          </w:tcPr>
          <w:p w14:paraId="4788D906" w14:textId="77777777" w:rsidR="00F90F03" w:rsidRPr="008A3BD8" w:rsidRDefault="00F90F03" w:rsidP="00505D03">
            <w:pPr>
              <w:pStyle w:val="Akapitzlist"/>
              <w:numPr>
                <w:ilvl w:val="0"/>
                <w:numId w:val="9"/>
              </w:numPr>
              <w:spacing w:line="240" w:lineRule="auto"/>
              <w:rPr>
                <w:color w:val="000000" w:themeColor="text1"/>
                <w:sz w:val="20"/>
              </w:rPr>
            </w:pPr>
          </w:p>
        </w:tc>
        <w:tc>
          <w:tcPr>
            <w:tcW w:w="2126" w:type="dxa"/>
          </w:tcPr>
          <w:p w14:paraId="67FA9F5B" w14:textId="77777777" w:rsidR="00F90F03" w:rsidRPr="008A3BD8" w:rsidRDefault="00F90F03" w:rsidP="00480C5A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>Infrastruktura</w:t>
            </w:r>
          </w:p>
        </w:tc>
        <w:tc>
          <w:tcPr>
            <w:tcW w:w="6521" w:type="dxa"/>
          </w:tcPr>
          <w:p w14:paraId="14C060A5" w14:textId="5A3BE119" w:rsidR="00F90F03" w:rsidRPr="008A3BD8" w:rsidRDefault="000C1FEC" w:rsidP="000C1FEC">
            <w:pPr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Architektura on-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premise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. Dedykowany klaster obliczeniowy HPC wyposażony w serwery z procesorami graficznymi (GPU klasy NVIDIA H100/A100/L40S) oraz szybkie macierze pamięci masowej 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NVMe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>. Lokalne stacje robocze ML/Data Science (128-256 GB RAM, karty RTX) do prac deweloperskich.</w:t>
            </w:r>
          </w:p>
        </w:tc>
      </w:tr>
      <w:tr w:rsidR="00F90F03" w:rsidRPr="008A3BD8" w14:paraId="2D2B1AEC" w14:textId="77777777" w:rsidTr="00321C0D">
        <w:tc>
          <w:tcPr>
            <w:tcW w:w="567" w:type="dxa"/>
          </w:tcPr>
          <w:p w14:paraId="78C048AD" w14:textId="77777777" w:rsidR="00F90F03" w:rsidRPr="008A3BD8" w:rsidRDefault="00F90F03" w:rsidP="00505D03">
            <w:pPr>
              <w:pStyle w:val="Akapitzlist"/>
              <w:numPr>
                <w:ilvl w:val="0"/>
                <w:numId w:val="9"/>
              </w:numPr>
              <w:spacing w:line="240" w:lineRule="auto"/>
              <w:rPr>
                <w:color w:val="000000" w:themeColor="text1"/>
                <w:sz w:val="20"/>
              </w:rPr>
            </w:pPr>
          </w:p>
        </w:tc>
        <w:tc>
          <w:tcPr>
            <w:tcW w:w="2126" w:type="dxa"/>
          </w:tcPr>
          <w:p w14:paraId="03B113B5" w14:textId="77777777" w:rsidR="00F90F03" w:rsidRPr="008A3BD8" w:rsidRDefault="00F90F03" w:rsidP="00480C5A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>Sieć i bezpieczeństwo</w:t>
            </w:r>
          </w:p>
        </w:tc>
        <w:tc>
          <w:tcPr>
            <w:tcW w:w="6521" w:type="dxa"/>
          </w:tcPr>
          <w:p w14:paraId="3B4DA7CC" w14:textId="46B08D47" w:rsidR="00F90F03" w:rsidRPr="008A3BD8" w:rsidRDefault="000C1FEC" w:rsidP="000C1FEC">
            <w:pPr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Pełna izolacja logiczna – sieć 100/400 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GbE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. Architektura Zero Trust, 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mikrosegmentacja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 oraz asynchroniczny broker komunikatów (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content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 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sanitization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) między 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backendem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 a DMZ. Automatyczna 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anonimizacja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 danych wejściowych i ochrona przed 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prompt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 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injection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>.</w:t>
            </w:r>
          </w:p>
        </w:tc>
      </w:tr>
      <w:tr w:rsidR="00F90F03" w:rsidRPr="008A3BD8" w14:paraId="55EA66A4" w14:textId="77777777" w:rsidTr="00321C0D">
        <w:tc>
          <w:tcPr>
            <w:tcW w:w="567" w:type="dxa"/>
          </w:tcPr>
          <w:p w14:paraId="69B49318" w14:textId="77777777" w:rsidR="00F90F03" w:rsidRPr="008A3BD8" w:rsidRDefault="00F90F03" w:rsidP="00505D03">
            <w:pPr>
              <w:pStyle w:val="Akapitzlist"/>
              <w:numPr>
                <w:ilvl w:val="0"/>
                <w:numId w:val="9"/>
              </w:numPr>
              <w:spacing w:line="240" w:lineRule="auto"/>
              <w:rPr>
                <w:color w:val="000000" w:themeColor="text1"/>
                <w:sz w:val="20"/>
              </w:rPr>
            </w:pPr>
          </w:p>
        </w:tc>
        <w:tc>
          <w:tcPr>
            <w:tcW w:w="2126" w:type="dxa"/>
          </w:tcPr>
          <w:p w14:paraId="4F7BE4DF" w14:textId="77777777" w:rsidR="00F90F03" w:rsidRPr="008A3BD8" w:rsidRDefault="00F90F03" w:rsidP="00480C5A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>Standardy wymiany danych</w:t>
            </w:r>
          </w:p>
        </w:tc>
        <w:tc>
          <w:tcPr>
            <w:tcW w:w="6521" w:type="dxa"/>
          </w:tcPr>
          <w:p w14:paraId="5F082117" w14:textId="7B95231A" w:rsidR="00F90F03" w:rsidRPr="008A3BD8" w:rsidRDefault="000C1FEC" w:rsidP="000C1FEC">
            <w:pPr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Bezobsługowe, bezpieczne interfejsy REST API systemów zewnętrznych. Metadane pism i orzeczeń przesyłane w ustrukturyzowanym formacie JSON. Komunikacja asynchroniczna z systemami dziedzinowymi. Standardy 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wektoryzacji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 i 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osadzeń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 semantycznych (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embeddings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>) dla mechanizmów RAG.</w:t>
            </w:r>
          </w:p>
        </w:tc>
      </w:tr>
      <w:tr w:rsidR="00F90F03" w:rsidRPr="008A3BD8" w14:paraId="2437CE89" w14:textId="77777777" w:rsidTr="00321C0D">
        <w:tc>
          <w:tcPr>
            <w:tcW w:w="567" w:type="dxa"/>
          </w:tcPr>
          <w:p w14:paraId="1C708203" w14:textId="77777777" w:rsidR="00F90F03" w:rsidRPr="008A3BD8" w:rsidRDefault="00F90F03" w:rsidP="00505D03">
            <w:pPr>
              <w:pStyle w:val="Akapitzlist"/>
              <w:numPr>
                <w:ilvl w:val="0"/>
                <w:numId w:val="9"/>
              </w:numPr>
              <w:spacing w:line="240" w:lineRule="auto"/>
              <w:rPr>
                <w:color w:val="000000" w:themeColor="text1"/>
                <w:sz w:val="20"/>
              </w:rPr>
            </w:pPr>
          </w:p>
        </w:tc>
        <w:tc>
          <w:tcPr>
            <w:tcW w:w="2126" w:type="dxa"/>
          </w:tcPr>
          <w:p w14:paraId="23387E2A" w14:textId="77777777" w:rsidR="00F90F03" w:rsidRPr="008A3BD8" w:rsidRDefault="00F90F03" w:rsidP="00480C5A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>Systemy operacyjne serwerowe</w:t>
            </w:r>
          </w:p>
        </w:tc>
        <w:tc>
          <w:tcPr>
            <w:tcW w:w="6521" w:type="dxa"/>
          </w:tcPr>
          <w:p w14:paraId="494CD943" w14:textId="61A6244A" w:rsidR="00F90F03" w:rsidRPr="008A3BD8" w:rsidRDefault="000C1FEC" w:rsidP="000C1FEC">
            <w:pPr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Stabilne dystrybucje systemu Linux (np. 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Ubuntu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 Server/RHEL) zoptymalizowane pod kątem obliczeń wysokiej wydajności (HPC) i obsługi procesów maszynowych. Konteneryzacja środowisk w oparciu o Docker oraz orkiestrację za pomocą klastra 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Kubernetes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>.</w:t>
            </w:r>
          </w:p>
        </w:tc>
      </w:tr>
      <w:tr w:rsidR="00F90F03" w:rsidRPr="008A3BD8" w14:paraId="0B23C36B" w14:textId="77777777" w:rsidTr="00321C0D">
        <w:tc>
          <w:tcPr>
            <w:tcW w:w="567" w:type="dxa"/>
          </w:tcPr>
          <w:p w14:paraId="0BFB2687" w14:textId="77777777" w:rsidR="00F90F03" w:rsidRPr="008A3BD8" w:rsidRDefault="00F90F03" w:rsidP="00505D03">
            <w:pPr>
              <w:pStyle w:val="Akapitzlist"/>
              <w:numPr>
                <w:ilvl w:val="0"/>
                <w:numId w:val="9"/>
              </w:numPr>
              <w:spacing w:line="240" w:lineRule="auto"/>
              <w:rPr>
                <w:color w:val="000000" w:themeColor="text1"/>
                <w:sz w:val="20"/>
              </w:rPr>
            </w:pPr>
          </w:p>
        </w:tc>
        <w:tc>
          <w:tcPr>
            <w:tcW w:w="2126" w:type="dxa"/>
          </w:tcPr>
          <w:p w14:paraId="3D01CAD5" w14:textId="77777777" w:rsidR="00F90F03" w:rsidRPr="008A3BD8" w:rsidRDefault="00F90F03" w:rsidP="00480C5A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>Bazy danych</w:t>
            </w:r>
          </w:p>
        </w:tc>
        <w:tc>
          <w:tcPr>
            <w:tcW w:w="6521" w:type="dxa"/>
          </w:tcPr>
          <w:p w14:paraId="08CF134A" w14:textId="4785EF47" w:rsidR="00F90F03" w:rsidRPr="008A3BD8" w:rsidRDefault="000C1FEC" w:rsidP="000C1FEC">
            <w:pPr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Wysokowydajne wektorowe bazy danych (np. 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Qdrant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>/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Milvus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) dedykowane do natychmiastowego przeszukiwania semantycznego potężnych korpusów orzeczniczych w architekturze RAG. Relacyjne bazy danych (np. 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PostgreSQL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>) do przechowywania metadanych i logów.</w:t>
            </w:r>
          </w:p>
        </w:tc>
      </w:tr>
      <w:tr w:rsidR="00F90F03" w:rsidRPr="008A3BD8" w14:paraId="4BC49E7A" w14:textId="77777777" w:rsidTr="00321C0D">
        <w:tc>
          <w:tcPr>
            <w:tcW w:w="567" w:type="dxa"/>
          </w:tcPr>
          <w:p w14:paraId="760CA8EC" w14:textId="77777777" w:rsidR="00F90F03" w:rsidRPr="008A3BD8" w:rsidRDefault="00F90F03" w:rsidP="00505D03">
            <w:pPr>
              <w:pStyle w:val="Akapitzlist"/>
              <w:numPr>
                <w:ilvl w:val="0"/>
                <w:numId w:val="9"/>
              </w:numPr>
              <w:spacing w:line="240" w:lineRule="auto"/>
              <w:rPr>
                <w:color w:val="000000" w:themeColor="text1"/>
                <w:sz w:val="20"/>
              </w:rPr>
            </w:pPr>
          </w:p>
        </w:tc>
        <w:tc>
          <w:tcPr>
            <w:tcW w:w="2126" w:type="dxa"/>
          </w:tcPr>
          <w:p w14:paraId="5EB969C2" w14:textId="77777777" w:rsidR="00F90F03" w:rsidRPr="008A3BD8" w:rsidRDefault="00F90F03" w:rsidP="00480C5A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>Serwery aplikacji</w:t>
            </w:r>
          </w:p>
        </w:tc>
        <w:tc>
          <w:tcPr>
            <w:tcW w:w="6521" w:type="dxa"/>
          </w:tcPr>
          <w:p w14:paraId="0A1B136B" w14:textId="4AE20576" w:rsidR="00F90F03" w:rsidRPr="008A3BD8" w:rsidRDefault="000C1FEC" w:rsidP="000C1FEC">
            <w:pPr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Konteneryzowane 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mikroserwisy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 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backendowe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 oparte na języku 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Python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 (szkielety 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FastAPI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>/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Flask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) do obsługi wnioskowania modeli LLM oraz potoków RAG. Zaawansowana architektura 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MLOps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 zintegrowana z systemem kolejkowania zadań obliczeniowych.</w:t>
            </w:r>
          </w:p>
        </w:tc>
      </w:tr>
      <w:tr w:rsidR="00F90F03" w:rsidRPr="008A3BD8" w14:paraId="5A5FCA5F" w14:textId="77777777" w:rsidTr="00321C0D">
        <w:tc>
          <w:tcPr>
            <w:tcW w:w="567" w:type="dxa"/>
          </w:tcPr>
          <w:p w14:paraId="51008769" w14:textId="77777777" w:rsidR="00F90F03" w:rsidRPr="008A3BD8" w:rsidRDefault="00F90F03" w:rsidP="00505D03">
            <w:pPr>
              <w:pStyle w:val="Akapitzlist"/>
              <w:numPr>
                <w:ilvl w:val="0"/>
                <w:numId w:val="9"/>
              </w:numPr>
              <w:spacing w:line="240" w:lineRule="auto"/>
              <w:rPr>
                <w:color w:val="000000" w:themeColor="text1"/>
                <w:sz w:val="20"/>
              </w:rPr>
            </w:pPr>
          </w:p>
        </w:tc>
        <w:tc>
          <w:tcPr>
            <w:tcW w:w="2126" w:type="dxa"/>
          </w:tcPr>
          <w:p w14:paraId="1C579FDD" w14:textId="77777777" w:rsidR="00F90F03" w:rsidRPr="008A3BD8" w:rsidRDefault="00F90F03" w:rsidP="00480C5A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>Portale</w:t>
            </w:r>
          </w:p>
        </w:tc>
        <w:tc>
          <w:tcPr>
            <w:tcW w:w="6521" w:type="dxa"/>
          </w:tcPr>
          <w:p w14:paraId="689C9728" w14:textId="6DC54214" w:rsidR="00F90F03" w:rsidRPr="008A3BD8" w:rsidRDefault="000C1FEC" w:rsidP="000C1FEC">
            <w:pPr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Platforma e-usługi 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back-office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 typu A2A dla podmiotów instytucjonalnych (sądów, samorządu adwokackiego). Interfejs użytkownika (UI/UX) osadzony w bezpiecznej warstwie prezentacji (strefa DMZ), całkowicie odciętej od bezpośredniego rdzenia bazodanowego i AI.</w:t>
            </w:r>
          </w:p>
        </w:tc>
      </w:tr>
      <w:tr w:rsidR="006142D8" w:rsidRPr="008A3BD8" w14:paraId="5FE33E89" w14:textId="77777777" w:rsidTr="00F90F03">
        <w:tc>
          <w:tcPr>
            <w:tcW w:w="567" w:type="dxa"/>
          </w:tcPr>
          <w:p w14:paraId="27E38D7B" w14:textId="77777777" w:rsidR="006142D8" w:rsidRPr="008A3BD8" w:rsidRDefault="006142D8" w:rsidP="00505D03">
            <w:pPr>
              <w:pStyle w:val="Akapitzlist"/>
              <w:numPr>
                <w:ilvl w:val="0"/>
                <w:numId w:val="9"/>
              </w:numPr>
              <w:spacing w:line="240" w:lineRule="auto"/>
              <w:rPr>
                <w:color w:val="000000" w:themeColor="text1"/>
                <w:sz w:val="20"/>
              </w:rPr>
            </w:pPr>
          </w:p>
        </w:tc>
        <w:tc>
          <w:tcPr>
            <w:tcW w:w="2126" w:type="dxa"/>
          </w:tcPr>
          <w:p w14:paraId="5FB781E5" w14:textId="77777777" w:rsidR="006142D8" w:rsidRPr="008A3BD8" w:rsidRDefault="006142D8" w:rsidP="00480C5A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rFonts w:cs="Arial"/>
                <w:color w:val="000000" w:themeColor="text1"/>
                <w:sz w:val="20"/>
                <w:lang w:val="pl-PL" w:eastAsia="pl-PL"/>
              </w:rPr>
              <w:t>Inne</w:t>
            </w:r>
          </w:p>
        </w:tc>
        <w:tc>
          <w:tcPr>
            <w:tcW w:w="6521" w:type="dxa"/>
          </w:tcPr>
          <w:p w14:paraId="1DFF22B5" w14:textId="4A2BBCB2" w:rsidR="006142D8" w:rsidRPr="008A3BD8" w:rsidRDefault="000C1FEC" w:rsidP="000C1FEC">
            <w:pPr>
              <w:rPr>
                <w:color w:val="000000" w:themeColor="text1"/>
                <w:sz w:val="20"/>
                <w:lang w:val="pl-PL" w:eastAsia="pl-PL"/>
              </w:rPr>
            </w:pPr>
            <w:r w:rsidRPr="008A3BD8">
              <w:rPr>
                <w:color w:val="000000" w:themeColor="text1"/>
                <w:sz w:val="20"/>
                <w:lang w:val="pl-PL" w:eastAsia="pl-PL"/>
              </w:rPr>
              <w:t>Suwerenne, lokalne modele językowe (LLM) typu open-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source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 poddane procesowi fine-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tuning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. Autorski system automatycznej ekstrakcji cech semantycznych oraz weryfikacji formalnej dokumentów, gwarantujący pełną niezależność i brak ryzyka </w:t>
            </w:r>
            <w:proofErr w:type="spellStart"/>
            <w:r w:rsidRPr="008A3BD8">
              <w:rPr>
                <w:color w:val="000000" w:themeColor="text1"/>
                <w:sz w:val="20"/>
                <w:lang w:val="pl-PL" w:eastAsia="pl-PL"/>
              </w:rPr>
              <w:t>vendor</w:t>
            </w:r>
            <w:proofErr w:type="spellEnd"/>
            <w:r w:rsidRPr="008A3BD8">
              <w:rPr>
                <w:color w:val="000000" w:themeColor="text1"/>
                <w:sz w:val="20"/>
                <w:lang w:val="pl-PL" w:eastAsia="pl-PL"/>
              </w:rPr>
              <w:t xml:space="preserve"> lock-in.</w:t>
            </w:r>
          </w:p>
        </w:tc>
      </w:tr>
    </w:tbl>
    <w:p w14:paraId="2BE3043C" w14:textId="77777777" w:rsidR="007573B2" w:rsidRPr="00AE0FE1" w:rsidRDefault="007573B2" w:rsidP="00485E7E">
      <w:pPr>
        <w:pStyle w:val="Tekstpodstawowy2"/>
        <w:ind w:left="0"/>
        <w:rPr>
          <w:lang w:val="pl-PL" w:eastAsia="pl-PL"/>
        </w:rPr>
      </w:pPr>
    </w:p>
    <w:p w14:paraId="3F262BF1" w14:textId="77777777" w:rsidR="007573B2" w:rsidRPr="00E01872" w:rsidRDefault="007573B2" w:rsidP="004A0BB2">
      <w:pPr>
        <w:pStyle w:val="Nagwek2"/>
        <w:keepNext/>
        <w:rPr>
          <w:b w:val="0"/>
          <w:color w:val="7F7F7F" w:themeColor="text1" w:themeTint="80"/>
          <w:sz w:val="20"/>
          <w:szCs w:val="20"/>
          <w:lang w:val="pl-PL" w:eastAsia="pl-PL"/>
        </w:rPr>
      </w:pPr>
      <w:bookmarkStart w:id="14" w:name="_Hlk508868684"/>
      <w:r>
        <w:rPr>
          <w:lang w:val="pl-PL" w:eastAsia="pl-PL"/>
        </w:rPr>
        <w:t>Opis zasobów danych przetwarzanych w planowanym rozwiązaniu</w:t>
      </w:r>
      <w:bookmarkEnd w:id="14"/>
      <w:r w:rsidR="00E01872">
        <w:rPr>
          <w:lang w:val="pl-PL" w:eastAsia="pl-PL"/>
        </w:rPr>
        <w:t xml:space="preserve"> </w:t>
      </w:r>
      <w:r w:rsidR="00E01872" w:rsidRPr="00E01872">
        <w:rPr>
          <w:b w:val="0"/>
          <w:color w:val="7F7F7F" w:themeColor="text1" w:themeTint="80"/>
          <w:sz w:val="20"/>
          <w:szCs w:val="20"/>
          <w:lang w:val="pl-PL" w:eastAsia="pl-PL"/>
        </w:rPr>
        <w:t>&lt;&lt;maksymalnie 2000 znaków&gt;&gt;</w:t>
      </w:r>
    </w:p>
    <w:p w14:paraId="36709498" w14:textId="77777777" w:rsidR="007573B2" w:rsidRDefault="007573B2" w:rsidP="004A0BB2">
      <w:pPr>
        <w:spacing w:before="120"/>
        <w:ind w:left="851"/>
        <w:jc w:val="both"/>
        <w:rPr>
          <w:lang w:val="pl-PL"/>
        </w:rPr>
      </w:pPr>
      <w:r>
        <w:rPr>
          <w:lang w:val="pl-PL"/>
        </w:rPr>
        <w:t>Czy nowy system będzie tworzył zasoby danych o charakterze rejestru publicznego?</w:t>
      </w:r>
    </w:p>
    <w:p w14:paraId="18014F1B" w14:textId="77777777" w:rsidR="004A0BB2" w:rsidRPr="002B221F" w:rsidRDefault="004A0BB2" w:rsidP="00402AAE">
      <w:pPr>
        <w:spacing w:before="120" w:after="120"/>
        <w:ind w:left="851"/>
        <w:jc w:val="both"/>
        <w:rPr>
          <w:lang w:val="pl-PL"/>
        </w:rPr>
      </w:pPr>
      <w:r w:rsidRPr="00E76270">
        <w:rPr>
          <w:rFonts w:eastAsiaTheme="minorHAnsi"/>
          <w:strike/>
          <w:lang w:val="pl-PL" w:eastAsia="pl-PL"/>
        </w:rPr>
        <w:t>TAK</w:t>
      </w:r>
      <w:r>
        <w:rPr>
          <w:rFonts w:eastAsiaTheme="minorHAnsi"/>
          <w:lang w:val="pl-PL" w:eastAsia="pl-PL"/>
        </w:rPr>
        <w:t xml:space="preserve">/NIE </w:t>
      </w:r>
      <w:r>
        <w:rPr>
          <w:rStyle w:val="Odwoanieprzypisudolnego"/>
          <w:rFonts w:eastAsiaTheme="minorHAnsi"/>
          <w:lang w:val="pl-PL" w:eastAsia="pl-PL"/>
        </w:rPr>
        <w:footnoteReference w:id="5"/>
      </w:r>
    </w:p>
    <w:tbl>
      <w:tblPr>
        <w:tblW w:w="7796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1912"/>
        <w:gridCol w:w="5368"/>
      </w:tblGrid>
      <w:tr w:rsidR="007573B2" w14:paraId="446A59D4" w14:textId="77777777" w:rsidTr="00480C5A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448804" w14:textId="77777777" w:rsidR="007573B2" w:rsidRPr="000758B8" w:rsidRDefault="007573B2" w:rsidP="00480C5A">
            <w:pPr>
              <w:spacing w:line="256" w:lineRule="auto"/>
              <w:jc w:val="center"/>
              <w:rPr>
                <w:b/>
                <w:sz w:val="20"/>
                <w:szCs w:val="24"/>
                <w:lang w:val="pl-PL"/>
              </w:rPr>
            </w:pPr>
            <w:r w:rsidRPr="000758B8">
              <w:rPr>
                <w:b/>
                <w:sz w:val="20"/>
                <w:szCs w:val="24"/>
                <w:lang w:val="pl-PL"/>
              </w:rPr>
              <w:t>Lp.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22C6B0" w14:textId="77777777" w:rsidR="007573B2" w:rsidRPr="000758B8" w:rsidRDefault="006142D8" w:rsidP="00480C5A">
            <w:pPr>
              <w:spacing w:line="256" w:lineRule="auto"/>
              <w:jc w:val="center"/>
              <w:rPr>
                <w:b/>
                <w:sz w:val="20"/>
                <w:szCs w:val="24"/>
                <w:lang w:val="pl-PL"/>
              </w:rPr>
            </w:pPr>
            <w:r w:rsidRPr="000758B8">
              <w:rPr>
                <w:b/>
                <w:sz w:val="20"/>
                <w:szCs w:val="24"/>
                <w:lang w:val="pl-PL"/>
              </w:rPr>
              <w:t>Tworzony rejestr publiczny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2D217C" w14:textId="77777777" w:rsidR="007573B2" w:rsidRPr="000758B8" w:rsidRDefault="007573B2" w:rsidP="00480C5A">
            <w:pPr>
              <w:spacing w:line="256" w:lineRule="auto"/>
              <w:jc w:val="center"/>
              <w:rPr>
                <w:b/>
                <w:sz w:val="20"/>
                <w:lang w:val="pl-PL"/>
              </w:rPr>
            </w:pPr>
            <w:r w:rsidRPr="000758B8">
              <w:rPr>
                <w:b/>
                <w:sz w:val="20"/>
                <w:lang w:val="pl-PL"/>
              </w:rPr>
              <w:t xml:space="preserve">Opis </w:t>
            </w:r>
          </w:p>
        </w:tc>
      </w:tr>
      <w:tr w:rsidR="007573B2" w14:paraId="4513F818" w14:textId="77777777" w:rsidTr="00480C5A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F44E" w14:textId="77777777" w:rsidR="007573B2" w:rsidRDefault="007573B2" w:rsidP="00480C5A">
            <w:pPr>
              <w:spacing w:line="256" w:lineRule="auto"/>
              <w:jc w:val="both"/>
              <w:rPr>
                <w:color w:val="0070C0"/>
                <w:sz w:val="20"/>
                <w:lang w:val="pl-PL" w:eastAsia="pl-PL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2974" w14:textId="77777777" w:rsidR="007573B2" w:rsidRDefault="007573B2" w:rsidP="00480C5A">
            <w:pPr>
              <w:spacing w:line="256" w:lineRule="auto"/>
              <w:ind w:left="2124"/>
              <w:jc w:val="center"/>
              <w:rPr>
                <w:color w:val="0070C0"/>
                <w:sz w:val="20"/>
                <w:lang w:val="pl-PL" w:eastAsia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2E2B" w14:textId="77777777" w:rsidR="007573B2" w:rsidRDefault="007573B2" w:rsidP="00480C5A">
            <w:pPr>
              <w:spacing w:line="256" w:lineRule="auto"/>
              <w:jc w:val="center"/>
              <w:rPr>
                <w:color w:val="0070C0"/>
                <w:sz w:val="20"/>
                <w:lang w:val="pl-PL" w:eastAsia="pl-PL"/>
              </w:rPr>
            </w:pPr>
          </w:p>
        </w:tc>
      </w:tr>
    </w:tbl>
    <w:p w14:paraId="2A218DB5" w14:textId="77777777" w:rsidR="007573B2" w:rsidRDefault="007573B2" w:rsidP="007573B2">
      <w:pPr>
        <w:rPr>
          <w:lang w:val="pl-PL"/>
        </w:rPr>
      </w:pPr>
    </w:p>
    <w:p w14:paraId="64461C30" w14:textId="77777777" w:rsidR="008565B8" w:rsidRDefault="006142D8" w:rsidP="004A0BB2">
      <w:pPr>
        <w:spacing w:before="120"/>
        <w:ind w:left="851"/>
        <w:jc w:val="both"/>
        <w:rPr>
          <w:lang w:val="pl-PL"/>
        </w:rPr>
      </w:pPr>
      <w:r w:rsidRPr="006142D8">
        <w:rPr>
          <w:lang w:val="pl-PL"/>
        </w:rPr>
        <w:lastRenderedPageBreak/>
        <w:t>Czy nowy system będzie przetwarzał (używał, zmieniał) zawartość innych rejestrów publicznych?</w:t>
      </w:r>
      <w:r>
        <w:rPr>
          <w:lang w:val="pl-PL"/>
        </w:rPr>
        <w:t xml:space="preserve"> </w:t>
      </w:r>
    </w:p>
    <w:p w14:paraId="70B4498E" w14:textId="77777777" w:rsidR="004A0BB2" w:rsidRDefault="004A0BB2" w:rsidP="00402AAE">
      <w:pPr>
        <w:spacing w:before="120" w:after="120"/>
        <w:ind w:left="851"/>
        <w:jc w:val="both"/>
        <w:rPr>
          <w:lang w:val="pl-PL"/>
        </w:rPr>
      </w:pPr>
      <w:r w:rsidRPr="00E76270">
        <w:rPr>
          <w:rFonts w:eastAsiaTheme="minorHAnsi"/>
          <w:strike/>
          <w:lang w:val="pl-PL" w:eastAsia="pl-PL"/>
        </w:rPr>
        <w:t>TAK</w:t>
      </w:r>
      <w:r>
        <w:rPr>
          <w:rFonts w:eastAsiaTheme="minorHAnsi"/>
          <w:lang w:val="pl-PL" w:eastAsia="pl-PL"/>
        </w:rPr>
        <w:t xml:space="preserve">/NIE </w:t>
      </w:r>
      <w:r>
        <w:rPr>
          <w:rStyle w:val="Odwoanieprzypisudolnego"/>
          <w:rFonts w:eastAsiaTheme="minorHAnsi"/>
          <w:lang w:val="pl-PL" w:eastAsia="pl-PL"/>
        </w:rPr>
        <w:footnoteReference w:id="6"/>
      </w:r>
    </w:p>
    <w:tbl>
      <w:tblPr>
        <w:tblW w:w="7654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051"/>
        <w:gridCol w:w="2542"/>
        <w:gridCol w:w="2545"/>
      </w:tblGrid>
      <w:tr w:rsidR="007573B2" w14:paraId="2E1DAB50" w14:textId="77777777" w:rsidTr="00480C5A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76D0E9" w14:textId="77777777" w:rsidR="007573B2" w:rsidRPr="000758B8" w:rsidRDefault="007573B2" w:rsidP="00480C5A">
            <w:pPr>
              <w:spacing w:line="256" w:lineRule="auto"/>
              <w:jc w:val="center"/>
              <w:rPr>
                <w:b/>
                <w:sz w:val="20"/>
                <w:szCs w:val="24"/>
                <w:lang w:val="pl-PL"/>
              </w:rPr>
            </w:pPr>
            <w:r w:rsidRPr="000758B8">
              <w:rPr>
                <w:b/>
                <w:sz w:val="20"/>
                <w:szCs w:val="24"/>
                <w:lang w:val="pl-PL"/>
              </w:rPr>
              <w:t>Lp.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394C18" w14:textId="77777777" w:rsidR="007573B2" w:rsidRPr="000758B8" w:rsidRDefault="007573B2" w:rsidP="00480C5A">
            <w:pPr>
              <w:spacing w:line="256" w:lineRule="auto"/>
              <w:jc w:val="center"/>
              <w:rPr>
                <w:b/>
                <w:sz w:val="20"/>
                <w:szCs w:val="24"/>
                <w:lang w:val="pl-PL"/>
              </w:rPr>
            </w:pPr>
            <w:r w:rsidRPr="000758B8">
              <w:rPr>
                <w:b/>
                <w:sz w:val="20"/>
                <w:szCs w:val="24"/>
                <w:lang w:val="pl-PL"/>
              </w:rPr>
              <w:t>Rejestr publiczny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28F934" w14:textId="77777777" w:rsidR="007573B2" w:rsidRPr="000758B8" w:rsidRDefault="007573B2" w:rsidP="00480C5A">
            <w:pPr>
              <w:spacing w:line="256" w:lineRule="auto"/>
              <w:jc w:val="center"/>
              <w:rPr>
                <w:b/>
                <w:sz w:val="20"/>
                <w:lang w:val="pl-PL"/>
              </w:rPr>
            </w:pPr>
            <w:r w:rsidRPr="000758B8">
              <w:rPr>
                <w:b/>
                <w:sz w:val="20"/>
                <w:lang w:val="pl-PL"/>
              </w:rPr>
              <w:t xml:space="preserve">Opis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ED1A7C" w14:textId="77777777" w:rsidR="007573B2" w:rsidRPr="000758B8" w:rsidRDefault="007573B2" w:rsidP="00480C5A">
            <w:pPr>
              <w:spacing w:line="256" w:lineRule="auto"/>
              <w:jc w:val="center"/>
              <w:rPr>
                <w:b/>
                <w:sz w:val="20"/>
                <w:lang w:val="pl-PL"/>
              </w:rPr>
            </w:pPr>
            <w:r w:rsidRPr="000758B8">
              <w:rPr>
                <w:b/>
                <w:sz w:val="20"/>
                <w:lang w:val="pl-PL"/>
              </w:rPr>
              <w:t>Zakres przetwarzania</w:t>
            </w:r>
          </w:p>
        </w:tc>
      </w:tr>
      <w:tr w:rsidR="007573B2" w14:paraId="47D8FD0D" w14:textId="77777777" w:rsidTr="00480C5A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F29B" w14:textId="77777777" w:rsidR="007573B2" w:rsidRDefault="007573B2" w:rsidP="00480C5A">
            <w:pPr>
              <w:spacing w:line="256" w:lineRule="auto"/>
              <w:jc w:val="both"/>
              <w:rPr>
                <w:color w:val="0070C0"/>
                <w:sz w:val="20"/>
                <w:lang w:val="pl-PL" w:eastAsia="pl-PL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F647" w14:textId="77777777" w:rsidR="007573B2" w:rsidRDefault="007573B2" w:rsidP="00480C5A">
            <w:pPr>
              <w:spacing w:line="256" w:lineRule="auto"/>
              <w:ind w:left="2124"/>
              <w:jc w:val="center"/>
              <w:rPr>
                <w:color w:val="0070C0"/>
                <w:sz w:val="20"/>
                <w:lang w:val="pl-PL"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F70E" w14:textId="77777777" w:rsidR="007573B2" w:rsidRDefault="007573B2" w:rsidP="00480C5A">
            <w:pPr>
              <w:spacing w:line="256" w:lineRule="auto"/>
              <w:jc w:val="center"/>
              <w:rPr>
                <w:color w:val="0070C0"/>
                <w:sz w:val="20"/>
                <w:lang w:val="pl-PL"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B831" w14:textId="1484C8AF" w:rsidR="007573B2" w:rsidRDefault="00CA2C27" w:rsidP="00480C5A">
            <w:pPr>
              <w:spacing w:line="256" w:lineRule="auto"/>
              <w:jc w:val="center"/>
              <w:rPr>
                <w:color w:val="0070C0"/>
                <w:sz w:val="20"/>
                <w:lang w:val="pl-PL" w:eastAsia="pl-PL"/>
              </w:rPr>
            </w:pPr>
            <w:r w:rsidRPr="00CA2C27">
              <w:rPr>
                <w:color w:val="0070C0"/>
                <w:sz w:val="20"/>
                <w:lang w:val="pl-PL" w:eastAsia="pl-PL"/>
              </w:rPr>
              <w:t>&lt;&lt;użycie, zmiana&gt;&gt;</w:t>
            </w:r>
          </w:p>
        </w:tc>
      </w:tr>
    </w:tbl>
    <w:p w14:paraId="6A70BFF9" w14:textId="77777777" w:rsidR="00BD4EE3" w:rsidRPr="00BD4EE3" w:rsidRDefault="00BD4EE3" w:rsidP="00485E7E">
      <w:pPr>
        <w:pStyle w:val="Tekstpodstawowy2"/>
        <w:ind w:left="0"/>
        <w:rPr>
          <w:lang w:val="pl-PL" w:eastAsia="pl-PL"/>
        </w:rPr>
      </w:pPr>
    </w:p>
    <w:p w14:paraId="0281B503" w14:textId="77777777" w:rsidR="00BD4EE3" w:rsidRPr="003269DF" w:rsidRDefault="00BD4EE3" w:rsidP="00A03B75">
      <w:pPr>
        <w:pStyle w:val="Nagwek2"/>
        <w:keepNext/>
        <w:rPr>
          <w:b w:val="0"/>
          <w:sz w:val="20"/>
          <w:szCs w:val="20"/>
          <w:lang w:val="pl-PL" w:eastAsia="pl-PL"/>
        </w:rPr>
      </w:pPr>
      <w:r w:rsidRPr="00110D64">
        <w:rPr>
          <w:szCs w:val="20"/>
          <w:lang w:val="pl-PL" w:eastAsia="pl-PL"/>
        </w:rPr>
        <w:t>Bezpieczeństwo</w:t>
      </w:r>
      <w:r w:rsidRPr="00A03B75">
        <w:rPr>
          <w:sz w:val="20"/>
          <w:szCs w:val="20"/>
          <w:lang w:val="pl-PL" w:eastAsia="pl-PL"/>
        </w:rPr>
        <w:t xml:space="preserve"> </w:t>
      </w:r>
      <w:r w:rsidR="00A03B75" w:rsidRPr="00652B57">
        <w:rPr>
          <w:b w:val="0"/>
          <w:color w:val="7F7F7F" w:themeColor="text1" w:themeTint="80"/>
          <w:sz w:val="20"/>
          <w:szCs w:val="20"/>
          <w:lang w:val="pl-PL" w:eastAsia="pl-PL"/>
        </w:rPr>
        <w:t>&lt;&lt;maksymalnie 2000 znaków&gt;&gt;</w:t>
      </w:r>
    </w:p>
    <w:p w14:paraId="4509E9BD" w14:textId="62973602" w:rsidR="00BD4EE3" w:rsidRPr="00E76270" w:rsidRDefault="00BD4EE3" w:rsidP="002E59AF">
      <w:pPr>
        <w:spacing w:after="120"/>
        <w:ind w:left="425"/>
        <w:rPr>
          <w:rFonts w:cs="Arial"/>
          <w:sz w:val="22"/>
          <w:szCs w:val="24"/>
          <w:lang w:val="pl-PL" w:eastAsia="pl-PL"/>
        </w:rPr>
      </w:pPr>
      <w:r w:rsidRPr="00E76270">
        <w:rPr>
          <w:rFonts w:cs="Arial"/>
          <w:sz w:val="22"/>
          <w:szCs w:val="24"/>
          <w:lang w:val="pl-PL" w:eastAsia="pl-PL"/>
        </w:rPr>
        <w:t>Planowany poziom zapewnienia bezpieczeństwa (</w:t>
      </w:r>
      <w:r w:rsidR="00B96493" w:rsidRPr="00E76270">
        <w:rPr>
          <w:rFonts w:cs="Arial"/>
          <w:sz w:val="22"/>
          <w:szCs w:val="24"/>
          <w:lang w:val="pl-PL" w:eastAsia="pl-PL"/>
        </w:rPr>
        <w:t>w rozumieniu przepisów §</w:t>
      </w:r>
      <w:r w:rsidR="004A11A1" w:rsidRPr="00E76270">
        <w:rPr>
          <w:rFonts w:cs="Arial"/>
          <w:sz w:val="22"/>
          <w:szCs w:val="24"/>
          <w:lang w:val="pl-PL" w:eastAsia="pl-PL"/>
        </w:rPr>
        <w:t xml:space="preserve"> </w:t>
      </w:r>
      <w:r w:rsidR="00B96493" w:rsidRPr="00E76270">
        <w:rPr>
          <w:rFonts w:cs="Arial"/>
          <w:sz w:val="22"/>
          <w:szCs w:val="24"/>
          <w:lang w:val="pl-PL" w:eastAsia="pl-PL"/>
        </w:rPr>
        <w:t xml:space="preserve">19 </w:t>
      </w:r>
      <w:r w:rsidR="008616F2" w:rsidRPr="00E76270">
        <w:rPr>
          <w:rFonts w:cs="Arial"/>
          <w:sz w:val="22"/>
          <w:szCs w:val="24"/>
          <w:lang w:val="pl-PL" w:eastAsia="pl-PL"/>
        </w:rPr>
        <w:t>r</w:t>
      </w:r>
      <w:r w:rsidR="00B96493" w:rsidRPr="00E76270">
        <w:rPr>
          <w:rFonts w:cs="Arial"/>
          <w:sz w:val="22"/>
          <w:szCs w:val="24"/>
          <w:lang w:val="pl-PL" w:eastAsia="pl-PL"/>
        </w:rPr>
        <w:t xml:space="preserve">ozporządzenia </w:t>
      </w:r>
      <w:r w:rsidR="00AD4C1A" w:rsidRPr="00E76270">
        <w:rPr>
          <w:rFonts w:cs="Arial"/>
          <w:sz w:val="22"/>
          <w:szCs w:val="24"/>
          <w:lang w:val="pl-PL" w:eastAsia="pl-PL"/>
        </w:rPr>
        <w:t>Rady Ministrów z dnia 21 maja 2024 r. w sprawie Krajowych Ram Interoperacyjności, minimalnych wymagań dla rejestrów publicznych i wymiany informacji w postaci elektronicznej oraz minimalnych wymagań dla systemów teleinformatycznych (Dz. U. poz. 773))</w:t>
      </w:r>
      <w:r w:rsidR="00580089" w:rsidRPr="00E76270">
        <w:rPr>
          <w:rFonts w:cs="Arial"/>
          <w:sz w:val="22"/>
          <w:szCs w:val="24"/>
          <w:lang w:val="pl-PL" w:eastAsia="pl-PL"/>
        </w:rPr>
        <w:t xml:space="preserve"> </w:t>
      </w:r>
      <w:r w:rsidRPr="00E76270">
        <w:rPr>
          <w:rFonts w:cs="Arial"/>
          <w:sz w:val="22"/>
          <w:szCs w:val="24"/>
          <w:lang w:val="pl-PL" w:eastAsia="pl-PL"/>
        </w:rPr>
        <w:t>w zakresie dot. systemu zarządzania bezpieczeństwem informacji:</w:t>
      </w:r>
    </w:p>
    <w:p w14:paraId="2858D39A" w14:textId="5FB5F951" w:rsidR="00BD4EE3" w:rsidRPr="00E76270" w:rsidRDefault="00245488" w:rsidP="008565B8">
      <w:pPr>
        <w:pStyle w:val="Akapitzlist"/>
        <w:numPr>
          <w:ilvl w:val="0"/>
          <w:numId w:val="14"/>
        </w:numPr>
        <w:spacing w:after="120" w:line="240" w:lineRule="auto"/>
        <w:ind w:left="1633" w:hanging="357"/>
        <w:contextualSpacing w:val="0"/>
        <w:rPr>
          <w:rFonts w:cs="Arial"/>
          <w:strike/>
        </w:rPr>
      </w:pPr>
      <w:r w:rsidRPr="00E76270">
        <w:rPr>
          <w:rFonts w:cs="Arial"/>
          <w:strike/>
        </w:rPr>
        <w:t>s</w:t>
      </w:r>
      <w:r w:rsidR="004B504D" w:rsidRPr="00E76270">
        <w:rPr>
          <w:rFonts w:cs="Arial"/>
          <w:strike/>
        </w:rPr>
        <w:t xml:space="preserve">ystem nie podlega rygorom KRI – </w:t>
      </w:r>
      <w:r w:rsidRPr="00E76270">
        <w:rPr>
          <w:rFonts w:cs="Arial"/>
          <w:strike/>
        </w:rPr>
        <w:t xml:space="preserve">należy </w:t>
      </w:r>
      <w:r w:rsidR="004B504D" w:rsidRPr="00E76270">
        <w:rPr>
          <w:rFonts w:cs="Arial"/>
          <w:strike/>
        </w:rPr>
        <w:t>wyjaś</w:t>
      </w:r>
      <w:r w:rsidRPr="00E76270">
        <w:rPr>
          <w:rFonts w:cs="Arial"/>
          <w:strike/>
        </w:rPr>
        <w:t>nić</w:t>
      </w:r>
      <w:r w:rsidR="00B96493" w:rsidRPr="00E76270">
        <w:rPr>
          <w:rFonts w:cs="Arial"/>
          <w:strike/>
        </w:rPr>
        <w:t>,</w:t>
      </w:r>
      <w:r w:rsidR="004B504D" w:rsidRPr="00E76270">
        <w:rPr>
          <w:rFonts w:cs="Arial"/>
          <w:strike/>
        </w:rPr>
        <w:t xml:space="preserve"> czy istnieją inne normy bezpieczeństwa, które będą spełnione </w:t>
      </w:r>
      <w:r w:rsidRPr="00E76270">
        <w:rPr>
          <w:rFonts w:cs="Arial"/>
          <w:strike/>
        </w:rPr>
        <w:t>przez system</w:t>
      </w:r>
      <w:r w:rsidR="004B504D" w:rsidRPr="00E76270">
        <w:rPr>
          <w:rFonts w:cs="Arial"/>
          <w:strike/>
        </w:rPr>
        <w:t xml:space="preserve"> </w:t>
      </w:r>
      <w:r w:rsidRPr="00E76270">
        <w:rPr>
          <w:rFonts w:cs="Arial"/>
          <w:strike/>
        </w:rPr>
        <w:t>z</w:t>
      </w:r>
      <w:r w:rsidR="00BD4EE3" w:rsidRPr="00E76270">
        <w:rPr>
          <w:rFonts w:cs="Arial"/>
          <w:strike/>
        </w:rPr>
        <w:t>godnie z wymogami KRI</w:t>
      </w:r>
      <w:r w:rsidR="008565B8" w:rsidRPr="00E76270">
        <w:rPr>
          <w:rFonts w:cs="Arial"/>
          <w:strike/>
        </w:rPr>
        <w:t>,</w:t>
      </w:r>
    </w:p>
    <w:p w14:paraId="4ADF1536" w14:textId="66B4FDE6" w:rsidR="007573B2" w:rsidRPr="00E76270" w:rsidRDefault="00245488" w:rsidP="001F2CBF">
      <w:pPr>
        <w:pStyle w:val="Akapitzlist"/>
        <w:numPr>
          <w:ilvl w:val="0"/>
          <w:numId w:val="14"/>
        </w:numPr>
        <w:rPr>
          <w:rFonts w:cs="Arial"/>
        </w:rPr>
      </w:pPr>
      <w:r w:rsidRPr="00E76270">
        <w:rPr>
          <w:rFonts w:cs="Arial"/>
        </w:rPr>
        <w:t>d</w:t>
      </w:r>
      <w:r w:rsidR="00BD4EE3" w:rsidRPr="00E76270">
        <w:rPr>
          <w:rFonts w:cs="Arial"/>
        </w:rPr>
        <w:t>odatkowe zabezpieczenia powyżej wymogów KRI</w:t>
      </w:r>
      <w:r w:rsidR="00DC0AC4" w:rsidRPr="00E76270">
        <w:rPr>
          <w:rFonts w:cs="Arial"/>
        </w:rPr>
        <w:t xml:space="preserve"> – </w:t>
      </w:r>
      <w:r w:rsidRPr="00E76270">
        <w:rPr>
          <w:rFonts w:cs="Arial"/>
        </w:rPr>
        <w:t>należy wskazać</w:t>
      </w:r>
      <w:r w:rsidR="00BD4EE3" w:rsidRPr="00E76270">
        <w:rPr>
          <w:rFonts w:cs="Arial"/>
        </w:rPr>
        <w:t xml:space="preserve"> uzasadnienie</w:t>
      </w:r>
      <w:r w:rsidRPr="00E76270">
        <w:rPr>
          <w:rFonts w:cs="Arial"/>
          <w:vertAlign w:val="superscript"/>
        </w:rPr>
        <w:footnoteReference w:id="7"/>
      </w:r>
    </w:p>
    <w:p w14:paraId="1AF719A6" w14:textId="44FB1C31" w:rsidR="00E76270" w:rsidRDefault="00E76270" w:rsidP="00E76270">
      <w:pPr>
        <w:spacing w:after="120"/>
        <w:ind w:left="425"/>
        <w:rPr>
          <w:rFonts w:cs="Arial"/>
          <w:sz w:val="22"/>
          <w:szCs w:val="24"/>
          <w:lang w:val="pl-PL" w:eastAsia="pl-PL"/>
        </w:rPr>
      </w:pPr>
      <w:r w:rsidRPr="00E76270">
        <w:rPr>
          <w:rFonts w:cs="Arial"/>
          <w:sz w:val="22"/>
          <w:szCs w:val="24"/>
          <w:lang w:val="pl-PL" w:eastAsia="pl-PL"/>
        </w:rPr>
        <w:t xml:space="preserve">System DSE-L w pełni odpowiada wymogom § 19 Rozporządzenia Rady Ministrów z dnia 21 maja 2024 r. w sprawie Krajowych Ram Interoperacyjności. System Zarządzania Bezpieczeństwem Informacji (SZBI) dla planowanego rozwiązania został zaprojektowany w oparciu o rygorystyczne międzynarodowe normy ISO/IEC 27001 (zarządzanie bezpieczeństwem informacji) oraz ISO/IEC 27017 (bezpieczeństwo systemów rozproszonych). Gwarantuje to systemowe i ciągłe podejście do identyfikacji zagrożeń, zarządzania uprawnieniami, </w:t>
      </w:r>
      <w:proofErr w:type="spellStart"/>
      <w:r w:rsidRPr="00E76270">
        <w:rPr>
          <w:rFonts w:cs="Arial"/>
          <w:sz w:val="22"/>
          <w:szCs w:val="24"/>
          <w:lang w:val="pl-PL" w:eastAsia="pl-PL"/>
        </w:rPr>
        <w:t>audytowalności</w:t>
      </w:r>
      <w:proofErr w:type="spellEnd"/>
      <w:r w:rsidRPr="00E76270">
        <w:rPr>
          <w:rFonts w:cs="Arial"/>
          <w:sz w:val="22"/>
          <w:szCs w:val="24"/>
          <w:lang w:val="pl-PL" w:eastAsia="pl-PL"/>
        </w:rPr>
        <w:t xml:space="preserve"> procesów oraz zapewnienia integralności i poufności danych wewnątrzadministracyjnych (A2A).</w:t>
      </w:r>
    </w:p>
    <w:p w14:paraId="229FCBE3" w14:textId="77F18591" w:rsidR="00824D11" w:rsidRDefault="00824D11" w:rsidP="00E76270">
      <w:pPr>
        <w:spacing w:after="120"/>
        <w:ind w:left="425"/>
        <w:rPr>
          <w:rFonts w:cs="Arial"/>
          <w:sz w:val="22"/>
          <w:szCs w:val="24"/>
          <w:lang w:val="pl-PL" w:eastAsia="pl-PL"/>
        </w:rPr>
      </w:pPr>
      <w:r w:rsidRPr="00824D11">
        <w:rPr>
          <w:rFonts w:cs="Arial"/>
          <w:sz w:val="22"/>
          <w:szCs w:val="24"/>
          <w:lang w:val="pl-PL" w:eastAsia="pl-PL"/>
        </w:rPr>
        <w:t>Dodatkowe zabezpieczenia powyżej wymogów KRI:</w:t>
      </w:r>
    </w:p>
    <w:p w14:paraId="1C651B33" w14:textId="0CA6D978" w:rsidR="00824D11" w:rsidRPr="00824D11" w:rsidRDefault="00824D11" w:rsidP="00824D11">
      <w:pPr>
        <w:spacing w:after="120"/>
        <w:ind w:left="425"/>
        <w:rPr>
          <w:rFonts w:cs="Arial"/>
          <w:sz w:val="22"/>
          <w:szCs w:val="24"/>
          <w:lang w:val="pl-PL" w:eastAsia="pl-PL"/>
        </w:rPr>
      </w:pPr>
      <w:r w:rsidRPr="00824D11">
        <w:rPr>
          <w:rFonts w:cs="Arial"/>
          <w:sz w:val="22"/>
          <w:szCs w:val="24"/>
          <w:lang w:val="pl-PL" w:eastAsia="pl-PL"/>
        </w:rPr>
        <w:t>W architekturze systemu DSE-L zaimplementowano zaawansowane, ponadstandardowe mechanizmy bezpieczeństwa cybernetycznego, które znacząco wykraczają poza minimalne wymagania KRI.</w:t>
      </w:r>
    </w:p>
    <w:p w14:paraId="3983CD86" w14:textId="6DD12C8C" w:rsidR="00824D11" w:rsidRDefault="00824D11" w:rsidP="00824D11">
      <w:pPr>
        <w:spacing w:after="120"/>
        <w:ind w:left="425"/>
        <w:rPr>
          <w:rFonts w:cs="Arial"/>
          <w:sz w:val="22"/>
          <w:szCs w:val="24"/>
          <w:lang w:val="pl-PL" w:eastAsia="pl-PL"/>
        </w:rPr>
      </w:pPr>
      <w:r w:rsidRPr="00824D11">
        <w:rPr>
          <w:rFonts w:cs="Arial"/>
          <w:sz w:val="22"/>
          <w:szCs w:val="24"/>
          <w:lang w:val="pl-PL" w:eastAsia="pl-PL"/>
        </w:rPr>
        <w:t>Uzasadnienie: Wprowadzenie dodatkowych barier ochronnych jest bezwzględnie konieczne z uwagi na dwa czynniki: ustawowy obowiązek ochrony tajemnicy adwokackiej, obrończej oraz sędziowskiej (art. 6 Prawa o adwokaturze), a także konieczność neutralizacji nowych, specyficznych wektorów cyberataków skierowanych przeciwko algorytmom sztucznej inteligencji.</w:t>
      </w:r>
    </w:p>
    <w:p w14:paraId="51E4CEF8" w14:textId="3815264C" w:rsidR="00824D11" w:rsidRDefault="00824D11" w:rsidP="00824D11">
      <w:pPr>
        <w:spacing w:after="120"/>
        <w:ind w:left="425"/>
        <w:rPr>
          <w:rFonts w:cs="Arial"/>
          <w:sz w:val="22"/>
          <w:szCs w:val="24"/>
          <w:lang w:val="pl-PL" w:eastAsia="pl-PL"/>
        </w:rPr>
      </w:pPr>
      <w:r w:rsidRPr="00824D11">
        <w:rPr>
          <w:rFonts w:cs="Arial"/>
          <w:sz w:val="22"/>
          <w:szCs w:val="24"/>
          <w:lang w:val="pl-PL" w:eastAsia="pl-PL"/>
        </w:rPr>
        <w:t>Do kluczowych zabezpieczeń ponadstandardowych należą:</w:t>
      </w:r>
    </w:p>
    <w:p w14:paraId="0BE2499C" w14:textId="5BC34B19" w:rsidR="00824D11" w:rsidRDefault="00824D11" w:rsidP="00824D11">
      <w:pPr>
        <w:pStyle w:val="Akapitzlist"/>
        <w:numPr>
          <w:ilvl w:val="0"/>
          <w:numId w:val="19"/>
        </w:numPr>
        <w:spacing w:after="120"/>
        <w:rPr>
          <w:rFonts w:cs="Arial"/>
        </w:rPr>
      </w:pPr>
      <w:r w:rsidRPr="00824D11">
        <w:rPr>
          <w:rFonts w:cs="Arial"/>
        </w:rPr>
        <w:t>Izolacja sieciowa:</w:t>
      </w:r>
      <w:r>
        <w:rPr>
          <w:rFonts w:cs="Arial"/>
        </w:rPr>
        <w:t xml:space="preserve"> L</w:t>
      </w:r>
      <w:r w:rsidRPr="00824D11">
        <w:rPr>
          <w:rFonts w:cs="Arial"/>
        </w:rPr>
        <w:t>ogiczne odcięcie bezpiecznego rdzenia obliczeniowego (klastra GPU, modeli LLM oraz wektorowej bazy danych RAG) od sieci Internet oraz ogólnouczelnianej infrastruktury sieciowej.</w:t>
      </w:r>
    </w:p>
    <w:p w14:paraId="4D85C848" w14:textId="60FE3F76" w:rsidR="00824D11" w:rsidRDefault="00824D11" w:rsidP="00824D11">
      <w:pPr>
        <w:pStyle w:val="Akapitzlist"/>
        <w:numPr>
          <w:ilvl w:val="0"/>
          <w:numId w:val="19"/>
        </w:numPr>
        <w:spacing w:after="120"/>
        <w:rPr>
          <w:rFonts w:cs="Arial"/>
        </w:rPr>
      </w:pPr>
      <w:proofErr w:type="spellStart"/>
      <w:r w:rsidRPr="00824D11">
        <w:rPr>
          <w:rFonts w:cs="Arial"/>
        </w:rPr>
        <w:t>Mikrosegmentacja</w:t>
      </w:r>
      <w:proofErr w:type="spellEnd"/>
      <w:r w:rsidRPr="00824D11">
        <w:rPr>
          <w:rFonts w:cs="Arial"/>
        </w:rPr>
        <w:t xml:space="preserve"> i model Zero Trust: Całkowite odizolowanie </w:t>
      </w:r>
      <w:proofErr w:type="spellStart"/>
      <w:r w:rsidRPr="00824D11">
        <w:rPr>
          <w:rFonts w:cs="Arial"/>
        </w:rPr>
        <w:t>backendu</w:t>
      </w:r>
      <w:proofErr w:type="spellEnd"/>
      <w:r w:rsidRPr="00824D11">
        <w:rPr>
          <w:rFonts w:cs="Arial"/>
        </w:rPr>
        <w:t xml:space="preserve"> od warstwy prezentacji. Wymiana informacji z DMZ odbywa się wyłącznie asynchronicznie poprzez brokera komunikatów realizującego głęboką inspekcję i oczyszczanie pakietów (</w:t>
      </w:r>
      <w:proofErr w:type="spellStart"/>
      <w:r w:rsidRPr="00824D11">
        <w:rPr>
          <w:rFonts w:cs="Arial"/>
          <w:i/>
          <w:iCs/>
        </w:rPr>
        <w:t>content</w:t>
      </w:r>
      <w:proofErr w:type="spellEnd"/>
      <w:r w:rsidRPr="00824D11">
        <w:rPr>
          <w:rFonts w:cs="Arial"/>
          <w:i/>
          <w:iCs/>
        </w:rPr>
        <w:t xml:space="preserve"> </w:t>
      </w:r>
      <w:proofErr w:type="spellStart"/>
      <w:r w:rsidRPr="00824D11">
        <w:rPr>
          <w:rFonts w:cs="Arial"/>
          <w:i/>
          <w:iCs/>
        </w:rPr>
        <w:t>sanitization</w:t>
      </w:r>
      <w:proofErr w:type="spellEnd"/>
      <w:r w:rsidRPr="00824D11">
        <w:rPr>
          <w:rFonts w:cs="Arial"/>
        </w:rPr>
        <w:t>).</w:t>
      </w:r>
    </w:p>
    <w:p w14:paraId="5A60F29F" w14:textId="2F34916C" w:rsidR="00824D11" w:rsidRDefault="00824D11" w:rsidP="00824D11">
      <w:pPr>
        <w:pStyle w:val="Akapitzlist"/>
        <w:numPr>
          <w:ilvl w:val="0"/>
          <w:numId w:val="19"/>
        </w:numPr>
        <w:spacing w:after="120"/>
        <w:rPr>
          <w:rFonts w:cs="Arial"/>
        </w:rPr>
      </w:pPr>
      <w:r w:rsidRPr="00824D11">
        <w:rPr>
          <w:rFonts w:cs="Arial"/>
        </w:rPr>
        <w:lastRenderedPageBreak/>
        <w:t xml:space="preserve">Ochrona przed </w:t>
      </w:r>
      <w:proofErr w:type="spellStart"/>
      <w:r w:rsidRPr="00824D11">
        <w:rPr>
          <w:rFonts w:cs="Arial"/>
          <w:i/>
          <w:iCs/>
        </w:rPr>
        <w:t>prompt</w:t>
      </w:r>
      <w:proofErr w:type="spellEnd"/>
      <w:r w:rsidRPr="00824D11">
        <w:rPr>
          <w:rFonts w:cs="Arial"/>
          <w:i/>
          <w:iCs/>
        </w:rPr>
        <w:t xml:space="preserve"> </w:t>
      </w:r>
      <w:proofErr w:type="spellStart"/>
      <w:r w:rsidRPr="00824D11">
        <w:rPr>
          <w:rFonts w:cs="Arial"/>
          <w:i/>
          <w:iCs/>
        </w:rPr>
        <w:t>injection</w:t>
      </w:r>
      <w:proofErr w:type="spellEnd"/>
      <w:r w:rsidRPr="00824D11">
        <w:rPr>
          <w:rFonts w:cs="Arial"/>
        </w:rPr>
        <w:t>: Autorskie filtry walidujące zapytania, blokujące próby manipulacji modelami językowymi za pomocą złośliwego kodu ukrytego w pismach procesowych.</w:t>
      </w:r>
    </w:p>
    <w:p w14:paraId="18C3D028" w14:textId="54FB23E7" w:rsidR="00824D11" w:rsidRPr="00824D11" w:rsidRDefault="00824D11" w:rsidP="00824D11">
      <w:pPr>
        <w:pStyle w:val="Akapitzlist"/>
        <w:numPr>
          <w:ilvl w:val="0"/>
          <w:numId w:val="19"/>
        </w:numPr>
        <w:spacing w:after="120"/>
        <w:rPr>
          <w:rFonts w:cs="Arial"/>
        </w:rPr>
      </w:pPr>
      <w:r w:rsidRPr="00824D11">
        <w:rPr>
          <w:rFonts w:cs="Arial"/>
        </w:rPr>
        <w:t xml:space="preserve">Automatyczna i nieodwracalna </w:t>
      </w:r>
      <w:proofErr w:type="spellStart"/>
      <w:r w:rsidRPr="00824D11">
        <w:rPr>
          <w:rFonts w:cs="Arial"/>
        </w:rPr>
        <w:t>anonimizacja</w:t>
      </w:r>
      <w:proofErr w:type="spellEnd"/>
      <w:r w:rsidRPr="00824D11">
        <w:rPr>
          <w:rFonts w:cs="Arial"/>
        </w:rPr>
        <w:t>: Potok technologiczny usuwający dane osobowe przed fazą wnioskowania AI.</w:t>
      </w:r>
    </w:p>
    <w:sectPr w:rsidR="00824D11" w:rsidRPr="00824D11" w:rsidSect="0020199F">
      <w:headerReference w:type="default" r:id="rId14"/>
      <w:footerReference w:type="default" r:id="rId15"/>
      <w:pgSz w:w="12240" w:h="15840"/>
      <w:pgMar w:top="1440" w:right="1080" w:bottom="1440" w:left="1080" w:header="720" w:footer="3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82E29" w14:textId="77777777" w:rsidR="00F9030A" w:rsidRDefault="00F9030A" w:rsidP="00AC47BE">
      <w:r>
        <w:separator/>
      </w:r>
    </w:p>
  </w:endnote>
  <w:endnote w:type="continuationSeparator" w:id="0">
    <w:p w14:paraId="1D8FC356" w14:textId="77777777" w:rsidR="00F9030A" w:rsidRDefault="00F9030A" w:rsidP="00AC4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New Roman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000000" w:themeColor="text1"/>
        <w:sz w:val="20"/>
        <w:lang w:val="pl-PL"/>
      </w:rPr>
      <w:id w:val="434558680"/>
      <w:docPartObj>
        <w:docPartGallery w:val="Page Numbers (Bottom of Page)"/>
        <w:docPartUnique/>
      </w:docPartObj>
    </w:sdtPr>
    <w:sdtContent>
      <w:p w14:paraId="5C3B7951" w14:textId="77777777" w:rsidR="00480C5A" w:rsidRPr="00534314" w:rsidRDefault="00480C5A" w:rsidP="00534314">
        <w:pPr>
          <w:pStyle w:val="Stopka"/>
          <w:spacing w:after="240"/>
          <w:jc w:val="right"/>
          <w:rPr>
            <w:color w:val="000000" w:themeColor="text1"/>
            <w:sz w:val="20"/>
          </w:rPr>
        </w:pPr>
        <w:r w:rsidRPr="00534314">
          <w:rPr>
            <w:color w:val="000000" w:themeColor="text1"/>
            <w:sz w:val="20"/>
            <w:lang w:val="pl-PL"/>
          </w:rPr>
          <w:t xml:space="preserve">Strona | </w:t>
        </w:r>
        <w:r w:rsidRPr="00534314">
          <w:rPr>
            <w:color w:val="000000" w:themeColor="text1"/>
            <w:sz w:val="20"/>
          </w:rPr>
          <w:fldChar w:fldCharType="begin"/>
        </w:r>
        <w:r w:rsidRPr="00534314">
          <w:rPr>
            <w:color w:val="000000" w:themeColor="text1"/>
            <w:sz w:val="20"/>
          </w:rPr>
          <w:instrText>PAGE   \* MERGEFORMAT</w:instrText>
        </w:r>
        <w:r w:rsidRPr="00534314">
          <w:rPr>
            <w:color w:val="000000" w:themeColor="text1"/>
            <w:sz w:val="20"/>
          </w:rPr>
          <w:fldChar w:fldCharType="separate"/>
        </w:r>
        <w:r w:rsidR="005937F1" w:rsidRPr="005937F1">
          <w:rPr>
            <w:noProof/>
            <w:color w:val="000000" w:themeColor="text1"/>
            <w:sz w:val="20"/>
            <w:lang w:val="pl-PL"/>
          </w:rPr>
          <w:t>1</w:t>
        </w:r>
        <w:r w:rsidRPr="00534314">
          <w:rPr>
            <w:color w:val="000000" w:themeColor="text1"/>
            <w:sz w:val="20"/>
          </w:rPr>
          <w:fldChar w:fldCharType="end"/>
        </w:r>
        <w:r w:rsidRPr="00534314">
          <w:rPr>
            <w:color w:val="000000" w:themeColor="text1"/>
            <w:sz w:val="20"/>
            <w:lang w:val="pl-PL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333EC" w14:textId="77777777" w:rsidR="00F9030A" w:rsidRDefault="00F9030A" w:rsidP="00AC47BE">
      <w:r>
        <w:separator/>
      </w:r>
    </w:p>
  </w:footnote>
  <w:footnote w:type="continuationSeparator" w:id="0">
    <w:p w14:paraId="45C29CEE" w14:textId="77777777" w:rsidR="00F9030A" w:rsidRDefault="00F9030A" w:rsidP="00AC47BE">
      <w:r>
        <w:continuationSeparator/>
      </w:r>
    </w:p>
  </w:footnote>
  <w:footnote w:id="1">
    <w:p w14:paraId="1E64F975" w14:textId="609CA169" w:rsidR="00480C5A" w:rsidRPr="00E92229" w:rsidRDefault="00480C5A" w:rsidP="007063B2">
      <w:pPr>
        <w:pStyle w:val="Tekstprzypisudolnego"/>
        <w:jc w:val="both"/>
        <w:rPr>
          <w:rFonts w:ascii="Arial" w:hAnsi="Arial" w:cs="Arial"/>
          <w:sz w:val="18"/>
          <w:szCs w:val="18"/>
          <w:lang w:val="pl-PL"/>
        </w:rPr>
      </w:pPr>
      <w:r w:rsidRPr="002E59AF">
        <w:rPr>
          <w:rStyle w:val="Odwoanieprzypisudolnego"/>
          <w:rFonts w:ascii="Arial" w:hAnsi="Arial" w:cs="Arial"/>
        </w:rPr>
        <w:footnoteRef/>
      </w:r>
      <w:r w:rsidRPr="002E59AF">
        <w:rPr>
          <w:rFonts w:ascii="Arial" w:hAnsi="Arial" w:cs="Arial"/>
        </w:rPr>
        <w:t xml:space="preserve"> </w:t>
      </w:r>
      <w:r w:rsidRPr="008805B6">
        <w:rPr>
          <w:rFonts w:ascii="Arial" w:hAnsi="Arial" w:cs="Arial"/>
          <w:sz w:val="18"/>
          <w:szCs w:val="18"/>
        </w:rPr>
        <w:t xml:space="preserve">Pięciostopniowa e-dojrzałość usług określona w badaniach </w:t>
      </w:r>
      <w:r w:rsidRPr="008805B6">
        <w:rPr>
          <w:rFonts w:ascii="Arial" w:eastAsia="Times New Roman" w:hAnsi="Arial" w:cs="Arial"/>
          <w:sz w:val="18"/>
          <w:szCs w:val="18"/>
        </w:rPr>
        <w:t>„</w:t>
      </w:r>
      <w:r w:rsidRPr="008805B6">
        <w:rPr>
          <w:rFonts w:ascii="Arial" w:hAnsi="Arial" w:cs="Arial"/>
          <w:sz w:val="18"/>
          <w:szCs w:val="18"/>
        </w:rPr>
        <w:t>Digitizing Public Services in Europe: Putting ambition into action</w:t>
      </w:r>
      <w:r w:rsidRPr="008805B6">
        <w:rPr>
          <w:rFonts w:ascii="Arial" w:hAnsi="Arial" w:cs="Arial"/>
          <w:bCs/>
          <w:sz w:val="18"/>
          <w:szCs w:val="18"/>
        </w:rPr>
        <w:t>”</w:t>
      </w:r>
      <w:r w:rsidRPr="008805B6">
        <w:rPr>
          <w:rFonts w:ascii="Arial" w:hAnsi="Arial" w:cs="Arial"/>
          <w:sz w:val="18"/>
          <w:szCs w:val="18"/>
        </w:rPr>
        <w:t>, prowadzonych na zlecenie KE przez firmę Cap Gemini</w:t>
      </w:r>
      <w:r w:rsidR="00E92229">
        <w:rPr>
          <w:rFonts w:ascii="Arial" w:hAnsi="Arial" w:cs="Arial"/>
          <w:sz w:val="18"/>
          <w:szCs w:val="18"/>
          <w:lang w:val="pl-PL"/>
        </w:rPr>
        <w:t xml:space="preserve"> </w:t>
      </w:r>
      <w:r w:rsidR="00E92229" w:rsidRPr="00E92229">
        <w:rPr>
          <w:rFonts w:ascii="Arial" w:hAnsi="Arial" w:cs="Arial"/>
          <w:sz w:val="18"/>
          <w:szCs w:val="18"/>
          <w:lang w:val="pl-PL"/>
        </w:rPr>
        <w:t>ec.europa.eu/newsroom/document.cfm?action=display&amp;doc_id=747</w:t>
      </w:r>
      <w:r w:rsidR="00E92229">
        <w:rPr>
          <w:rFonts w:ascii="Arial" w:hAnsi="Arial" w:cs="Arial"/>
          <w:sz w:val="18"/>
          <w:szCs w:val="18"/>
          <w:lang w:val="pl-PL"/>
        </w:rPr>
        <w:t xml:space="preserve"> </w:t>
      </w:r>
    </w:p>
  </w:footnote>
  <w:footnote w:id="2">
    <w:p w14:paraId="22C2CD88" w14:textId="02742233" w:rsidR="00480C5A" w:rsidRPr="00E11921" w:rsidRDefault="00480C5A" w:rsidP="00E11921">
      <w:pPr>
        <w:pStyle w:val="Tekstprzypisudolnego"/>
        <w:jc w:val="both"/>
        <w:rPr>
          <w:lang w:val="pl-PL"/>
        </w:rPr>
      </w:pPr>
      <w:r w:rsidRPr="002E59AF">
        <w:rPr>
          <w:rFonts w:ascii="Arial" w:hAnsi="Arial" w:cs="Arial"/>
          <w:vertAlign w:val="superscript"/>
        </w:rPr>
        <w:footnoteRef/>
      </w:r>
      <w:r w:rsidRPr="002E59AF">
        <w:rPr>
          <w:rFonts w:ascii="Arial" w:hAnsi="Arial" w:cs="Arial"/>
          <w:vertAlign w:val="superscript"/>
        </w:rPr>
        <w:t xml:space="preserve"> </w:t>
      </w:r>
      <w:r w:rsidRPr="00E11921">
        <w:rPr>
          <w:rFonts w:ascii="Arial" w:hAnsi="Arial" w:cs="Arial"/>
          <w:sz w:val="18"/>
          <w:szCs w:val="18"/>
        </w:rPr>
        <w:t>Niepotrzebne skreślić</w:t>
      </w:r>
      <w:r>
        <w:rPr>
          <w:rFonts w:ascii="Arial" w:hAnsi="Arial" w:cs="Arial"/>
          <w:sz w:val="18"/>
          <w:szCs w:val="18"/>
          <w:lang w:val="pl-PL"/>
        </w:rPr>
        <w:t>.</w:t>
      </w:r>
    </w:p>
  </w:footnote>
  <w:footnote w:id="3">
    <w:p w14:paraId="29B325C2" w14:textId="0355AE07" w:rsidR="00480C5A" w:rsidRPr="005D3974" w:rsidRDefault="00480C5A">
      <w:pPr>
        <w:pStyle w:val="Tekstprzypisudolnego"/>
        <w:rPr>
          <w:rFonts w:ascii="Arial" w:hAnsi="Arial" w:cs="Arial"/>
          <w:sz w:val="20"/>
          <w:szCs w:val="20"/>
          <w:lang w:val="pl-PL"/>
        </w:rPr>
      </w:pPr>
      <w:r w:rsidRPr="002E59AF">
        <w:rPr>
          <w:rStyle w:val="Odwoanieprzypisudolnego"/>
          <w:rFonts w:ascii="Arial" w:hAnsi="Arial" w:cs="Arial"/>
        </w:rPr>
        <w:footnoteRef/>
      </w:r>
      <w:r w:rsidRPr="00DE499C">
        <w:rPr>
          <w:rFonts w:ascii="Arial" w:hAnsi="Arial" w:cs="Arial"/>
          <w:sz w:val="20"/>
          <w:szCs w:val="20"/>
        </w:rPr>
        <w:t xml:space="preserve"> </w:t>
      </w:r>
      <w:r w:rsidRPr="005D3974">
        <w:rPr>
          <w:rFonts w:ascii="Arial" w:hAnsi="Arial" w:cs="Arial"/>
          <w:sz w:val="20"/>
          <w:szCs w:val="20"/>
          <w:lang w:val="pl-PL"/>
        </w:rPr>
        <w:t>Niepotrzebne skreślić</w:t>
      </w:r>
      <w:r w:rsidR="00DE499C">
        <w:rPr>
          <w:rFonts w:ascii="Arial" w:hAnsi="Arial" w:cs="Arial"/>
          <w:sz w:val="20"/>
          <w:szCs w:val="20"/>
          <w:lang w:val="pl-PL"/>
        </w:rPr>
        <w:t>.</w:t>
      </w:r>
    </w:p>
  </w:footnote>
  <w:footnote w:id="4">
    <w:p w14:paraId="58BC5047" w14:textId="77777777" w:rsidR="00480C5A" w:rsidRPr="007573B2" w:rsidRDefault="00480C5A">
      <w:pPr>
        <w:pStyle w:val="Tekstprzypisudolnego"/>
        <w:rPr>
          <w:lang w:val="pl-PL"/>
        </w:rPr>
      </w:pPr>
      <w:r w:rsidRPr="002E59AF">
        <w:rPr>
          <w:rStyle w:val="Odwoanieprzypisudolnego"/>
          <w:rFonts w:ascii="Arial" w:hAnsi="Arial" w:cs="Arial"/>
        </w:rPr>
        <w:footnoteRef/>
      </w:r>
      <w:r w:rsidRPr="002E59AF">
        <w:rPr>
          <w:rFonts w:ascii="Arial" w:hAnsi="Arial" w:cs="Arial"/>
        </w:rPr>
        <w:t xml:space="preserve"> </w:t>
      </w:r>
      <w:r w:rsidRPr="002E59AF">
        <w:rPr>
          <w:rFonts w:ascii="Arial" w:hAnsi="Arial" w:cs="Arial"/>
          <w:sz w:val="20"/>
          <w:szCs w:val="20"/>
        </w:rPr>
        <w:t>Niepotrzebne skreślić</w:t>
      </w:r>
      <w:r w:rsidRPr="002E59AF">
        <w:rPr>
          <w:rFonts w:ascii="Arial" w:hAnsi="Arial" w:cs="Arial"/>
          <w:sz w:val="20"/>
          <w:szCs w:val="20"/>
          <w:lang w:val="pl-PL"/>
        </w:rPr>
        <w:t>.</w:t>
      </w:r>
    </w:p>
  </w:footnote>
  <w:footnote w:id="5">
    <w:p w14:paraId="4B60949A" w14:textId="77777777" w:rsidR="00480C5A" w:rsidRPr="00E11921" w:rsidRDefault="00480C5A" w:rsidP="004A0BB2">
      <w:pPr>
        <w:pStyle w:val="Tekstprzypisudolnego"/>
        <w:jc w:val="both"/>
        <w:rPr>
          <w:lang w:val="pl-PL"/>
        </w:rPr>
      </w:pPr>
      <w:r w:rsidRPr="002E59AF">
        <w:rPr>
          <w:rFonts w:ascii="Arial" w:hAnsi="Arial" w:cs="Arial"/>
          <w:vertAlign w:val="superscript"/>
        </w:rPr>
        <w:footnoteRef/>
      </w:r>
      <w:r w:rsidRPr="00E11921">
        <w:rPr>
          <w:rFonts w:ascii="Arial" w:hAnsi="Arial" w:cs="Arial"/>
          <w:sz w:val="18"/>
          <w:szCs w:val="18"/>
        </w:rPr>
        <w:t xml:space="preserve"> </w:t>
      </w:r>
      <w:r w:rsidRPr="002E59AF">
        <w:rPr>
          <w:rFonts w:ascii="Arial" w:hAnsi="Arial" w:cs="Arial"/>
          <w:sz w:val="20"/>
          <w:szCs w:val="20"/>
        </w:rPr>
        <w:t>Niepotrzebne skreślić</w:t>
      </w:r>
      <w:r w:rsidRPr="002E59AF">
        <w:rPr>
          <w:rFonts w:ascii="Arial" w:hAnsi="Arial" w:cs="Arial"/>
          <w:sz w:val="20"/>
          <w:szCs w:val="20"/>
          <w:lang w:val="pl-PL"/>
        </w:rPr>
        <w:t>.</w:t>
      </w:r>
    </w:p>
  </w:footnote>
  <w:footnote w:id="6">
    <w:p w14:paraId="5331A57F" w14:textId="14B817DC" w:rsidR="00480C5A" w:rsidRPr="00E11921" w:rsidRDefault="00480C5A" w:rsidP="004A0BB2">
      <w:pPr>
        <w:pStyle w:val="Tekstprzypisudolnego"/>
        <w:jc w:val="both"/>
        <w:rPr>
          <w:lang w:val="pl-PL"/>
        </w:rPr>
      </w:pPr>
      <w:r w:rsidRPr="002E59AF">
        <w:rPr>
          <w:rFonts w:ascii="Arial" w:hAnsi="Arial" w:cs="Arial"/>
          <w:vertAlign w:val="superscript"/>
        </w:rPr>
        <w:footnoteRef/>
      </w:r>
      <w:r w:rsidRPr="00E11921">
        <w:rPr>
          <w:rFonts w:ascii="Arial" w:hAnsi="Arial" w:cs="Arial"/>
          <w:sz w:val="18"/>
          <w:szCs w:val="18"/>
        </w:rPr>
        <w:t xml:space="preserve"> </w:t>
      </w:r>
      <w:r w:rsidRPr="002E59AF">
        <w:rPr>
          <w:rFonts w:ascii="Arial" w:hAnsi="Arial" w:cs="Arial"/>
          <w:sz w:val="20"/>
          <w:szCs w:val="20"/>
        </w:rPr>
        <w:t>Niepotrzebne skreślić</w:t>
      </w:r>
      <w:r w:rsidR="00DE499C" w:rsidRPr="002E59AF">
        <w:rPr>
          <w:rFonts w:ascii="Arial" w:hAnsi="Arial" w:cs="Arial"/>
          <w:sz w:val="20"/>
          <w:szCs w:val="20"/>
        </w:rPr>
        <w:t>.</w:t>
      </w:r>
    </w:p>
  </w:footnote>
  <w:footnote w:id="7">
    <w:p w14:paraId="32A6D2E7" w14:textId="5E9214B7" w:rsidR="00245488" w:rsidRPr="00245488" w:rsidRDefault="00245488">
      <w:pPr>
        <w:pStyle w:val="Tekstprzypisudolnego"/>
        <w:rPr>
          <w:lang w:val="pl-PL"/>
        </w:rPr>
      </w:pPr>
      <w:r w:rsidRPr="002E59AF">
        <w:rPr>
          <w:rStyle w:val="Odwoanieprzypisudolnego"/>
          <w:rFonts w:ascii="Arial" w:hAnsi="Arial" w:cs="Arial"/>
        </w:rPr>
        <w:footnoteRef/>
      </w:r>
      <w:r w:rsidRPr="002E59AF">
        <w:rPr>
          <w:rFonts w:ascii="Arial" w:hAnsi="Arial" w:cs="Arial"/>
        </w:rPr>
        <w:t xml:space="preserve"> </w:t>
      </w:r>
      <w:r w:rsidRPr="002E59AF">
        <w:rPr>
          <w:rFonts w:ascii="Arial" w:hAnsi="Arial" w:cs="Arial"/>
          <w:sz w:val="20"/>
          <w:szCs w:val="20"/>
          <w:lang w:val="pl-PL"/>
        </w:rPr>
        <w:t>Niepotrzebne skreślić</w:t>
      </w:r>
      <w:r w:rsidR="00DE499C" w:rsidRPr="002E59AF">
        <w:rPr>
          <w:rFonts w:ascii="Arial" w:hAnsi="Arial" w:cs="Arial"/>
          <w:sz w:val="20"/>
          <w:szCs w:val="20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936B9" w14:textId="4068BCA4" w:rsidR="00480C5A" w:rsidRPr="00BE221C" w:rsidRDefault="00480C5A" w:rsidP="008C7A6D">
    <w:pPr>
      <w:pStyle w:val="Nagwek"/>
      <w:spacing w:after="120"/>
      <w:jc w:val="center"/>
      <w:rPr>
        <w:rFonts w:cs="Arial"/>
        <w:i/>
        <w:iCs/>
        <w:color w:val="0070C0"/>
        <w:sz w:val="18"/>
        <w:szCs w:val="18"/>
        <w:lang w:val="pl-PL"/>
      </w:rPr>
    </w:pPr>
    <w:r w:rsidRPr="00BE221C">
      <w:rPr>
        <w:rFonts w:cs="Arial"/>
        <w:sz w:val="18"/>
        <w:szCs w:val="18"/>
        <w:lang w:val="pl-PL"/>
      </w:rPr>
      <w:t xml:space="preserve">OPIS ZAŁOŻEŃ </w:t>
    </w:r>
    <w:r w:rsidR="00470022">
      <w:rPr>
        <w:rFonts w:cs="Arial"/>
        <w:sz w:val="18"/>
        <w:szCs w:val="18"/>
        <w:lang w:val="pl-PL"/>
      </w:rPr>
      <w:t>PRZEDSIĘ</w:t>
    </w:r>
    <w:r w:rsidR="004D5CA3">
      <w:rPr>
        <w:rFonts w:cs="Arial"/>
        <w:sz w:val="18"/>
        <w:szCs w:val="18"/>
        <w:lang w:val="pl-PL"/>
      </w:rPr>
      <w:t>W</w:t>
    </w:r>
    <w:r w:rsidR="00470022">
      <w:rPr>
        <w:rFonts w:cs="Arial"/>
        <w:sz w:val="18"/>
        <w:szCs w:val="18"/>
        <w:lang w:val="pl-PL"/>
      </w:rPr>
      <w:t>ZIĘCIA</w:t>
    </w:r>
    <w:r w:rsidR="00470022" w:rsidRPr="00BE221C">
      <w:rPr>
        <w:rFonts w:cs="Arial"/>
        <w:sz w:val="18"/>
        <w:szCs w:val="18"/>
        <w:lang w:val="pl-PL"/>
      </w:rPr>
      <w:t xml:space="preserve"> </w:t>
    </w:r>
    <w:r w:rsidRPr="00BE221C">
      <w:rPr>
        <w:rFonts w:cs="Arial"/>
        <w:sz w:val="18"/>
        <w:szCs w:val="18"/>
        <w:lang w:val="pl-PL"/>
      </w:rPr>
      <w:t>INFORMATYCZNEGO</w:t>
    </w:r>
    <w:r w:rsidR="00BA20E7">
      <w:rPr>
        <w:rFonts w:cs="Arial"/>
        <w:sz w:val="18"/>
        <w:szCs w:val="18"/>
        <w:lang w:val="pl-PL"/>
      </w:rPr>
      <w:t xml:space="preserve"> </w:t>
    </w:r>
    <w:r w:rsidR="00BA20E7" w:rsidRPr="00BA20E7">
      <w:rPr>
        <w:rFonts w:cs="Arial"/>
        <w:sz w:val="18"/>
        <w:szCs w:val="18"/>
        <w:lang w:val="pl-PL"/>
      </w:rPr>
      <w:t>O PUBLICZNYM ZASTOSOWANIU</w:t>
    </w:r>
    <w:r w:rsidRPr="00BE221C">
      <w:rPr>
        <w:rFonts w:cs="Arial"/>
        <w:sz w:val="18"/>
        <w:szCs w:val="18"/>
        <w:lang w:val="pl-PL"/>
      </w:rPr>
      <w:t xml:space="preserve"> </w:t>
    </w:r>
  </w:p>
  <w:p w14:paraId="39A51F37" w14:textId="654334E8" w:rsidR="00480C5A" w:rsidRPr="00BC236F" w:rsidRDefault="007072AD" w:rsidP="008C7A6D">
    <w:pPr>
      <w:spacing w:line="264" w:lineRule="auto"/>
      <w:jc w:val="center"/>
      <w:rPr>
        <w:color w:val="000000" w:themeColor="text1"/>
        <w:sz w:val="20"/>
        <w:szCs w:val="18"/>
        <w:lang w:val="pl-PL"/>
      </w:rPr>
    </w:pPr>
    <w:r w:rsidRPr="00BC236F">
      <w:rPr>
        <w:rFonts w:cs="Arial"/>
        <w:iCs/>
        <w:color w:val="000000" w:themeColor="text1"/>
        <w:sz w:val="20"/>
        <w:szCs w:val="18"/>
        <w:lang w:val="pl-PL"/>
      </w:rPr>
      <w:t>Referencyjna i bezpieczna infrastruktura wewnątrzadministracyjna oraz Doradczy System Ekspertowy (DSE-L) dla wymiaru sprawiedliwości i struktur adwokatury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04B20"/>
    <w:multiLevelType w:val="hybridMultilevel"/>
    <w:tmpl w:val="7E2CDD06"/>
    <w:lvl w:ilvl="0" w:tplc="7FE27E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EBC7249"/>
    <w:multiLevelType w:val="hybridMultilevel"/>
    <w:tmpl w:val="15560328"/>
    <w:lvl w:ilvl="0" w:tplc="44328F5A">
      <w:start w:val="1"/>
      <w:numFmt w:val="bullet"/>
      <w:pStyle w:val="bullettext1blueitalic"/>
      <w:lvlText w:val=""/>
      <w:lvlJc w:val="left"/>
      <w:pPr>
        <w:ind w:left="720" w:hanging="360"/>
      </w:pPr>
      <w:rPr>
        <w:rFonts w:ascii="Symbol" w:hAnsi="Symbol" w:hint="default"/>
        <w:color w:val="0070C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B1DCE"/>
    <w:multiLevelType w:val="hybridMultilevel"/>
    <w:tmpl w:val="48EA960C"/>
    <w:lvl w:ilvl="0" w:tplc="EDEAE96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797" w:hanging="360"/>
      </w:pPr>
    </w:lvl>
    <w:lvl w:ilvl="2" w:tplc="0415001B" w:tentative="1">
      <w:start w:val="1"/>
      <w:numFmt w:val="lowerRoman"/>
      <w:lvlText w:val="%3."/>
      <w:lvlJc w:val="right"/>
      <w:pPr>
        <w:ind w:left="1517" w:hanging="180"/>
      </w:pPr>
    </w:lvl>
    <w:lvl w:ilvl="3" w:tplc="0415000F" w:tentative="1">
      <w:start w:val="1"/>
      <w:numFmt w:val="decimal"/>
      <w:lvlText w:val="%4."/>
      <w:lvlJc w:val="left"/>
      <w:pPr>
        <w:ind w:left="2237" w:hanging="360"/>
      </w:pPr>
    </w:lvl>
    <w:lvl w:ilvl="4" w:tplc="04150019" w:tentative="1">
      <w:start w:val="1"/>
      <w:numFmt w:val="lowerLetter"/>
      <w:lvlText w:val="%5."/>
      <w:lvlJc w:val="left"/>
      <w:pPr>
        <w:ind w:left="2957" w:hanging="360"/>
      </w:pPr>
    </w:lvl>
    <w:lvl w:ilvl="5" w:tplc="0415001B" w:tentative="1">
      <w:start w:val="1"/>
      <w:numFmt w:val="lowerRoman"/>
      <w:lvlText w:val="%6."/>
      <w:lvlJc w:val="right"/>
      <w:pPr>
        <w:ind w:left="3677" w:hanging="180"/>
      </w:pPr>
    </w:lvl>
    <w:lvl w:ilvl="6" w:tplc="0415000F" w:tentative="1">
      <w:start w:val="1"/>
      <w:numFmt w:val="decimal"/>
      <w:lvlText w:val="%7."/>
      <w:lvlJc w:val="left"/>
      <w:pPr>
        <w:ind w:left="4397" w:hanging="360"/>
      </w:pPr>
    </w:lvl>
    <w:lvl w:ilvl="7" w:tplc="04150019" w:tentative="1">
      <w:start w:val="1"/>
      <w:numFmt w:val="lowerLetter"/>
      <w:lvlText w:val="%8."/>
      <w:lvlJc w:val="left"/>
      <w:pPr>
        <w:ind w:left="5117" w:hanging="360"/>
      </w:pPr>
    </w:lvl>
    <w:lvl w:ilvl="8" w:tplc="0415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3" w15:restartNumberingAfterBreak="0">
    <w:nsid w:val="208660E6"/>
    <w:multiLevelType w:val="hybridMultilevel"/>
    <w:tmpl w:val="EF1EEE6A"/>
    <w:lvl w:ilvl="0" w:tplc="5B204D72">
      <w:start w:val="1"/>
      <w:numFmt w:val="bullet"/>
      <w:pStyle w:val="BulletText3"/>
      <w:lvlText w:val="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  <w:color w:val="auto"/>
        <w:sz w:val="18"/>
      </w:rPr>
    </w:lvl>
    <w:lvl w:ilvl="1" w:tplc="54E65FAE">
      <w:numFmt w:val="bullet"/>
      <w:lvlText w:val="-"/>
      <w:lvlJc w:val="left"/>
      <w:pPr>
        <w:tabs>
          <w:tab w:val="num" w:pos="3000"/>
        </w:tabs>
        <w:ind w:left="3000" w:hanging="36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4" w15:restartNumberingAfterBreak="0">
    <w:nsid w:val="218228C7"/>
    <w:multiLevelType w:val="hybridMultilevel"/>
    <w:tmpl w:val="1B9A49B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3802EC"/>
    <w:multiLevelType w:val="hybridMultilevel"/>
    <w:tmpl w:val="3B94F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46D12"/>
    <w:multiLevelType w:val="hybridMultilevel"/>
    <w:tmpl w:val="13C84D5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6647E43"/>
    <w:multiLevelType w:val="hybridMultilevel"/>
    <w:tmpl w:val="33F6C4C6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7406B43"/>
    <w:multiLevelType w:val="hybridMultilevel"/>
    <w:tmpl w:val="0694C37C"/>
    <w:lvl w:ilvl="0" w:tplc="7B2CE9F4">
      <w:start w:val="1"/>
      <w:numFmt w:val="bullet"/>
      <w:pStyle w:val="BulletText2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00000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0D16FA6"/>
    <w:multiLevelType w:val="multilevel"/>
    <w:tmpl w:val="460A79B6"/>
    <w:styleLink w:val="Headings"/>
    <w:lvl w:ilvl="0">
      <w:start w:val="1"/>
      <w:numFmt w:val="decimal"/>
      <w:pStyle w:val="Nagwek1"/>
      <w:lvlText w:val="%1."/>
      <w:lvlJc w:val="left"/>
      <w:pPr>
        <w:tabs>
          <w:tab w:val="num" w:pos="786"/>
        </w:tabs>
        <w:ind w:left="786" w:hanging="360"/>
      </w:pPr>
      <w:rPr>
        <w:rFonts w:ascii="Arial" w:hAnsi="Arial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1070"/>
        </w:tabs>
        <w:ind w:left="710" w:firstLine="0"/>
      </w:pPr>
      <w:rPr>
        <w:rFonts w:ascii="Arial" w:hAnsi="Arial" w:hint="default"/>
        <w:color w:val="auto"/>
      </w:rPr>
    </w:lvl>
    <w:lvl w:ilvl="2">
      <w:start w:val="1"/>
      <w:numFmt w:val="decimal"/>
      <w:pStyle w:val="Nagwek3"/>
      <w:lvlText w:val="%1.%2.%3"/>
      <w:lvlJc w:val="left"/>
      <w:pPr>
        <w:ind w:left="2204" w:hanging="360"/>
      </w:pPr>
      <w:rPr>
        <w:rFonts w:ascii="Arial" w:hAnsi="Arial" w:hint="default"/>
      </w:rPr>
    </w:lvl>
    <w:lvl w:ilvl="3">
      <w:start w:val="1"/>
      <w:numFmt w:val="decimal"/>
      <w:pStyle w:val="Nagwek4"/>
      <w:lvlText w:val="%1.%2.%3.%4"/>
      <w:lvlJc w:val="left"/>
      <w:pPr>
        <w:ind w:left="1866" w:hanging="360"/>
      </w:pPr>
      <w:rPr>
        <w:rFonts w:ascii="Arial" w:hAnsi="Arial" w:hint="default"/>
      </w:rPr>
    </w:lvl>
    <w:lvl w:ilvl="4">
      <w:start w:val="1"/>
      <w:numFmt w:val="decimal"/>
      <w:pStyle w:val="Nagwek5"/>
      <w:lvlText w:val="%1.%2.%3.%4.%5"/>
      <w:lvlJc w:val="left"/>
      <w:pPr>
        <w:ind w:left="2226" w:hanging="360"/>
      </w:pPr>
      <w:rPr>
        <w:rFonts w:ascii="Arial" w:hAnsi="Arial" w:hint="default"/>
      </w:rPr>
    </w:lvl>
    <w:lvl w:ilvl="5">
      <w:start w:val="1"/>
      <w:numFmt w:val="decimal"/>
      <w:pStyle w:val="Nagwek6"/>
      <w:lvlText w:val="%1.%2.%3.%4.%5.%6"/>
      <w:lvlJc w:val="left"/>
      <w:pPr>
        <w:ind w:left="2586" w:hanging="360"/>
      </w:pPr>
      <w:rPr>
        <w:rFonts w:ascii="Arial" w:hAnsi="Arial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2946" w:hanging="360"/>
      </w:pPr>
      <w:rPr>
        <w:rFonts w:ascii="Arial" w:hAnsi="Arial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3306" w:hanging="360"/>
      </w:pPr>
      <w:rPr>
        <w:rFonts w:ascii="Arial" w:hAnsi="Arial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3666" w:hanging="360"/>
      </w:pPr>
      <w:rPr>
        <w:rFonts w:ascii="Arial" w:hAnsi="Arial" w:hint="default"/>
      </w:rPr>
    </w:lvl>
  </w:abstractNum>
  <w:abstractNum w:abstractNumId="10" w15:restartNumberingAfterBreak="0">
    <w:nsid w:val="377A70AB"/>
    <w:multiLevelType w:val="hybridMultilevel"/>
    <w:tmpl w:val="45C2B34A"/>
    <w:lvl w:ilvl="0" w:tplc="0415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1" w15:restartNumberingAfterBreak="0">
    <w:nsid w:val="3A55111A"/>
    <w:multiLevelType w:val="hybridMultilevel"/>
    <w:tmpl w:val="6C824872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3B6D7EFE"/>
    <w:multiLevelType w:val="hybridMultilevel"/>
    <w:tmpl w:val="53FEB476"/>
    <w:lvl w:ilvl="0" w:tplc="041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517253A1"/>
    <w:multiLevelType w:val="multilevel"/>
    <w:tmpl w:val="7B4E0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9D337DC"/>
    <w:multiLevelType w:val="multilevel"/>
    <w:tmpl w:val="92FC48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4BE725E"/>
    <w:multiLevelType w:val="hybridMultilevel"/>
    <w:tmpl w:val="31EC841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8116DD"/>
    <w:multiLevelType w:val="hybridMultilevel"/>
    <w:tmpl w:val="87BA90CC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78175D9D"/>
    <w:multiLevelType w:val="singleLevel"/>
    <w:tmpl w:val="1A766868"/>
    <w:lvl w:ilvl="0">
      <w:start w:val="1"/>
      <w:numFmt w:val="bullet"/>
      <w:pStyle w:val="BulletTex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CCE3DB3"/>
    <w:multiLevelType w:val="singleLevel"/>
    <w:tmpl w:val="DCB489C6"/>
    <w:lvl w:ilvl="0">
      <w:start w:val="1"/>
      <w:numFmt w:val="bullet"/>
      <w:pStyle w:val="TableBulletPoin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D631D48"/>
    <w:multiLevelType w:val="hybridMultilevel"/>
    <w:tmpl w:val="25EE6080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 w15:restartNumberingAfterBreak="0">
    <w:nsid w:val="7ED91FBC"/>
    <w:multiLevelType w:val="hybridMultilevel"/>
    <w:tmpl w:val="4BFEAC0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424451385">
    <w:abstractNumId w:val="1"/>
  </w:num>
  <w:num w:numId="2" w16cid:durableId="1667321973">
    <w:abstractNumId w:val="17"/>
  </w:num>
  <w:num w:numId="3" w16cid:durableId="877816151">
    <w:abstractNumId w:val="8"/>
  </w:num>
  <w:num w:numId="4" w16cid:durableId="1327048581">
    <w:abstractNumId w:val="3"/>
  </w:num>
  <w:num w:numId="5" w16cid:durableId="2113158474">
    <w:abstractNumId w:val="18"/>
  </w:num>
  <w:num w:numId="6" w16cid:durableId="1837724033">
    <w:abstractNumId w:val="9"/>
    <w:lvlOverride w:ilvl="0">
      <w:lvl w:ilvl="0">
        <w:start w:val="1"/>
        <w:numFmt w:val="decimal"/>
        <w:pStyle w:val="Nagwek1"/>
        <w:lvlText w:val="%1."/>
        <w:lvlJc w:val="left"/>
        <w:pPr>
          <w:ind w:left="360" w:hanging="360"/>
        </w:pPr>
        <w:rPr>
          <w:color w:val="auto"/>
        </w:rPr>
      </w:lvl>
    </w:lvlOverride>
    <w:lvlOverride w:ilvl="1">
      <w:lvl w:ilvl="1">
        <w:start w:val="1"/>
        <w:numFmt w:val="decimal"/>
        <w:pStyle w:val="Nagwek2"/>
        <w:lvlText w:val="%1.%2."/>
        <w:lvlJc w:val="left"/>
        <w:pPr>
          <w:ind w:left="858" w:hanging="432"/>
        </w:pPr>
        <w:rPr>
          <w:b/>
          <w:color w:val="auto"/>
          <w:sz w:val="24"/>
        </w:rPr>
      </w:lvl>
    </w:lvlOverride>
    <w:lvlOverride w:ilvl="2">
      <w:lvl w:ilvl="2">
        <w:start w:val="1"/>
        <w:numFmt w:val="decimal"/>
        <w:pStyle w:val="Nagwek3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pStyle w:val="Nagwek4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pStyle w:val="Nagwek5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pStyle w:val="Nagwek6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pStyle w:val="Nagwek7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pStyle w:val="Nagwek8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pStyle w:val="Nagwek9"/>
        <w:lvlText w:val="%1.%2.%3.%4.%5.%6.%7.%8.%9."/>
        <w:lvlJc w:val="left"/>
        <w:pPr>
          <w:ind w:left="4320" w:hanging="1440"/>
        </w:pPr>
      </w:lvl>
    </w:lvlOverride>
  </w:num>
  <w:num w:numId="7" w16cid:durableId="184904018">
    <w:abstractNumId w:val="9"/>
  </w:num>
  <w:num w:numId="8" w16cid:durableId="1688561200">
    <w:abstractNumId w:val="16"/>
  </w:num>
  <w:num w:numId="9" w16cid:durableId="1998260620">
    <w:abstractNumId w:val="2"/>
  </w:num>
  <w:num w:numId="10" w16cid:durableId="1114709377">
    <w:abstractNumId w:val="9"/>
    <w:lvlOverride w:ilvl="0">
      <w:lvl w:ilvl="0">
        <w:start w:val="1"/>
        <w:numFmt w:val="decimal"/>
        <w:pStyle w:val="Nagwek1"/>
        <w:lvlText w:val="%1."/>
        <w:lvlJc w:val="left"/>
        <w:pPr>
          <w:ind w:left="786" w:hanging="360"/>
        </w:pPr>
      </w:lvl>
    </w:lvlOverride>
    <w:lvlOverride w:ilvl="1">
      <w:lvl w:ilvl="1" w:tentative="1">
        <w:start w:val="1"/>
        <w:numFmt w:val="lowerLetter"/>
        <w:pStyle w:val="Nagwek2"/>
        <w:lvlText w:val="%2."/>
        <w:lvlJc w:val="left"/>
        <w:pPr>
          <w:ind w:left="1506" w:hanging="360"/>
        </w:pPr>
      </w:lvl>
    </w:lvlOverride>
    <w:lvlOverride w:ilvl="2">
      <w:lvl w:ilvl="2" w:tentative="1">
        <w:start w:val="1"/>
        <w:numFmt w:val="lowerRoman"/>
        <w:pStyle w:val="Nagwek3"/>
        <w:lvlText w:val="%3."/>
        <w:lvlJc w:val="right"/>
        <w:pPr>
          <w:ind w:left="2226" w:hanging="180"/>
        </w:pPr>
      </w:lvl>
    </w:lvlOverride>
    <w:lvlOverride w:ilvl="3">
      <w:lvl w:ilvl="3" w:tentative="1">
        <w:start w:val="1"/>
        <w:numFmt w:val="decimal"/>
        <w:pStyle w:val="Nagwek4"/>
        <w:lvlText w:val="%4."/>
        <w:lvlJc w:val="left"/>
        <w:pPr>
          <w:ind w:left="2946" w:hanging="360"/>
        </w:pPr>
      </w:lvl>
    </w:lvlOverride>
    <w:lvlOverride w:ilvl="4">
      <w:lvl w:ilvl="4" w:tentative="1">
        <w:start w:val="1"/>
        <w:numFmt w:val="lowerLetter"/>
        <w:pStyle w:val="Nagwek5"/>
        <w:lvlText w:val="%5."/>
        <w:lvlJc w:val="left"/>
        <w:pPr>
          <w:ind w:left="3666" w:hanging="360"/>
        </w:pPr>
      </w:lvl>
    </w:lvlOverride>
    <w:lvlOverride w:ilvl="5">
      <w:lvl w:ilvl="5" w:tentative="1">
        <w:start w:val="1"/>
        <w:numFmt w:val="lowerRoman"/>
        <w:pStyle w:val="Nagwek6"/>
        <w:lvlText w:val="%6."/>
        <w:lvlJc w:val="right"/>
        <w:pPr>
          <w:ind w:left="4386" w:hanging="180"/>
        </w:pPr>
      </w:lvl>
    </w:lvlOverride>
    <w:lvlOverride w:ilvl="6">
      <w:lvl w:ilvl="6" w:tentative="1">
        <w:start w:val="1"/>
        <w:numFmt w:val="decimal"/>
        <w:pStyle w:val="Nagwek7"/>
        <w:lvlText w:val="%7."/>
        <w:lvlJc w:val="left"/>
        <w:pPr>
          <w:ind w:left="5106" w:hanging="360"/>
        </w:pPr>
      </w:lvl>
    </w:lvlOverride>
    <w:lvlOverride w:ilvl="7">
      <w:lvl w:ilvl="7" w:tentative="1">
        <w:start w:val="1"/>
        <w:numFmt w:val="lowerLetter"/>
        <w:pStyle w:val="Nagwek8"/>
        <w:lvlText w:val="%8."/>
        <w:lvlJc w:val="left"/>
        <w:pPr>
          <w:ind w:left="5826" w:hanging="360"/>
        </w:pPr>
      </w:lvl>
    </w:lvlOverride>
    <w:lvlOverride w:ilvl="8">
      <w:lvl w:ilvl="8" w:tentative="1">
        <w:start w:val="1"/>
        <w:numFmt w:val="lowerRoman"/>
        <w:pStyle w:val="Nagwek9"/>
        <w:lvlText w:val="%9."/>
        <w:lvlJc w:val="right"/>
        <w:pPr>
          <w:ind w:left="6546" w:hanging="180"/>
        </w:pPr>
      </w:lvl>
    </w:lvlOverride>
  </w:num>
  <w:num w:numId="11" w16cid:durableId="399139186">
    <w:abstractNumId w:val="14"/>
  </w:num>
  <w:num w:numId="12" w16cid:durableId="1744833177">
    <w:abstractNumId w:val="13"/>
  </w:num>
  <w:num w:numId="13" w16cid:durableId="157040780">
    <w:abstractNumId w:val="0"/>
  </w:num>
  <w:num w:numId="14" w16cid:durableId="1262765750">
    <w:abstractNumId w:val="10"/>
  </w:num>
  <w:num w:numId="15" w16cid:durableId="1730222462">
    <w:abstractNumId w:val="12"/>
  </w:num>
  <w:num w:numId="16" w16cid:durableId="234125951">
    <w:abstractNumId w:val="6"/>
  </w:num>
  <w:num w:numId="17" w16cid:durableId="1262688884">
    <w:abstractNumId w:val="20"/>
  </w:num>
  <w:num w:numId="18" w16cid:durableId="803350317">
    <w:abstractNumId w:val="5"/>
  </w:num>
  <w:num w:numId="19" w16cid:durableId="539781169">
    <w:abstractNumId w:val="19"/>
  </w:num>
  <w:num w:numId="20" w16cid:durableId="1578592990">
    <w:abstractNumId w:val="4"/>
  </w:num>
  <w:num w:numId="21" w16cid:durableId="1957562781">
    <w:abstractNumId w:val="15"/>
  </w:num>
  <w:num w:numId="22" w16cid:durableId="2124374880">
    <w:abstractNumId w:val="7"/>
  </w:num>
  <w:num w:numId="23" w16cid:durableId="773749589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7BE"/>
    <w:rsid w:val="00002935"/>
    <w:rsid w:val="000056D4"/>
    <w:rsid w:val="0000682A"/>
    <w:rsid w:val="000074EC"/>
    <w:rsid w:val="00011F32"/>
    <w:rsid w:val="000121B9"/>
    <w:rsid w:val="00014F83"/>
    <w:rsid w:val="000217ED"/>
    <w:rsid w:val="00022C90"/>
    <w:rsid w:val="00026C72"/>
    <w:rsid w:val="000323F6"/>
    <w:rsid w:val="00037D99"/>
    <w:rsid w:val="00040E45"/>
    <w:rsid w:val="000543F4"/>
    <w:rsid w:val="000660A3"/>
    <w:rsid w:val="00067405"/>
    <w:rsid w:val="00071375"/>
    <w:rsid w:val="00072EF9"/>
    <w:rsid w:val="0007406C"/>
    <w:rsid w:val="000758B8"/>
    <w:rsid w:val="000819A6"/>
    <w:rsid w:val="000872A9"/>
    <w:rsid w:val="00087B92"/>
    <w:rsid w:val="000A4331"/>
    <w:rsid w:val="000A5C7B"/>
    <w:rsid w:val="000B14DE"/>
    <w:rsid w:val="000B27E6"/>
    <w:rsid w:val="000B571E"/>
    <w:rsid w:val="000B7ABC"/>
    <w:rsid w:val="000C1FEC"/>
    <w:rsid w:val="000C7C7E"/>
    <w:rsid w:val="000D03E5"/>
    <w:rsid w:val="000D1112"/>
    <w:rsid w:val="000E0521"/>
    <w:rsid w:val="000E0CFB"/>
    <w:rsid w:val="000E11AB"/>
    <w:rsid w:val="000E39DC"/>
    <w:rsid w:val="000F313A"/>
    <w:rsid w:val="000F5993"/>
    <w:rsid w:val="000F667D"/>
    <w:rsid w:val="00101561"/>
    <w:rsid w:val="001027BE"/>
    <w:rsid w:val="00102BEC"/>
    <w:rsid w:val="00107EC9"/>
    <w:rsid w:val="00110D64"/>
    <w:rsid w:val="00112AF0"/>
    <w:rsid w:val="00121834"/>
    <w:rsid w:val="00121B8A"/>
    <w:rsid w:val="001235FB"/>
    <w:rsid w:val="00123CF0"/>
    <w:rsid w:val="00126E2F"/>
    <w:rsid w:val="001318C7"/>
    <w:rsid w:val="00136BA5"/>
    <w:rsid w:val="001373F1"/>
    <w:rsid w:val="00143B0D"/>
    <w:rsid w:val="00156E64"/>
    <w:rsid w:val="001609C2"/>
    <w:rsid w:val="00162DA3"/>
    <w:rsid w:val="001769CB"/>
    <w:rsid w:val="00177C0F"/>
    <w:rsid w:val="00183078"/>
    <w:rsid w:val="0018433C"/>
    <w:rsid w:val="001859EC"/>
    <w:rsid w:val="00187F2B"/>
    <w:rsid w:val="00192895"/>
    <w:rsid w:val="00193CC4"/>
    <w:rsid w:val="001A38D5"/>
    <w:rsid w:val="001A3DAF"/>
    <w:rsid w:val="001A5C11"/>
    <w:rsid w:val="001B017E"/>
    <w:rsid w:val="001B2D7A"/>
    <w:rsid w:val="001B5A76"/>
    <w:rsid w:val="001B6667"/>
    <w:rsid w:val="001B6BD4"/>
    <w:rsid w:val="001C2A37"/>
    <w:rsid w:val="001C5C6A"/>
    <w:rsid w:val="001C67F2"/>
    <w:rsid w:val="001C7FA0"/>
    <w:rsid w:val="001C7FEF"/>
    <w:rsid w:val="001D0647"/>
    <w:rsid w:val="001D114B"/>
    <w:rsid w:val="001D4CEC"/>
    <w:rsid w:val="001D7AAC"/>
    <w:rsid w:val="001E1AB9"/>
    <w:rsid w:val="001E6DE7"/>
    <w:rsid w:val="001E7B5C"/>
    <w:rsid w:val="001F2CBF"/>
    <w:rsid w:val="001F3AAA"/>
    <w:rsid w:val="001F573E"/>
    <w:rsid w:val="0020199F"/>
    <w:rsid w:val="00205B72"/>
    <w:rsid w:val="0020760A"/>
    <w:rsid w:val="00207B9C"/>
    <w:rsid w:val="002104E2"/>
    <w:rsid w:val="002122A4"/>
    <w:rsid w:val="00212A43"/>
    <w:rsid w:val="00214477"/>
    <w:rsid w:val="00220D38"/>
    <w:rsid w:val="00221961"/>
    <w:rsid w:val="00224757"/>
    <w:rsid w:val="00225170"/>
    <w:rsid w:val="002315AD"/>
    <w:rsid w:val="00231DE6"/>
    <w:rsid w:val="002358BC"/>
    <w:rsid w:val="00241005"/>
    <w:rsid w:val="00242436"/>
    <w:rsid w:val="00244181"/>
    <w:rsid w:val="00245488"/>
    <w:rsid w:val="00251394"/>
    <w:rsid w:val="00252D90"/>
    <w:rsid w:val="00260D2B"/>
    <w:rsid w:val="00261513"/>
    <w:rsid w:val="00263F69"/>
    <w:rsid w:val="00271514"/>
    <w:rsid w:val="002749DC"/>
    <w:rsid w:val="00275C7D"/>
    <w:rsid w:val="0028060F"/>
    <w:rsid w:val="00285104"/>
    <w:rsid w:val="00292C9C"/>
    <w:rsid w:val="002940E5"/>
    <w:rsid w:val="002A4787"/>
    <w:rsid w:val="002A55DC"/>
    <w:rsid w:val="002A5F65"/>
    <w:rsid w:val="002A649D"/>
    <w:rsid w:val="002A6E14"/>
    <w:rsid w:val="002A6F07"/>
    <w:rsid w:val="002B1D14"/>
    <w:rsid w:val="002B53DF"/>
    <w:rsid w:val="002B6352"/>
    <w:rsid w:val="002B65EF"/>
    <w:rsid w:val="002B7799"/>
    <w:rsid w:val="002C2724"/>
    <w:rsid w:val="002C2F49"/>
    <w:rsid w:val="002C5F06"/>
    <w:rsid w:val="002C610D"/>
    <w:rsid w:val="002D16EC"/>
    <w:rsid w:val="002D31F3"/>
    <w:rsid w:val="002D47E3"/>
    <w:rsid w:val="002D6588"/>
    <w:rsid w:val="002D7625"/>
    <w:rsid w:val="002E1E0E"/>
    <w:rsid w:val="002E522E"/>
    <w:rsid w:val="002E59AF"/>
    <w:rsid w:val="002F0B67"/>
    <w:rsid w:val="002F208E"/>
    <w:rsid w:val="002F425A"/>
    <w:rsid w:val="002F455B"/>
    <w:rsid w:val="002F4A29"/>
    <w:rsid w:val="002F4FB4"/>
    <w:rsid w:val="002F56B5"/>
    <w:rsid w:val="002F6DF5"/>
    <w:rsid w:val="002F7D84"/>
    <w:rsid w:val="00302027"/>
    <w:rsid w:val="003051B7"/>
    <w:rsid w:val="00305276"/>
    <w:rsid w:val="00307FB8"/>
    <w:rsid w:val="003153A5"/>
    <w:rsid w:val="00321C0D"/>
    <w:rsid w:val="0032240B"/>
    <w:rsid w:val="00325998"/>
    <w:rsid w:val="003269DF"/>
    <w:rsid w:val="003303B9"/>
    <w:rsid w:val="0034246F"/>
    <w:rsid w:val="003454D5"/>
    <w:rsid w:val="00345665"/>
    <w:rsid w:val="003459D7"/>
    <w:rsid w:val="00345F87"/>
    <w:rsid w:val="00347522"/>
    <w:rsid w:val="00353792"/>
    <w:rsid w:val="00363F9D"/>
    <w:rsid w:val="00365200"/>
    <w:rsid w:val="00370059"/>
    <w:rsid w:val="00373E0A"/>
    <w:rsid w:val="00375847"/>
    <w:rsid w:val="00375963"/>
    <w:rsid w:val="00376D20"/>
    <w:rsid w:val="003861E4"/>
    <w:rsid w:val="003953F5"/>
    <w:rsid w:val="003963EF"/>
    <w:rsid w:val="003A01FB"/>
    <w:rsid w:val="003A108D"/>
    <w:rsid w:val="003A428C"/>
    <w:rsid w:val="003A5180"/>
    <w:rsid w:val="003A51DC"/>
    <w:rsid w:val="003B1758"/>
    <w:rsid w:val="003B442E"/>
    <w:rsid w:val="003D02F1"/>
    <w:rsid w:val="003D1ACC"/>
    <w:rsid w:val="003D2CEB"/>
    <w:rsid w:val="003D4170"/>
    <w:rsid w:val="003D5B13"/>
    <w:rsid w:val="003E0D81"/>
    <w:rsid w:val="003E641F"/>
    <w:rsid w:val="003E79AB"/>
    <w:rsid w:val="003F08BA"/>
    <w:rsid w:val="003F2463"/>
    <w:rsid w:val="003F2AF6"/>
    <w:rsid w:val="003F78DC"/>
    <w:rsid w:val="00400C37"/>
    <w:rsid w:val="00401BDB"/>
    <w:rsid w:val="0040202B"/>
    <w:rsid w:val="00402AAE"/>
    <w:rsid w:val="00404A35"/>
    <w:rsid w:val="00406C73"/>
    <w:rsid w:val="00415DA6"/>
    <w:rsid w:val="00416FF0"/>
    <w:rsid w:val="004232DF"/>
    <w:rsid w:val="00425294"/>
    <w:rsid w:val="00431B1C"/>
    <w:rsid w:val="004320C8"/>
    <w:rsid w:val="00440618"/>
    <w:rsid w:val="00444DEC"/>
    <w:rsid w:val="00447EC1"/>
    <w:rsid w:val="0045294A"/>
    <w:rsid w:val="00453CE7"/>
    <w:rsid w:val="004578C3"/>
    <w:rsid w:val="00457F4C"/>
    <w:rsid w:val="00461041"/>
    <w:rsid w:val="00461D35"/>
    <w:rsid w:val="004642C6"/>
    <w:rsid w:val="0046547E"/>
    <w:rsid w:val="00470022"/>
    <w:rsid w:val="0047093E"/>
    <w:rsid w:val="0047226D"/>
    <w:rsid w:val="00476D20"/>
    <w:rsid w:val="00480C5A"/>
    <w:rsid w:val="00481813"/>
    <w:rsid w:val="00482DA4"/>
    <w:rsid w:val="00483264"/>
    <w:rsid w:val="00485E7E"/>
    <w:rsid w:val="00486BC5"/>
    <w:rsid w:val="00487118"/>
    <w:rsid w:val="00487B01"/>
    <w:rsid w:val="004911B9"/>
    <w:rsid w:val="00495144"/>
    <w:rsid w:val="004966FD"/>
    <w:rsid w:val="0049780D"/>
    <w:rsid w:val="004A0BB2"/>
    <w:rsid w:val="004A11A1"/>
    <w:rsid w:val="004A2147"/>
    <w:rsid w:val="004A3BAC"/>
    <w:rsid w:val="004B0235"/>
    <w:rsid w:val="004B48CC"/>
    <w:rsid w:val="004B504D"/>
    <w:rsid w:val="004B5344"/>
    <w:rsid w:val="004B71A2"/>
    <w:rsid w:val="004B7C7E"/>
    <w:rsid w:val="004C1DEF"/>
    <w:rsid w:val="004D0638"/>
    <w:rsid w:val="004D5CA3"/>
    <w:rsid w:val="004D61C8"/>
    <w:rsid w:val="004E2207"/>
    <w:rsid w:val="004E7753"/>
    <w:rsid w:val="004F151A"/>
    <w:rsid w:val="004F5268"/>
    <w:rsid w:val="004F6B58"/>
    <w:rsid w:val="005023EF"/>
    <w:rsid w:val="00505D03"/>
    <w:rsid w:val="00512266"/>
    <w:rsid w:val="00513E17"/>
    <w:rsid w:val="0052377C"/>
    <w:rsid w:val="005334A7"/>
    <w:rsid w:val="00534314"/>
    <w:rsid w:val="005349BA"/>
    <w:rsid w:val="005363C8"/>
    <w:rsid w:val="00542C53"/>
    <w:rsid w:val="00544F1E"/>
    <w:rsid w:val="00546C2E"/>
    <w:rsid w:val="00551BE7"/>
    <w:rsid w:val="00553E21"/>
    <w:rsid w:val="00557DF7"/>
    <w:rsid w:val="00561B52"/>
    <w:rsid w:val="00561BDB"/>
    <w:rsid w:val="00564CBF"/>
    <w:rsid w:val="0056584B"/>
    <w:rsid w:val="005661B3"/>
    <w:rsid w:val="00571299"/>
    <w:rsid w:val="00574201"/>
    <w:rsid w:val="00580089"/>
    <w:rsid w:val="00584347"/>
    <w:rsid w:val="005937F1"/>
    <w:rsid w:val="005A0E0F"/>
    <w:rsid w:val="005A3E17"/>
    <w:rsid w:val="005B05C3"/>
    <w:rsid w:val="005B39F2"/>
    <w:rsid w:val="005B3B5C"/>
    <w:rsid w:val="005B4608"/>
    <w:rsid w:val="005B5DE1"/>
    <w:rsid w:val="005B5E24"/>
    <w:rsid w:val="005C0634"/>
    <w:rsid w:val="005C4B26"/>
    <w:rsid w:val="005D0467"/>
    <w:rsid w:val="005D10CC"/>
    <w:rsid w:val="005D2015"/>
    <w:rsid w:val="005D26B3"/>
    <w:rsid w:val="005D3067"/>
    <w:rsid w:val="005D3775"/>
    <w:rsid w:val="005D37B8"/>
    <w:rsid w:val="005D3974"/>
    <w:rsid w:val="005D54B2"/>
    <w:rsid w:val="005E0220"/>
    <w:rsid w:val="005E044D"/>
    <w:rsid w:val="005E1CC2"/>
    <w:rsid w:val="005E3987"/>
    <w:rsid w:val="005F05E7"/>
    <w:rsid w:val="005F301D"/>
    <w:rsid w:val="005F3F12"/>
    <w:rsid w:val="005F42A2"/>
    <w:rsid w:val="00602001"/>
    <w:rsid w:val="006039CB"/>
    <w:rsid w:val="00604EF4"/>
    <w:rsid w:val="006110EB"/>
    <w:rsid w:val="006142D8"/>
    <w:rsid w:val="006147DB"/>
    <w:rsid w:val="0061601F"/>
    <w:rsid w:val="00621BDB"/>
    <w:rsid w:val="00623253"/>
    <w:rsid w:val="00627AB5"/>
    <w:rsid w:val="00632A09"/>
    <w:rsid w:val="0063545E"/>
    <w:rsid w:val="00637D74"/>
    <w:rsid w:val="00644137"/>
    <w:rsid w:val="00647A0A"/>
    <w:rsid w:val="00652B57"/>
    <w:rsid w:val="006561FC"/>
    <w:rsid w:val="00661C7C"/>
    <w:rsid w:val="0066233F"/>
    <w:rsid w:val="00664C17"/>
    <w:rsid w:val="00672CB2"/>
    <w:rsid w:val="00681F82"/>
    <w:rsid w:val="00682330"/>
    <w:rsid w:val="00684BC3"/>
    <w:rsid w:val="006A04C0"/>
    <w:rsid w:val="006A05D6"/>
    <w:rsid w:val="006A280B"/>
    <w:rsid w:val="006A3863"/>
    <w:rsid w:val="006B1441"/>
    <w:rsid w:val="006B1EC0"/>
    <w:rsid w:val="006C1881"/>
    <w:rsid w:val="006C4029"/>
    <w:rsid w:val="006C485E"/>
    <w:rsid w:val="006C7D6B"/>
    <w:rsid w:val="006D2A4D"/>
    <w:rsid w:val="006F10A3"/>
    <w:rsid w:val="006F2A5A"/>
    <w:rsid w:val="00700074"/>
    <w:rsid w:val="007006FE"/>
    <w:rsid w:val="00702110"/>
    <w:rsid w:val="0070232D"/>
    <w:rsid w:val="007063B2"/>
    <w:rsid w:val="007072AD"/>
    <w:rsid w:val="00707F94"/>
    <w:rsid w:val="007147EC"/>
    <w:rsid w:val="00714DC5"/>
    <w:rsid w:val="00716097"/>
    <w:rsid w:val="00724205"/>
    <w:rsid w:val="00725515"/>
    <w:rsid w:val="007338C5"/>
    <w:rsid w:val="00734933"/>
    <w:rsid w:val="0074013B"/>
    <w:rsid w:val="00741175"/>
    <w:rsid w:val="007450DA"/>
    <w:rsid w:val="00751CD7"/>
    <w:rsid w:val="007543C5"/>
    <w:rsid w:val="007573B2"/>
    <w:rsid w:val="007609C7"/>
    <w:rsid w:val="00761FCC"/>
    <w:rsid w:val="00763157"/>
    <w:rsid w:val="0076409C"/>
    <w:rsid w:val="007641AD"/>
    <w:rsid w:val="00764C30"/>
    <w:rsid w:val="00765EA1"/>
    <w:rsid w:val="00777AF9"/>
    <w:rsid w:val="007804FD"/>
    <w:rsid w:val="00781D14"/>
    <w:rsid w:val="007824E5"/>
    <w:rsid w:val="00783772"/>
    <w:rsid w:val="0078552C"/>
    <w:rsid w:val="0079184B"/>
    <w:rsid w:val="007A23E9"/>
    <w:rsid w:val="007B0A82"/>
    <w:rsid w:val="007B49A2"/>
    <w:rsid w:val="007B4A45"/>
    <w:rsid w:val="007B4EBF"/>
    <w:rsid w:val="007B58D7"/>
    <w:rsid w:val="007B70F4"/>
    <w:rsid w:val="007C22B3"/>
    <w:rsid w:val="007D1B4F"/>
    <w:rsid w:val="007D27AB"/>
    <w:rsid w:val="007D413C"/>
    <w:rsid w:val="007D5379"/>
    <w:rsid w:val="007D5F73"/>
    <w:rsid w:val="007D6C03"/>
    <w:rsid w:val="007E061D"/>
    <w:rsid w:val="007E0866"/>
    <w:rsid w:val="007E120E"/>
    <w:rsid w:val="007E16EC"/>
    <w:rsid w:val="007E2895"/>
    <w:rsid w:val="007E3248"/>
    <w:rsid w:val="007E3C15"/>
    <w:rsid w:val="007E6977"/>
    <w:rsid w:val="007E7291"/>
    <w:rsid w:val="007F6350"/>
    <w:rsid w:val="0080425C"/>
    <w:rsid w:val="00807527"/>
    <w:rsid w:val="00807757"/>
    <w:rsid w:val="00807B13"/>
    <w:rsid w:val="008125EE"/>
    <w:rsid w:val="008131CA"/>
    <w:rsid w:val="008143CA"/>
    <w:rsid w:val="00814825"/>
    <w:rsid w:val="008149AF"/>
    <w:rsid w:val="00816B05"/>
    <w:rsid w:val="00823642"/>
    <w:rsid w:val="00824D11"/>
    <w:rsid w:val="008250DA"/>
    <w:rsid w:val="00825F7E"/>
    <w:rsid w:val="008267E2"/>
    <w:rsid w:val="00826D3B"/>
    <w:rsid w:val="00832DED"/>
    <w:rsid w:val="00833056"/>
    <w:rsid w:val="00834687"/>
    <w:rsid w:val="00835F47"/>
    <w:rsid w:val="008368BF"/>
    <w:rsid w:val="00841F6B"/>
    <w:rsid w:val="00842876"/>
    <w:rsid w:val="0085154C"/>
    <w:rsid w:val="00851A3F"/>
    <w:rsid w:val="008565B8"/>
    <w:rsid w:val="008615CB"/>
    <w:rsid w:val="008616F2"/>
    <w:rsid w:val="0086459D"/>
    <w:rsid w:val="00865CFF"/>
    <w:rsid w:val="00866FA0"/>
    <w:rsid w:val="0087221F"/>
    <w:rsid w:val="00874A8F"/>
    <w:rsid w:val="00876EDE"/>
    <w:rsid w:val="00877D2D"/>
    <w:rsid w:val="008805B6"/>
    <w:rsid w:val="00881863"/>
    <w:rsid w:val="00881E32"/>
    <w:rsid w:val="00882ADC"/>
    <w:rsid w:val="00885C3A"/>
    <w:rsid w:val="0088729B"/>
    <w:rsid w:val="00896D73"/>
    <w:rsid w:val="008A0850"/>
    <w:rsid w:val="008A3BD8"/>
    <w:rsid w:val="008B216C"/>
    <w:rsid w:val="008B3343"/>
    <w:rsid w:val="008C45A1"/>
    <w:rsid w:val="008C789D"/>
    <w:rsid w:val="008C7A6D"/>
    <w:rsid w:val="008D5933"/>
    <w:rsid w:val="008E1926"/>
    <w:rsid w:val="008E29CA"/>
    <w:rsid w:val="008E3030"/>
    <w:rsid w:val="008E323E"/>
    <w:rsid w:val="008E40E2"/>
    <w:rsid w:val="008E7CD1"/>
    <w:rsid w:val="008F1875"/>
    <w:rsid w:val="008F198C"/>
    <w:rsid w:val="008F2521"/>
    <w:rsid w:val="008F376B"/>
    <w:rsid w:val="008F5EC2"/>
    <w:rsid w:val="008F6471"/>
    <w:rsid w:val="008F699C"/>
    <w:rsid w:val="00901507"/>
    <w:rsid w:val="009018DA"/>
    <w:rsid w:val="00902D0D"/>
    <w:rsid w:val="0090563D"/>
    <w:rsid w:val="00925D3A"/>
    <w:rsid w:val="009317C8"/>
    <w:rsid w:val="009350A5"/>
    <w:rsid w:val="009354FA"/>
    <w:rsid w:val="009359B3"/>
    <w:rsid w:val="009431B0"/>
    <w:rsid w:val="00944A1B"/>
    <w:rsid w:val="009474E0"/>
    <w:rsid w:val="00955EC2"/>
    <w:rsid w:val="0096065B"/>
    <w:rsid w:val="0096100F"/>
    <w:rsid w:val="00962163"/>
    <w:rsid w:val="00964DC5"/>
    <w:rsid w:val="009666D1"/>
    <w:rsid w:val="009708B1"/>
    <w:rsid w:val="00970BFB"/>
    <w:rsid w:val="009718C9"/>
    <w:rsid w:val="00972003"/>
    <w:rsid w:val="00974E51"/>
    <w:rsid w:val="00983D90"/>
    <w:rsid w:val="00986C59"/>
    <w:rsid w:val="00990D9D"/>
    <w:rsid w:val="00992AB4"/>
    <w:rsid w:val="009A0027"/>
    <w:rsid w:val="009A327F"/>
    <w:rsid w:val="009A3678"/>
    <w:rsid w:val="009A5C50"/>
    <w:rsid w:val="009B272F"/>
    <w:rsid w:val="009C2FF8"/>
    <w:rsid w:val="009C39A8"/>
    <w:rsid w:val="009C7AD9"/>
    <w:rsid w:val="009C7D3A"/>
    <w:rsid w:val="009D0C5D"/>
    <w:rsid w:val="009D2A74"/>
    <w:rsid w:val="009D348D"/>
    <w:rsid w:val="009D3F55"/>
    <w:rsid w:val="009D6D03"/>
    <w:rsid w:val="009E0716"/>
    <w:rsid w:val="009E16DD"/>
    <w:rsid w:val="009E5F08"/>
    <w:rsid w:val="009F0ACA"/>
    <w:rsid w:val="009F53D6"/>
    <w:rsid w:val="009F6195"/>
    <w:rsid w:val="009F7CDA"/>
    <w:rsid w:val="00A01325"/>
    <w:rsid w:val="00A0263F"/>
    <w:rsid w:val="00A03B75"/>
    <w:rsid w:val="00A04A7E"/>
    <w:rsid w:val="00A04B61"/>
    <w:rsid w:val="00A07662"/>
    <w:rsid w:val="00A10E9C"/>
    <w:rsid w:val="00A10F87"/>
    <w:rsid w:val="00A11177"/>
    <w:rsid w:val="00A11E7A"/>
    <w:rsid w:val="00A142CA"/>
    <w:rsid w:val="00A17973"/>
    <w:rsid w:val="00A2118E"/>
    <w:rsid w:val="00A236E6"/>
    <w:rsid w:val="00A250DA"/>
    <w:rsid w:val="00A263AF"/>
    <w:rsid w:val="00A308C0"/>
    <w:rsid w:val="00A31991"/>
    <w:rsid w:val="00A32113"/>
    <w:rsid w:val="00A35EEA"/>
    <w:rsid w:val="00A36038"/>
    <w:rsid w:val="00A37B0A"/>
    <w:rsid w:val="00A40D76"/>
    <w:rsid w:val="00A44251"/>
    <w:rsid w:val="00A44CAE"/>
    <w:rsid w:val="00A45670"/>
    <w:rsid w:val="00A535CF"/>
    <w:rsid w:val="00A5471E"/>
    <w:rsid w:val="00A7064C"/>
    <w:rsid w:val="00A82825"/>
    <w:rsid w:val="00A83217"/>
    <w:rsid w:val="00A83607"/>
    <w:rsid w:val="00A84B2B"/>
    <w:rsid w:val="00A860F7"/>
    <w:rsid w:val="00A87B14"/>
    <w:rsid w:val="00A90BB6"/>
    <w:rsid w:val="00A91E5F"/>
    <w:rsid w:val="00A964F0"/>
    <w:rsid w:val="00A96770"/>
    <w:rsid w:val="00A96AEA"/>
    <w:rsid w:val="00AA14A3"/>
    <w:rsid w:val="00AA190F"/>
    <w:rsid w:val="00AA1A4E"/>
    <w:rsid w:val="00AA3FDC"/>
    <w:rsid w:val="00AB29F0"/>
    <w:rsid w:val="00AB4172"/>
    <w:rsid w:val="00AB62BD"/>
    <w:rsid w:val="00AC151C"/>
    <w:rsid w:val="00AC3046"/>
    <w:rsid w:val="00AC47BE"/>
    <w:rsid w:val="00AC679B"/>
    <w:rsid w:val="00AC7992"/>
    <w:rsid w:val="00AD07F5"/>
    <w:rsid w:val="00AD37C4"/>
    <w:rsid w:val="00AD4C1A"/>
    <w:rsid w:val="00AD549B"/>
    <w:rsid w:val="00AD6032"/>
    <w:rsid w:val="00AD74A5"/>
    <w:rsid w:val="00AE26D5"/>
    <w:rsid w:val="00AE35AC"/>
    <w:rsid w:val="00AF2DE5"/>
    <w:rsid w:val="00AF7328"/>
    <w:rsid w:val="00B01E96"/>
    <w:rsid w:val="00B0318E"/>
    <w:rsid w:val="00B0348F"/>
    <w:rsid w:val="00B052AF"/>
    <w:rsid w:val="00B07F04"/>
    <w:rsid w:val="00B119A3"/>
    <w:rsid w:val="00B15800"/>
    <w:rsid w:val="00B22228"/>
    <w:rsid w:val="00B2388D"/>
    <w:rsid w:val="00B26AB3"/>
    <w:rsid w:val="00B30B52"/>
    <w:rsid w:val="00B3193E"/>
    <w:rsid w:val="00B3311B"/>
    <w:rsid w:val="00B3510C"/>
    <w:rsid w:val="00B44297"/>
    <w:rsid w:val="00B44C29"/>
    <w:rsid w:val="00B4791B"/>
    <w:rsid w:val="00B47993"/>
    <w:rsid w:val="00B47E65"/>
    <w:rsid w:val="00B52ED2"/>
    <w:rsid w:val="00B55490"/>
    <w:rsid w:val="00B55A31"/>
    <w:rsid w:val="00B614D2"/>
    <w:rsid w:val="00B62D9E"/>
    <w:rsid w:val="00B67DE4"/>
    <w:rsid w:val="00B73C22"/>
    <w:rsid w:val="00B76C9C"/>
    <w:rsid w:val="00B76D4E"/>
    <w:rsid w:val="00B8590C"/>
    <w:rsid w:val="00B85CBE"/>
    <w:rsid w:val="00B87F0D"/>
    <w:rsid w:val="00B9058A"/>
    <w:rsid w:val="00B9203F"/>
    <w:rsid w:val="00B92491"/>
    <w:rsid w:val="00B96493"/>
    <w:rsid w:val="00B97091"/>
    <w:rsid w:val="00BA20E7"/>
    <w:rsid w:val="00BA515C"/>
    <w:rsid w:val="00BB230C"/>
    <w:rsid w:val="00BB3769"/>
    <w:rsid w:val="00BB379C"/>
    <w:rsid w:val="00BC236F"/>
    <w:rsid w:val="00BC5FFE"/>
    <w:rsid w:val="00BD080C"/>
    <w:rsid w:val="00BD45C1"/>
    <w:rsid w:val="00BD4D37"/>
    <w:rsid w:val="00BD4EE3"/>
    <w:rsid w:val="00BE221C"/>
    <w:rsid w:val="00BE6977"/>
    <w:rsid w:val="00BE75A7"/>
    <w:rsid w:val="00BF1701"/>
    <w:rsid w:val="00C0139C"/>
    <w:rsid w:val="00C059CA"/>
    <w:rsid w:val="00C0659A"/>
    <w:rsid w:val="00C06874"/>
    <w:rsid w:val="00C103D5"/>
    <w:rsid w:val="00C14607"/>
    <w:rsid w:val="00C1592D"/>
    <w:rsid w:val="00C173EF"/>
    <w:rsid w:val="00C24030"/>
    <w:rsid w:val="00C33A5A"/>
    <w:rsid w:val="00C44475"/>
    <w:rsid w:val="00C514FE"/>
    <w:rsid w:val="00C524AA"/>
    <w:rsid w:val="00C61451"/>
    <w:rsid w:val="00C61823"/>
    <w:rsid w:val="00C70EFF"/>
    <w:rsid w:val="00C75D7F"/>
    <w:rsid w:val="00C765E7"/>
    <w:rsid w:val="00C86C11"/>
    <w:rsid w:val="00C901EC"/>
    <w:rsid w:val="00C943E2"/>
    <w:rsid w:val="00C9455B"/>
    <w:rsid w:val="00C95278"/>
    <w:rsid w:val="00C95D96"/>
    <w:rsid w:val="00CA2C27"/>
    <w:rsid w:val="00CA7463"/>
    <w:rsid w:val="00CA7C5B"/>
    <w:rsid w:val="00CB2DF6"/>
    <w:rsid w:val="00CB3C73"/>
    <w:rsid w:val="00CB5648"/>
    <w:rsid w:val="00CC018C"/>
    <w:rsid w:val="00CC50BC"/>
    <w:rsid w:val="00CC5A67"/>
    <w:rsid w:val="00CD4C00"/>
    <w:rsid w:val="00CD681C"/>
    <w:rsid w:val="00CE100D"/>
    <w:rsid w:val="00CE165C"/>
    <w:rsid w:val="00CE2297"/>
    <w:rsid w:val="00CF7F2E"/>
    <w:rsid w:val="00D0302D"/>
    <w:rsid w:val="00D1325B"/>
    <w:rsid w:val="00D15424"/>
    <w:rsid w:val="00D17C22"/>
    <w:rsid w:val="00D24202"/>
    <w:rsid w:val="00D278D3"/>
    <w:rsid w:val="00D35336"/>
    <w:rsid w:val="00D35879"/>
    <w:rsid w:val="00D41B90"/>
    <w:rsid w:val="00D434A7"/>
    <w:rsid w:val="00D4418B"/>
    <w:rsid w:val="00D45295"/>
    <w:rsid w:val="00D455D8"/>
    <w:rsid w:val="00D468D6"/>
    <w:rsid w:val="00D47007"/>
    <w:rsid w:val="00D515E8"/>
    <w:rsid w:val="00D5326A"/>
    <w:rsid w:val="00D53C80"/>
    <w:rsid w:val="00D54809"/>
    <w:rsid w:val="00D57161"/>
    <w:rsid w:val="00D57BF5"/>
    <w:rsid w:val="00D6064F"/>
    <w:rsid w:val="00D6398E"/>
    <w:rsid w:val="00D6405D"/>
    <w:rsid w:val="00D73D82"/>
    <w:rsid w:val="00D77FF4"/>
    <w:rsid w:val="00D81888"/>
    <w:rsid w:val="00D83767"/>
    <w:rsid w:val="00D83DDD"/>
    <w:rsid w:val="00D90F1A"/>
    <w:rsid w:val="00D916A6"/>
    <w:rsid w:val="00D9223C"/>
    <w:rsid w:val="00D94004"/>
    <w:rsid w:val="00D94E88"/>
    <w:rsid w:val="00D96A3E"/>
    <w:rsid w:val="00DA0E96"/>
    <w:rsid w:val="00DA34C8"/>
    <w:rsid w:val="00DA4F6E"/>
    <w:rsid w:val="00DA5B95"/>
    <w:rsid w:val="00DA5E77"/>
    <w:rsid w:val="00DA69B3"/>
    <w:rsid w:val="00DA6ACF"/>
    <w:rsid w:val="00DB0A54"/>
    <w:rsid w:val="00DB5034"/>
    <w:rsid w:val="00DB6644"/>
    <w:rsid w:val="00DB6859"/>
    <w:rsid w:val="00DC0AC4"/>
    <w:rsid w:val="00DC38AC"/>
    <w:rsid w:val="00DC4364"/>
    <w:rsid w:val="00DC5CBA"/>
    <w:rsid w:val="00DC62C2"/>
    <w:rsid w:val="00DC7E41"/>
    <w:rsid w:val="00DD14BE"/>
    <w:rsid w:val="00DD28F2"/>
    <w:rsid w:val="00DD5358"/>
    <w:rsid w:val="00DD73E3"/>
    <w:rsid w:val="00DE1841"/>
    <w:rsid w:val="00DE499C"/>
    <w:rsid w:val="00DE569D"/>
    <w:rsid w:val="00DF37FE"/>
    <w:rsid w:val="00DF701F"/>
    <w:rsid w:val="00E01872"/>
    <w:rsid w:val="00E04C49"/>
    <w:rsid w:val="00E04C51"/>
    <w:rsid w:val="00E11921"/>
    <w:rsid w:val="00E1229B"/>
    <w:rsid w:val="00E139B6"/>
    <w:rsid w:val="00E177E3"/>
    <w:rsid w:val="00E21BF1"/>
    <w:rsid w:val="00E30E03"/>
    <w:rsid w:val="00E40C7B"/>
    <w:rsid w:val="00E422FF"/>
    <w:rsid w:val="00E4477E"/>
    <w:rsid w:val="00E47439"/>
    <w:rsid w:val="00E47BCF"/>
    <w:rsid w:val="00E50A9B"/>
    <w:rsid w:val="00E651EF"/>
    <w:rsid w:val="00E72255"/>
    <w:rsid w:val="00E7495D"/>
    <w:rsid w:val="00E75F90"/>
    <w:rsid w:val="00E76270"/>
    <w:rsid w:val="00E80EEA"/>
    <w:rsid w:val="00E860D5"/>
    <w:rsid w:val="00E86E5C"/>
    <w:rsid w:val="00E92229"/>
    <w:rsid w:val="00E92823"/>
    <w:rsid w:val="00E934FD"/>
    <w:rsid w:val="00E94156"/>
    <w:rsid w:val="00E95B64"/>
    <w:rsid w:val="00E95DB9"/>
    <w:rsid w:val="00EA0BCC"/>
    <w:rsid w:val="00EA5690"/>
    <w:rsid w:val="00EA58D9"/>
    <w:rsid w:val="00EA6C53"/>
    <w:rsid w:val="00EB22CA"/>
    <w:rsid w:val="00EB4014"/>
    <w:rsid w:val="00EC0615"/>
    <w:rsid w:val="00EC44C5"/>
    <w:rsid w:val="00EC6021"/>
    <w:rsid w:val="00ED2A08"/>
    <w:rsid w:val="00EE1853"/>
    <w:rsid w:val="00EE4066"/>
    <w:rsid w:val="00EE7340"/>
    <w:rsid w:val="00EE77CA"/>
    <w:rsid w:val="00EF0924"/>
    <w:rsid w:val="00EF2718"/>
    <w:rsid w:val="00EF2B92"/>
    <w:rsid w:val="00EF2C95"/>
    <w:rsid w:val="00F01073"/>
    <w:rsid w:val="00F046EC"/>
    <w:rsid w:val="00F051E7"/>
    <w:rsid w:val="00F0574F"/>
    <w:rsid w:val="00F06A02"/>
    <w:rsid w:val="00F079C4"/>
    <w:rsid w:val="00F13BFC"/>
    <w:rsid w:val="00F20400"/>
    <w:rsid w:val="00F20533"/>
    <w:rsid w:val="00F215AA"/>
    <w:rsid w:val="00F26E20"/>
    <w:rsid w:val="00F35205"/>
    <w:rsid w:val="00F353AE"/>
    <w:rsid w:val="00F35CDC"/>
    <w:rsid w:val="00F378C9"/>
    <w:rsid w:val="00F37A5C"/>
    <w:rsid w:val="00F43508"/>
    <w:rsid w:val="00F440F9"/>
    <w:rsid w:val="00F509D6"/>
    <w:rsid w:val="00F56BB2"/>
    <w:rsid w:val="00F606E6"/>
    <w:rsid w:val="00F61B1F"/>
    <w:rsid w:val="00F62316"/>
    <w:rsid w:val="00F63354"/>
    <w:rsid w:val="00F65649"/>
    <w:rsid w:val="00F66689"/>
    <w:rsid w:val="00F67C48"/>
    <w:rsid w:val="00F708B7"/>
    <w:rsid w:val="00F710D4"/>
    <w:rsid w:val="00F71D06"/>
    <w:rsid w:val="00F73E16"/>
    <w:rsid w:val="00F83399"/>
    <w:rsid w:val="00F9030A"/>
    <w:rsid w:val="00F90F03"/>
    <w:rsid w:val="00F93551"/>
    <w:rsid w:val="00F95C38"/>
    <w:rsid w:val="00FA4D19"/>
    <w:rsid w:val="00FA7381"/>
    <w:rsid w:val="00FB0C07"/>
    <w:rsid w:val="00FB114B"/>
    <w:rsid w:val="00FB21DD"/>
    <w:rsid w:val="00FB3074"/>
    <w:rsid w:val="00FC5026"/>
    <w:rsid w:val="00FC5772"/>
    <w:rsid w:val="00FC5BD8"/>
    <w:rsid w:val="00FC5CC0"/>
    <w:rsid w:val="00FC624B"/>
    <w:rsid w:val="00FC7703"/>
    <w:rsid w:val="00FD4CF3"/>
    <w:rsid w:val="00FE4A6F"/>
    <w:rsid w:val="00FF0B92"/>
    <w:rsid w:val="00FF27B3"/>
    <w:rsid w:val="00FF6B70"/>
    <w:rsid w:val="1FAF0386"/>
    <w:rsid w:val="21BEEF7A"/>
    <w:rsid w:val="2B856525"/>
    <w:rsid w:val="5BF49D94"/>
    <w:rsid w:val="77204651"/>
    <w:rsid w:val="77A2E5AC"/>
    <w:rsid w:val="7E20E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045A48"/>
  <w15:docId w15:val="{9D32203D-0974-4333-B694-D1D3D468B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7463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Nagwek1">
    <w:name w:val="heading 1"/>
    <w:next w:val="Tekstpodstawowy"/>
    <w:link w:val="Nagwek1Znak"/>
    <w:qFormat/>
    <w:rsid w:val="00AB4172"/>
    <w:pPr>
      <w:keepNext/>
      <w:numPr>
        <w:numId w:val="6"/>
      </w:numPr>
      <w:spacing w:before="360" w:after="120" w:line="240" w:lineRule="auto"/>
      <w:outlineLvl w:val="0"/>
    </w:pPr>
    <w:rPr>
      <w:rFonts w:ascii="Arial" w:eastAsia="Times New Roman" w:hAnsi="Arial" w:cs="Times New Roman"/>
      <w:b/>
      <w:caps/>
      <w:sz w:val="24"/>
      <w:szCs w:val="24"/>
    </w:rPr>
  </w:style>
  <w:style w:type="paragraph" w:styleId="Nagwek2">
    <w:name w:val="heading 2"/>
    <w:basedOn w:val="Nagwek1"/>
    <w:next w:val="Tekstpodstawowy2"/>
    <w:link w:val="Nagwek2Znak"/>
    <w:qFormat/>
    <w:rsid w:val="00B67DE4"/>
    <w:pPr>
      <w:keepNext w:val="0"/>
      <w:numPr>
        <w:ilvl w:val="1"/>
      </w:numPr>
      <w:spacing w:before="120"/>
      <w:ind w:left="792" w:right="170"/>
      <w:outlineLvl w:val="1"/>
    </w:pPr>
    <w:rPr>
      <w:rFonts w:cs="Arial"/>
      <w:iCs/>
      <w:caps w:val="0"/>
    </w:rPr>
  </w:style>
  <w:style w:type="paragraph" w:styleId="Nagwek3">
    <w:name w:val="heading 3"/>
    <w:basedOn w:val="Nagwek2"/>
    <w:next w:val="Tekstpodstawowy3"/>
    <w:link w:val="Nagwek3Znak"/>
    <w:qFormat/>
    <w:rsid w:val="00A17973"/>
    <w:pPr>
      <w:numPr>
        <w:ilvl w:val="2"/>
      </w:numPr>
      <w:tabs>
        <w:tab w:val="left" w:pos="1800"/>
      </w:tabs>
      <w:ind w:left="1506"/>
      <w:outlineLvl w:val="2"/>
    </w:pPr>
    <w:rPr>
      <w:b w:val="0"/>
      <w:lang w:val="pl-PL" w:eastAsia="pl-PL"/>
    </w:rPr>
  </w:style>
  <w:style w:type="paragraph" w:styleId="Nagwek4">
    <w:name w:val="heading 4"/>
    <w:basedOn w:val="Nagwek3"/>
    <w:next w:val="BodyText4"/>
    <w:link w:val="Nagwek4Znak"/>
    <w:qFormat/>
    <w:rsid w:val="00D35879"/>
    <w:pPr>
      <w:numPr>
        <w:ilvl w:val="3"/>
      </w:numPr>
      <w:tabs>
        <w:tab w:val="clear" w:pos="1800"/>
        <w:tab w:val="left" w:pos="2610"/>
      </w:tabs>
      <w:outlineLvl w:val="3"/>
    </w:pPr>
    <w:rPr>
      <w:bCs/>
    </w:rPr>
  </w:style>
  <w:style w:type="paragraph" w:styleId="Nagwek5">
    <w:name w:val="heading 5"/>
    <w:basedOn w:val="Nagwek4"/>
    <w:next w:val="BodyText5"/>
    <w:link w:val="Nagwek5Znak"/>
    <w:qFormat/>
    <w:rsid w:val="00D35879"/>
    <w:pPr>
      <w:numPr>
        <w:ilvl w:val="4"/>
      </w:numPr>
      <w:tabs>
        <w:tab w:val="clear" w:pos="2610"/>
        <w:tab w:val="left" w:pos="3690"/>
      </w:tabs>
      <w:outlineLvl w:val="4"/>
    </w:pPr>
  </w:style>
  <w:style w:type="paragraph" w:styleId="Nagwek6">
    <w:name w:val="heading 6"/>
    <w:basedOn w:val="Nagwek5"/>
    <w:next w:val="Normalny"/>
    <w:link w:val="Nagwek6Znak"/>
    <w:qFormat/>
    <w:rsid w:val="00D35879"/>
    <w:pPr>
      <w:numPr>
        <w:ilvl w:val="5"/>
      </w:numPr>
      <w:tabs>
        <w:tab w:val="clear" w:pos="3690"/>
        <w:tab w:val="left" w:pos="4590"/>
      </w:tabs>
      <w:outlineLvl w:val="5"/>
    </w:pPr>
  </w:style>
  <w:style w:type="paragraph" w:styleId="Nagwek7">
    <w:name w:val="heading 7"/>
    <w:basedOn w:val="Nagwek6"/>
    <w:next w:val="Normalny"/>
    <w:link w:val="Nagwek7Znak"/>
    <w:qFormat/>
    <w:rsid w:val="00D35879"/>
    <w:pPr>
      <w:numPr>
        <w:ilvl w:val="6"/>
      </w:numPr>
      <w:tabs>
        <w:tab w:val="clear" w:pos="4590"/>
        <w:tab w:val="left" w:pos="5580"/>
      </w:tabs>
      <w:outlineLvl w:val="6"/>
    </w:pPr>
    <w:rPr>
      <w:bCs w:val="0"/>
    </w:rPr>
  </w:style>
  <w:style w:type="paragraph" w:styleId="Nagwek8">
    <w:name w:val="heading 8"/>
    <w:basedOn w:val="Nagwek7"/>
    <w:next w:val="Normalny"/>
    <w:link w:val="Nagwek8Znak"/>
    <w:qFormat/>
    <w:rsid w:val="00D35879"/>
    <w:pPr>
      <w:numPr>
        <w:ilvl w:val="7"/>
      </w:numPr>
      <w:tabs>
        <w:tab w:val="clear" w:pos="5580"/>
        <w:tab w:val="left" w:pos="5940"/>
      </w:tabs>
      <w:outlineLvl w:val="7"/>
    </w:pPr>
  </w:style>
  <w:style w:type="paragraph" w:styleId="Nagwek9">
    <w:name w:val="heading 9"/>
    <w:basedOn w:val="Normalny"/>
    <w:next w:val="Normalny"/>
    <w:link w:val="Nagwek9Znak"/>
    <w:unhideWhenUsed/>
    <w:qFormat/>
    <w:rsid w:val="00D35879"/>
    <w:pPr>
      <w:numPr>
        <w:ilvl w:val="8"/>
        <w:numId w:val="6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C47BE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47BE"/>
  </w:style>
  <w:style w:type="paragraph" w:styleId="Stopka">
    <w:name w:val="footer"/>
    <w:basedOn w:val="Normalny"/>
    <w:link w:val="StopkaZnak"/>
    <w:uiPriority w:val="99"/>
    <w:rsid w:val="00D35879"/>
    <w:pPr>
      <w:tabs>
        <w:tab w:val="center" w:pos="4435"/>
        <w:tab w:val="right" w:pos="8870"/>
      </w:tabs>
    </w:pPr>
    <w:rPr>
      <w:lang w:val="en-GB"/>
    </w:rPr>
  </w:style>
  <w:style w:type="character" w:customStyle="1" w:styleId="StopkaZnak">
    <w:name w:val="Stopka Znak"/>
    <w:basedOn w:val="Domylnaczcionkaakapitu"/>
    <w:link w:val="Stopka"/>
    <w:uiPriority w:val="99"/>
    <w:rsid w:val="00D35879"/>
    <w:rPr>
      <w:rFonts w:ascii="Arial" w:eastAsia="Times New Roman" w:hAnsi="Arial" w:cs="Times New Roman"/>
      <w:sz w:val="24"/>
      <w:szCs w:val="20"/>
      <w:lang w:val="en-GB"/>
    </w:rPr>
  </w:style>
  <w:style w:type="paragraph" w:styleId="Tekstdymka">
    <w:name w:val="Balloon Text"/>
    <w:basedOn w:val="Normalny"/>
    <w:link w:val="TekstdymkaZnak"/>
    <w:rsid w:val="00D3587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C47BE"/>
    <w:rPr>
      <w:rFonts w:ascii="Tahoma" w:eastAsia="Times New Roman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D35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Title14ptsUnderline">
    <w:name w:val="Style Title+14 pts + Underline"/>
    <w:basedOn w:val="Normalny"/>
    <w:autoRedefine/>
    <w:rsid w:val="00AC47BE"/>
    <w:pPr>
      <w:spacing w:after="480"/>
      <w:jc w:val="center"/>
    </w:pPr>
    <w:rPr>
      <w:b/>
      <w:bCs/>
      <w:sz w:val="28"/>
      <w:u w:val="single"/>
    </w:rPr>
  </w:style>
  <w:style w:type="character" w:customStyle="1" w:styleId="Style11ptBlue">
    <w:name w:val="Style 11 pt Blue"/>
    <w:basedOn w:val="Domylnaczcionkaakapitu"/>
    <w:rsid w:val="00AC47BE"/>
    <w:rPr>
      <w:rFonts w:ascii="Arial" w:hAnsi="Arial"/>
      <w:color w:val="0070C0"/>
      <w:sz w:val="22"/>
    </w:rPr>
  </w:style>
  <w:style w:type="character" w:customStyle="1" w:styleId="Style11pt">
    <w:name w:val="Style 11 pt"/>
    <w:basedOn w:val="Domylnaczcionkaakapitu"/>
    <w:rsid w:val="00AC47BE"/>
    <w:rPr>
      <w:rFonts w:ascii="Arial" w:hAnsi="Arial"/>
      <w:sz w:val="22"/>
    </w:rPr>
  </w:style>
  <w:style w:type="character" w:customStyle="1" w:styleId="Style11ptRed">
    <w:name w:val="Style 11 pt Red"/>
    <w:basedOn w:val="Domylnaczcionkaakapitu"/>
    <w:rsid w:val="00AC47BE"/>
    <w:rPr>
      <w:rFonts w:ascii="Arial" w:hAnsi="Arial"/>
      <w:color w:val="FF0000"/>
      <w:sz w:val="22"/>
    </w:rPr>
  </w:style>
  <w:style w:type="character" w:customStyle="1" w:styleId="Style11ptBlueUnderline">
    <w:name w:val="Style 11 pt Blue Underline"/>
    <w:basedOn w:val="Domylnaczcionkaakapitu"/>
    <w:rsid w:val="00AC47BE"/>
    <w:rPr>
      <w:rFonts w:ascii="Arial" w:hAnsi="Arial"/>
      <w:color w:val="0070C0"/>
      <w:sz w:val="22"/>
      <w:u w:val="single"/>
    </w:rPr>
  </w:style>
  <w:style w:type="paragraph" w:customStyle="1" w:styleId="Style11ptBlueUnderlineBefore6pt">
    <w:name w:val="Style 11 pt Blue Underline Before:  6 pt"/>
    <w:basedOn w:val="Normalny"/>
    <w:autoRedefine/>
    <w:qFormat/>
    <w:rsid w:val="00AC47BE"/>
    <w:pPr>
      <w:spacing w:before="120"/>
    </w:pPr>
    <w:rPr>
      <w:color w:val="0070C0"/>
      <w:sz w:val="22"/>
      <w:u w:val="single"/>
    </w:rPr>
  </w:style>
  <w:style w:type="character" w:customStyle="1" w:styleId="11ptBoldBlue">
    <w:name w:val="11 pt Bold Blue"/>
    <w:basedOn w:val="Domylnaczcionkaakapitu"/>
    <w:rsid w:val="00AC47BE"/>
    <w:rPr>
      <w:rFonts w:ascii="Arial" w:hAnsi="Arial"/>
      <w:b/>
      <w:bCs/>
      <w:color w:val="0070C0"/>
      <w:sz w:val="22"/>
    </w:rPr>
  </w:style>
  <w:style w:type="paragraph" w:customStyle="1" w:styleId="11ptBoldBlueCenteredBefore6ptAfter6pt">
    <w:name w:val="11 pt Bold Blue Centered Before:  6 pt After:  6 pt"/>
    <w:basedOn w:val="Normalny"/>
    <w:autoRedefine/>
    <w:rsid w:val="00AC47BE"/>
    <w:pPr>
      <w:spacing w:before="120" w:after="120"/>
      <w:jc w:val="center"/>
    </w:pPr>
    <w:rPr>
      <w:b/>
      <w:bCs/>
      <w:color w:val="0070C0"/>
      <w:sz w:val="22"/>
    </w:rPr>
  </w:style>
  <w:style w:type="character" w:customStyle="1" w:styleId="11ptBold">
    <w:name w:val="11 pt Bold"/>
    <w:basedOn w:val="Domylnaczcionkaakapitu"/>
    <w:rsid w:val="00AC47BE"/>
    <w:rPr>
      <w:rFonts w:ascii="Arial" w:hAnsi="Arial"/>
      <w:b/>
      <w:bCs/>
      <w:sz w:val="22"/>
    </w:rPr>
  </w:style>
  <w:style w:type="character" w:customStyle="1" w:styleId="11ptBoldRed">
    <w:name w:val="11 pt Bold Red"/>
    <w:basedOn w:val="Domylnaczcionkaakapitu"/>
    <w:rsid w:val="00AC47BE"/>
    <w:rPr>
      <w:rFonts w:ascii="Arial" w:hAnsi="Arial"/>
      <w:b/>
      <w:bCs/>
      <w:color w:val="FF0000"/>
      <w:sz w:val="22"/>
    </w:rPr>
  </w:style>
  <w:style w:type="paragraph" w:customStyle="1" w:styleId="11ptLeft038">
    <w:name w:val="11 pt Left:  0.38&quot;"/>
    <w:basedOn w:val="Normalny"/>
    <w:autoRedefine/>
    <w:rsid w:val="009317C8"/>
    <w:rPr>
      <w:sz w:val="22"/>
    </w:rPr>
  </w:style>
  <w:style w:type="paragraph" w:customStyle="1" w:styleId="StyleTitle14ptsred">
    <w:name w:val="Style Title +14 pts+ red"/>
    <w:basedOn w:val="StyleTitle14ptsUnderline"/>
    <w:autoRedefine/>
    <w:qFormat/>
    <w:rsid w:val="00AC47BE"/>
    <w:rPr>
      <w:color w:val="FF0000"/>
    </w:rPr>
  </w:style>
  <w:style w:type="paragraph" w:customStyle="1" w:styleId="Bodytext1blueitalic">
    <w:name w:val="Body text 1 + blue + italic"/>
    <w:basedOn w:val="Normalny"/>
    <w:autoRedefine/>
    <w:qFormat/>
    <w:rsid w:val="00E04C49"/>
    <w:pPr>
      <w:framePr w:hSpace="181" w:wrap="around" w:vAnchor="text" w:hAnchor="page" w:xAlign="center" w:y="1"/>
      <w:widowControl w:val="0"/>
      <w:spacing w:before="240" w:after="240"/>
      <w:ind w:left="360"/>
      <w:suppressOverlap/>
    </w:pPr>
    <w:rPr>
      <w:rFonts w:ascii="Times New Roman" w:hAnsi="Times New Roman"/>
      <w:iCs/>
      <w:color w:val="0070C0"/>
      <w:szCs w:val="24"/>
      <w:lang w:val="en-GB"/>
    </w:rPr>
  </w:style>
  <w:style w:type="paragraph" w:customStyle="1" w:styleId="BodyText1">
    <w:name w:val="Body Text 1"/>
    <w:basedOn w:val="Normalny"/>
    <w:link w:val="BodyText1Char"/>
    <w:autoRedefine/>
    <w:qFormat/>
    <w:rsid w:val="002F7D84"/>
    <w:pPr>
      <w:framePr w:hSpace="181" w:wrap="around" w:vAnchor="text" w:hAnchor="margin" w:y="530"/>
      <w:widowControl w:val="0"/>
      <w:spacing w:before="240" w:after="240"/>
      <w:ind w:left="360"/>
      <w:suppressOverlap/>
    </w:pPr>
    <w:rPr>
      <w:rFonts w:cs="Arial"/>
      <w:b/>
      <w:iCs/>
      <w:color w:val="0070C0"/>
      <w:sz w:val="22"/>
      <w:szCs w:val="22"/>
      <w:lang w:val="pl-PL"/>
    </w:rPr>
  </w:style>
  <w:style w:type="character" w:customStyle="1" w:styleId="BodyText1Char">
    <w:name w:val="Body Text 1 Char"/>
    <w:basedOn w:val="Domylnaczcionkaakapitu"/>
    <w:link w:val="BodyText1"/>
    <w:rsid w:val="002F7D84"/>
    <w:rPr>
      <w:rFonts w:ascii="Arial" w:eastAsia="Times New Roman" w:hAnsi="Arial" w:cs="Arial"/>
      <w:b/>
      <w:iCs/>
      <w:color w:val="0070C0"/>
      <w:lang w:val="pl-PL"/>
    </w:rPr>
  </w:style>
  <w:style w:type="character" w:customStyle="1" w:styleId="Nagwek1Znak">
    <w:name w:val="Nagłówek 1 Znak"/>
    <w:basedOn w:val="Domylnaczcionkaakapitu"/>
    <w:link w:val="Nagwek1"/>
    <w:rsid w:val="00AB4172"/>
    <w:rPr>
      <w:rFonts w:ascii="Arial" w:eastAsia="Times New Roman" w:hAnsi="Arial" w:cs="Times New Roman"/>
      <w:b/>
      <w:caps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C47BE"/>
    <w:pPr>
      <w:numPr>
        <w:numId w:val="0"/>
      </w:numPr>
      <w:spacing w:line="276" w:lineRule="auto"/>
      <w:outlineLvl w:val="9"/>
    </w:pPr>
  </w:style>
  <w:style w:type="character" w:customStyle="1" w:styleId="Nagwek2Znak">
    <w:name w:val="Nagłówek 2 Znak"/>
    <w:basedOn w:val="Domylnaczcionkaakapitu"/>
    <w:link w:val="Nagwek2"/>
    <w:rsid w:val="00B67DE4"/>
    <w:rPr>
      <w:rFonts w:ascii="Arial" w:eastAsia="Times New Roman" w:hAnsi="Arial" w:cs="Arial"/>
      <w:b/>
      <w:iCs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AC47BE"/>
    <w:rPr>
      <w:rFonts w:ascii="Arial" w:eastAsia="Times New Roman" w:hAnsi="Arial" w:cs="Arial"/>
      <w:iCs/>
      <w:sz w:val="24"/>
      <w:szCs w:val="24"/>
      <w:lang w:val="pl-PL" w:eastAsia="pl-PL"/>
    </w:rPr>
  </w:style>
  <w:style w:type="paragraph" w:styleId="Tekstpodstawowy">
    <w:name w:val="Body Text"/>
    <w:basedOn w:val="Normalny"/>
    <w:link w:val="TekstpodstawowyZnak"/>
    <w:rsid w:val="00D35879"/>
    <w:pPr>
      <w:spacing w:after="120"/>
      <w:ind w:left="360"/>
    </w:pPr>
    <w:rPr>
      <w:szCs w:val="24"/>
      <w:lang w:val="en-GB"/>
    </w:rPr>
  </w:style>
  <w:style w:type="character" w:customStyle="1" w:styleId="TekstpodstawowyZnak">
    <w:name w:val="Tekst podstawowy Znak"/>
    <w:basedOn w:val="Domylnaczcionkaakapitu"/>
    <w:link w:val="Tekstpodstawowy"/>
    <w:rsid w:val="00AC47BE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Style10pt">
    <w:name w:val="Style 10 pt"/>
    <w:basedOn w:val="Domylnaczcionkaakapitu"/>
    <w:rsid w:val="00AC47BE"/>
    <w:rPr>
      <w:rFonts w:ascii="Arial" w:hAnsi="Arial"/>
      <w:sz w:val="20"/>
    </w:rPr>
  </w:style>
  <w:style w:type="character" w:customStyle="1" w:styleId="Style10ptBold">
    <w:name w:val="Style 10 pt Bold"/>
    <w:basedOn w:val="Domylnaczcionkaakapitu"/>
    <w:rsid w:val="00AC47BE"/>
    <w:rPr>
      <w:rFonts w:ascii="Arial" w:hAnsi="Arial"/>
      <w:b/>
      <w:bCs/>
      <w:sz w:val="20"/>
    </w:rPr>
  </w:style>
  <w:style w:type="character" w:customStyle="1" w:styleId="Style11ptBlue1">
    <w:name w:val="Style 11 pt Blue1"/>
    <w:basedOn w:val="Domylnaczcionkaakapitu"/>
    <w:rsid w:val="00AC47BE"/>
    <w:rPr>
      <w:rFonts w:ascii="Arial" w:hAnsi="Arial"/>
      <w:color w:val="0000FF"/>
      <w:sz w:val="22"/>
    </w:rPr>
  </w:style>
  <w:style w:type="character" w:customStyle="1" w:styleId="11ptItalic">
    <w:name w:val="11 pt Italic"/>
    <w:basedOn w:val="Domylnaczcionkaakapitu"/>
    <w:rsid w:val="00AC47BE"/>
    <w:rPr>
      <w:rFonts w:ascii="Arial" w:hAnsi="Arial"/>
      <w:i/>
      <w:iCs/>
      <w:sz w:val="22"/>
    </w:rPr>
  </w:style>
  <w:style w:type="paragraph" w:styleId="Tekstpodstawowy2">
    <w:name w:val="Body Text 2"/>
    <w:basedOn w:val="Normalny"/>
    <w:link w:val="Tekstpodstawowy2Znak"/>
    <w:rsid w:val="00D35879"/>
    <w:pPr>
      <w:spacing w:after="120"/>
      <w:ind w:left="900"/>
    </w:pPr>
    <w:rPr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AC47BE"/>
    <w:rPr>
      <w:rFonts w:ascii="Arial" w:eastAsia="Times New Roman" w:hAnsi="Arial" w:cs="Times New Roman"/>
      <w:sz w:val="24"/>
      <w:szCs w:val="24"/>
    </w:rPr>
  </w:style>
  <w:style w:type="paragraph" w:customStyle="1" w:styleId="BulletText2">
    <w:name w:val="Bullet Text 2"/>
    <w:basedOn w:val="Normalny"/>
    <w:rsid w:val="00D35879"/>
    <w:pPr>
      <w:numPr>
        <w:numId w:val="3"/>
      </w:numPr>
    </w:pPr>
  </w:style>
  <w:style w:type="paragraph" w:customStyle="1" w:styleId="BodyText2ItalicBlue">
    <w:name w:val="Body Text 2 + Italic Blue"/>
    <w:basedOn w:val="Tekstpodstawowy2"/>
    <w:autoRedefine/>
    <w:rsid w:val="00AC47BE"/>
    <w:rPr>
      <w:i/>
      <w:iCs/>
      <w:color w:val="0070C0"/>
    </w:rPr>
  </w:style>
  <w:style w:type="paragraph" w:customStyle="1" w:styleId="bullettext1blueitalic">
    <w:name w:val="bullet text 1 + blue + italic"/>
    <w:basedOn w:val="Normalny"/>
    <w:qFormat/>
    <w:rsid w:val="00AC47BE"/>
    <w:pPr>
      <w:numPr>
        <w:numId w:val="1"/>
      </w:numPr>
      <w:spacing w:before="120" w:after="120"/>
    </w:pPr>
    <w:rPr>
      <w:i/>
      <w:color w:val="0070C0"/>
      <w:sz w:val="22"/>
    </w:rPr>
  </w:style>
  <w:style w:type="paragraph" w:customStyle="1" w:styleId="BodyText1blueitalic0">
    <w:name w:val="Body Text 1 + blue + italic"/>
    <w:basedOn w:val="BodyText1"/>
    <w:autoRedefine/>
    <w:rsid w:val="00AC47BE"/>
    <w:pPr>
      <w:framePr w:wrap="around"/>
    </w:pPr>
    <w:rPr>
      <w:i/>
      <w:lang w:eastAsia="en-GB"/>
    </w:rPr>
  </w:style>
  <w:style w:type="paragraph" w:customStyle="1" w:styleId="Appendix">
    <w:name w:val="Appendix"/>
    <w:basedOn w:val="Nagwek1"/>
    <w:autoRedefine/>
    <w:qFormat/>
    <w:rsid w:val="00D35879"/>
    <w:pPr>
      <w:pageBreakBefore/>
      <w:spacing w:before="240"/>
    </w:pPr>
    <w:rPr>
      <w:rFonts w:cs="Arial"/>
      <w:bCs/>
    </w:rPr>
  </w:style>
  <w:style w:type="paragraph" w:customStyle="1" w:styleId="StyleAppendix2Red">
    <w:name w:val="Style Appendix2 + Red"/>
    <w:basedOn w:val="Normalny"/>
    <w:rsid w:val="00AC47BE"/>
    <w:pPr>
      <w:spacing w:before="120" w:after="120"/>
      <w:ind w:left="792" w:hanging="432"/>
    </w:pPr>
    <w:rPr>
      <w:b/>
      <w:bCs/>
      <w:color w:val="FF0000"/>
      <w:szCs w:val="24"/>
    </w:rPr>
  </w:style>
  <w:style w:type="paragraph" w:styleId="Spistreci1">
    <w:name w:val="toc 1"/>
    <w:basedOn w:val="Normalny"/>
    <w:next w:val="Normalny"/>
    <w:autoRedefine/>
    <w:uiPriority w:val="39"/>
    <w:rsid w:val="00D35879"/>
  </w:style>
  <w:style w:type="paragraph" w:styleId="Spistreci2">
    <w:name w:val="toc 2"/>
    <w:basedOn w:val="Normalny"/>
    <w:next w:val="Normalny"/>
    <w:autoRedefine/>
    <w:uiPriority w:val="39"/>
    <w:rsid w:val="00D35879"/>
    <w:pPr>
      <w:ind w:left="240"/>
    </w:pPr>
  </w:style>
  <w:style w:type="character" w:styleId="Hipercze">
    <w:name w:val="Hyperlink"/>
    <w:basedOn w:val="Domylnaczcionkaakapitu"/>
    <w:uiPriority w:val="99"/>
    <w:rsid w:val="00D35879"/>
    <w:rPr>
      <w:rFonts w:ascii="Arial" w:hAnsi="Arial" w:cs="Times New Roman"/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D35879"/>
    <w:pPr>
      <w:spacing w:after="120"/>
      <w:ind w:left="1710"/>
    </w:pPr>
    <w:rPr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D35879"/>
    <w:rPr>
      <w:rFonts w:ascii="Arial" w:eastAsia="Times New Roman" w:hAnsi="Arial" w:cs="Times New Roman"/>
      <w:sz w:val="24"/>
      <w:szCs w:val="24"/>
    </w:rPr>
  </w:style>
  <w:style w:type="paragraph" w:customStyle="1" w:styleId="Default">
    <w:name w:val="Default"/>
    <w:rsid w:val="00D35879"/>
    <w:pPr>
      <w:autoSpaceDE w:val="0"/>
      <w:autoSpaceDN w:val="0"/>
      <w:adjustRightInd w:val="0"/>
      <w:spacing w:after="120" w:line="240" w:lineRule="auto"/>
    </w:pPr>
    <w:rPr>
      <w:rFonts w:ascii="Arial" w:eastAsia="Times New Roman" w:hAnsi="Arial" w:cs="Book Antiqua"/>
      <w:color w:val="000000"/>
      <w:sz w:val="24"/>
      <w:szCs w:val="24"/>
    </w:rPr>
  </w:style>
  <w:style w:type="paragraph" w:customStyle="1" w:styleId="BodyText4">
    <w:name w:val="Body Text 4"/>
    <w:basedOn w:val="Default"/>
    <w:qFormat/>
    <w:rsid w:val="00D35879"/>
    <w:pPr>
      <w:ind w:left="2610"/>
    </w:pPr>
    <w:rPr>
      <w:rFonts w:cs="Times New Roman"/>
      <w:color w:val="auto"/>
    </w:rPr>
  </w:style>
  <w:style w:type="paragraph" w:customStyle="1" w:styleId="BodyText5">
    <w:name w:val="Body Text 5"/>
    <w:basedOn w:val="Normalny"/>
    <w:qFormat/>
    <w:rsid w:val="00D35879"/>
    <w:pPr>
      <w:spacing w:after="120"/>
      <w:ind w:left="3690"/>
    </w:pPr>
  </w:style>
  <w:style w:type="paragraph" w:customStyle="1" w:styleId="BulletText1">
    <w:name w:val="Bullet Text 1"/>
    <w:basedOn w:val="Normalny"/>
    <w:rsid w:val="00D35879"/>
    <w:pPr>
      <w:numPr>
        <w:numId w:val="2"/>
      </w:numPr>
      <w:spacing w:after="120"/>
    </w:pPr>
    <w:rPr>
      <w:sz w:val="22"/>
    </w:rPr>
  </w:style>
  <w:style w:type="paragraph" w:customStyle="1" w:styleId="BulletText3">
    <w:name w:val="Bullet Text 3"/>
    <w:basedOn w:val="Normalny"/>
    <w:rsid w:val="00D35879"/>
    <w:pPr>
      <w:numPr>
        <w:numId w:val="4"/>
      </w:numPr>
    </w:pPr>
  </w:style>
  <w:style w:type="character" w:customStyle="1" w:styleId="CommentReference">
    <w:name w:val="Comment Reference"/>
    <w:basedOn w:val="Domylnaczcionkaakapitu"/>
    <w:rsid w:val="00D35879"/>
    <w:rPr>
      <w:rFonts w:cs="Times New Roman"/>
      <w:sz w:val="16"/>
      <w:szCs w:val="16"/>
    </w:rPr>
  </w:style>
  <w:style w:type="paragraph" w:customStyle="1" w:styleId="CommentText">
    <w:name w:val="Comment Text"/>
    <w:basedOn w:val="Normalny"/>
    <w:link w:val="CommentTextChar"/>
    <w:uiPriority w:val="99"/>
    <w:rsid w:val="00D35879"/>
    <w:rPr>
      <w:sz w:val="20"/>
    </w:rPr>
  </w:style>
  <w:style w:type="character" w:customStyle="1" w:styleId="CommentTextChar">
    <w:name w:val="Comment Text Char"/>
    <w:basedOn w:val="Domylnaczcionkaakapitu"/>
    <w:link w:val="CommentText"/>
    <w:uiPriority w:val="99"/>
    <w:rsid w:val="00D35879"/>
    <w:rPr>
      <w:rFonts w:ascii="Arial" w:eastAsia="Times New Roman" w:hAnsi="Arial" w:cs="Times New Roman"/>
      <w:sz w:val="20"/>
      <w:szCs w:val="20"/>
    </w:rPr>
  </w:style>
  <w:style w:type="paragraph" w:customStyle="1" w:styleId="CommentSubject">
    <w:name w:val="Comment Subject"/>
    <w:basedOn w:val="CommentText"/>
    <w:next w:val="CommentText"/>
    <w:link w:val="CommentSubjectChar"/>
    <w:rsid w:val="00D358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587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A17973"/>
    <w:rPr>
      <w:rFonts w:ascii="Arial" w:eastAsia="Times New Roman" w:hAnsi="Arial" w:cs="Arial"/>
      <w:iCs/>
      <w:sz w:val="24"/>
      <w:szCs w:val="24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D35879"/>
    <w:rPr>
      <w:rFonts w:ascii="Arial" w:eastAsia="Times New Roman" w:hAnsi="Arial" w:cs="Arial"/>
      <w:bCs/>
      <w:iCs/>
      <w:sz w:val="24"/>
      <w:szCs w:val="24"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D35879"/>
    <w:rPr>
      <w:rFonts w:ascii="Arial" w:eastAsia="Times New Roman" w:hAnsi="Arial" w:cs="Arial"/>
      <w:bCs/>
      <w:iCs/>
      <w:sz w:val="24"/>
      <w:szCs w:val="24"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D35879"/>
    <w:rPr>
      <w:rFonts w:ascii="Arial" w:eastAsia="Times New Roman" w:hAnsi="Arial" w:cs="Arial"/>
      <w:bCs/>
      <w:iCs/>
      <w:sz w:val="24"/>
      <w:szCs w:val="24"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D35879"/>
    <w:rPr>
      <w:rFonts w:ascii="Arial" w:eastAsia="Times New Roman" w:hAnsi="Arial" w:cs="Arial"/>
      <w:iCs/>
      <w:sz w:val="24"/>
      <w:szCs w:val="24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D35879"/>
    <w:rPr>
      <w:rFonts w:ascii="Cambria" w:eastAsia="Times New Roman" w:hAnsi="Cambria" w:cs="Times New Roman"/>
    </w:rPr>
  </w:style>
  <w:style w:type="numbering" w:customStyle="1" w:styleId="Headings">
    <w:name w:val="Headings"/>
    <w:rsid w:val="00D35879"/>
    <w:pPr>
      <w:numPr>
        <w:numId w:val="7"/>
      </w:numPr>
    </w:pPr>
  </w:style>
  <w:style w:type="paragraph" w:customStyle="1" w:styleId="Instruction">
    <w:name w:val="Instruction"/>
    <w:basedOn w:val="Normalny"/>
    <w:next w:val="Tekstpodstawowy"/>
    <w:rsid w:val="00D35879"/>
    <w:rPr>
      <w:i/>
      <w:color w:val="0000FF"/>
      <w:sz w:val="22"/>
    </w:rPr>
  </w:style>
  <w:style w:type="paragraph" w:styleId="NormalnyWeb">
    <w:name w:val="Normal (Web)"/>
    <w:basedOn w:val="Normalny"/>
    <w:rsid w:val="00D35879"/>
    <w:pPr>
      <w:overflowPunct w:val="0"/>
      <w:autoSpaceDE w:val="0"/>
      <w:autoSpaceDN w:val="0"/>
      <w:adjustRightInd w:val="0"/>
      <w:textAlignment w:val="baseline"/>
    </w:pPr>
  </w:style>
  <w:style w:type="character" w:styleId="Numerstrony">
    <w:name w:val="page number"/>
    <w:basedOn w:val="Domylnaczcionkaakapitu"/>
    <w:rsid w:val="00D35879"/>
    <w:rPr>
      <w:rFonts w:ascii="Arial" w:hAnsi="Arial" w:cs="Times New Roman"/>
    </w:rPr>
  </w:style>
  <w:style w:type="paragraph" w:styleId="Podtytu">
    <w:name w:val="Subtitle"/>
    <w:basedOn w:val="Normalny"/>
    <w:link w:val="PodtytuZnak"/>
    <w:qFormat/>
    <w:rsid w:val="00D35879"/>
    <w:pPr>
      <w:spacing w:before="240" w:after="240"/>
    </w:pPr>
    <w:rPr>
      <w:b/>
      <w:bCs/>
      <w:smallCaps/>
      <w:sz w:val="32"/>
    </w:rPr>
  </w:style>
  <w:style w:type="character" w:customStyle="1" w:styleId="PodtytuZnak">
    <w:name w:val="Podtytuł Znak"/>
    <w:basedOn w:val="Domylnaczcionkaakapitu"/>
    <w:link w:val="Podtytu"/>
    <w:rsid w:val="00D35879"/>
    <w:rPr>
      <w:rFonts w:ascii="Arial" w:eastAsia="Times New Roman" w:hAnsi="Arial" w:cs="Times New Roman"/>
      <w:b/>
      <w:bCs/>
      <w:smallCaps/>
      <w:sz w:val="32"/>
      <w:szCs w:val="20"/>
    </w:rPr>
  </w:style>
  <w:style w:type="paragraph" w:customStyle="1" w:styleId="TableBulletPoints">
    <w:name w:val="Table Bullet Points"/>
    <w:basedOn w:val="Normalny"/>
    <w:rsid w:val="00D35879"/>
    <w:pPr>
      <w:numPr>
        <w:numId w:val="5"/>
      </w:numPr>
      <w:spacing w:after="120"/>
    </w:pPr>
    <w:rPr>
      <w:sz w:val="20"/>
      <w:lang w:val="en-GB"/>
    </w:rPr>
  </w:style>
  <w:style w:type="paragraph" w:customStyle="1" w:styleId="TableHeader">
    <w:name w:val="Table Header"/>
    <w:basedOn w:val="Normalny"/>
    <w:rsid w:val="00D35879"/>
    <w:pPr>
      <w:keepNext/>
      <w:spacing w:before="60" w:after="60"/>
      <w:jc w:val="center"/>
    </w:pPr>
    <w:rPr>
      <w:rFonts w:cs="Arial"/>
      <w:b/>
      <w:bCs/>
      <w:sz w:val="22"/>
    </w:rPr>
  </w:style>
  <w:style w:type="paragraph" w:customStyle="1" w:styleId="TableText">
    <w:name w:val="Table Text"/>
    <w:basedOn w:val="Normalny"/>
    <w:rsid w:val="00D35879"/>
    <w:pPr>
      <w:overflowPunct w:val="0"/>
      <w:autoSpaceDE w:val="0"/>
      <w:autoSpaceDN w:val="0"/>
      <w:adjustRightInd w:val="0"/>
      <w:spacing w:after="120"/>
      <w:textAlignment w:val="baseline"/>
    </w:pPr>
    <w:rPr>
      <w:noProof/>
      <w:sz w:val="20"/>
    </w:rPr>
  </w:style>
  <w:style w:type="paragraph" w:styleId="Tytu">
    <w:name w:val="Title"/>
    <w:basedOn w:val="Normalny"/>
    <w:link w:val="TytuZnak"/>
    <w:qFormat/>
    <w:rsid w:val="00D35879"/>
    <w:pPr>
      <w:spacing w:before="720" w:after="720"/>
      <w:jc w:val="center"/>
    </w:pPr>
    <w:rPr>
      <w:b/>
      <w:sz w:val="40"/>
    </w:rPr>
  </w:style>
  <w:style w:type="character" w:customStyle="1" w:styleId="TytuZnak">
    <w:name w:val="Tytuł Znak"/>
    <w:basedOn w:val="Domylnaczcionkaakapitu"/>
    <w:link w:val="Tytu"/>
    <w:rsid w:val="00D35879"/>
    <w:rPr>
      <w:rFonts w:ascii="Arial" w:eastAsia="Times New Roman" w:hAnsi="Arial" w:cs="Times New Roman"/>
      <w:b/>
      <w:sz w:val="40"/>
      <w:szCs w:val="20"/>
    </w:rPr>
  </w:style>
  <w:style w:type="paragraph" w:customStyle="1" w:styleId="TOC11">
    <w:name w:val="TOC 11"/>
    <w:basedOn w:val="Normalny"/>
    <w:next w:val="Normalny"/>
    <w:autoRedefine/>
    <w:semiHidden/>
    <w:rsid w:val="00D35879"/>
    <w:rPr>
      <w:caps/>
    </w:rPr>
  </w:style>
  <w:style w:type="paragraph" w:styleId="Spistreci3">
    <w:name w:val="toc 3"/>
    <w:basedOn w:val="Normalny"/>
    <w:next w:val="Normalny"/>
    <w:autoRedefine/>
    <w:uiPriority w:val="39"/>
    <w:rsid w:val="00D35879"/>
    <w:pPr>
      <w:ind w:left="480"/>
    </w:pPr>
  </w:style>
  <w:style w:type="paragraph" w:styleId="Spistreci4">
    <w:name w:val="toc 4"/>
    <w:basedOn w:val="Normalny"/>
    <w:next w:val="Normalny"/>
    <w:autoRedefine/>
    <w:rsid w:val="00D35879"/>
    <w:pPr>
      <w:ind w:left="720"/>
    </w:pPr>
  </w:style>
  <w:style w:type="paragraph" w:styleId="Spistreci5">
    <w:name w:val="toc 5"/>
    <w:basedOn w:val="Normalny"/>
    <w:next w:val="Normalny"/>
    <w:autoRedefine/>
    <w:rsid w:val="00D35879"/>
    <w:pPr>
      <w:ind w:left="960"/>
    </w:pPr>
  </w:style>
  <w:style w:type="paragraph" w:styleId="Spistreci6">
    <w:name w:val="toc 6"/>
    <w:basedOn w:val="Normalny"/>
    <w:next w:val="Normalny"/>
    <w:autoRedefine/>
    <w:rsid w:val="00D35879"/>
    <w:pPr>
      <w:ind w:left="1200"/>
    </w:pPr>
  </w:style>
  <w:style w:type="paragraph" w:styleId="Spistreci7">
    <w:name w:val="toc 7"/>
    <w:basedOn w:val="Normalny"/>
    <w:next w:val="Normalny"/>
    <w:autoRedefine/>
    <w:rsid w:val="00D35879"/>
    <w:pPr>
      <w:ind w:left="1440"/>
    </w:pPr>
  </w:style>
  <w:style w:type="paragraph" w:styleId="Spistreci8">
    <w:name w:val="toc 8"/>
    <w:basedOn w:val="Normalny"/>
    <w:next w:val="Normalny"/>
    <w:autoRedefine/>
    <w:rsid w:val="00D35879"/>
    <w:pPr>
      <w:ind w:left="1680"/>
    </w:pPr>
  </w:style>
  <w:style w:type="paragraph" w:styleId="Spistreci9">
    <w:name w:val="toc 9"/>
    <w:basedOn w:val="Normalny"/>
    <w:next w:val="Normalny"/>
    <w:autoRedefine/>
    <w:rsid w:val="00D35879"/>
    <w:pPr>
      <w:ind w:left="1920"/>
    </w:pPr>
  </w:style>
  <w:style w:type="paragraph" w:customStyle="1" w:styleId="Tabela">
    <w:name w:val="Tabela"/>
    <w:basedOn w:val="Normalny"/>
    <w:rsid w:val="00D83767"/>
    <w:pPr>
      <w:tabs>
        <w:tab w:val="left" w:pos="284"/>
        <w:tab w:val="left" w:pos="567"/>
      </w:tabs>
      <w:spacing w:before="60" w:after="60"/>
      <w:jc w:val="both"/>
    </w:pPr>
    <w:rPr>
      <w:sz w:val="20"/>
      <w:lang w:val="pl-PL" w:eastAsia="pl-PL"/>
    </w:rPr>
  </w:style>
  <w:style w:type="paragraph" w:styleId="Legenda">
    <w:name w:val="caption"/>
    <w:basedOn w:val="Normalny"/>
    <w:next w:val="Normalny"/>
    <w:qFormat/>
    <w:rsid w:val="000F667D"/>
    <w:pPr>
      <w:widowControl w:val="0"/>
      <w:suppressAutoHyphens/>
    </w:pPr>
    <w:rPr>
      <w:rFonts w:ascii="Times New Roman" w:eastAsia="Arial Unicode MS" w:hAnsi="Times New Roman"/>
      <w:b/>
      <w:bCs/>
      <w:kern w:val="1"/>
      <w:szCs w:val="24"/>
      <w:lang w:val="pl-PL"/>
    </w:rPr>
  </w:style>
  <w:style w:type="paragraph" w:styleId="Tekstprzypisudolnego">
    <w:name w:val="footnote text"/>
    <w:basedOn w:val="Normalny"/>
    <w:link w:val="TekstprzypisudolnegoZnak"/>
    <w:uiPriority w:val="99"/>
    <w:rsid w:val="00447EC1"/>
    <w:rPr>
      <w:rFonts w:ascii="Times New Roman" w:eastAsia="Calibri" w:hAnsi="Times New Roman"/>
      <w:szCs w:val="24"/>
      <w:lang w:val="x-none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47EC1"/>
    <w:rPr>
      <w:rFonts w:ascii="Times New Roman" w:eastAsia="Calibri" w:hAnsi="Times New Roman" w:cs="Times New Roman"/>
      <w:sz w:val="24"/>
      <w:szCs w:val="24"/>
      <w:lang w:val="x-none" w:eastAsia="pl-PL"/>
    </w:rPr>
  </w:style>
  <w:style w:type="character" w:styleId="Odwoanieprzypisudolnego">
    <w:name w:val="footnote reference"/>
    <w:rsid w:val="00447EC1"/>
    <w:rPr>
      <w:rFonts w:cs="Times New Roman"/>
      <w:vertAlign w:val="superscript"/>
    </w:rPr>
  </w:style>
  <w:style w:type="character" w:customStyle="1" w:styleId="apple-converted-space">
    <w:name w:val="apple-converted-space"/>
    <w:basedOn w:val="Domylnaczcionkaakapitu"/>
    <w:rsid w:val="00553E2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60D5"/>
    <w:pPr>
      <w:spacing w:after="200" w:line="276" w:lineRule="auto"/>
    </w:pPr>
    <w:rPr>
      <w:rFonts w:ascii="Calibri" w:eastAsia="Calibri" w:hAnsi="Calibri"/>
      <w:sz w:val="20"/>
      <w:lang w:val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60D5"/>
    <w:rPr>
      <w:rFonts w:ascii="Calibri" w:eastAsia="Calibri" w:hAnsi="Calibri" w:cs="Times New Roman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60D5"/>
    <w:rPr>
      <w:vertAlign w:val="superscript"/>
    </w:rPr>
  </w:style>
  <w:style w:type="paragraph" w:styleId="Akapitzlist">
    <w:name w:val="List Paragraph"/>
    <w:aliases w:val="L1,Numerowanie,Normalny PDST,lp1,Preambuła,HŁ_Bullet1"/>
    <w:basedOn w:val="Normalny"/>
    <w:link w:val="AkapitzlistZnak"/>
    <w:uiPriority w:val="34"/>
    <w:qFormat/>
    <w:rsid w:val="00734933"/>
    <w:pPr>
      <w:spacing w:line="360" w:lineRule="auto"/>
      <w:ind w:left="720"/>
      <w:contextualSpacing/>
      <w:jc w:val="both"/>
    </w:pPr>
    <w:rPr>
      <w:sz w:val="22"/>
      <w:szCs w:val="24"/>
      <w:lang w:val="pl-PL" w:eastAsia="pl-PL"/>
    </w:rPr>
  </w:style>
  <w:style w:type="paragraph" w:styleId="Poprawka">
    <w:name w:val="Revision"/>
    <w:hidden/>
    <w:uiPriority w:val="99"/>
    <w:semiHidden/>
    <w:rsid w:val="00F710D4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AkapitzlistZnak">
    <w:name w:val="Akapit z listą Znak"/>
    <w:aliases w:val="L1 Znak,Numerowanie Znak,Normalny PDST Znak,lp1 Znak,Preambuła Znak,HŁ_Bullet1 Znak"/>
    <w:basedOn w:val="Domylnaczcionkaakapitu"/>
    <w:link w:val="Akapitzlist"/>
    <w:uiPriority w:val="34"/>
    <w:locked/>
    <w:rsid w:val="00BE75A7"/>
    <w:rPr>
      <w:rFonts w:ascii="Arial" w:eastAsia="Times New Roman" w:hAnsi="Arial" w:cs="Times New Roman"/>
      <w:szCs w:val="24"/>
      <w:lang w:val="pl-PL" w:eastAsia="pl-PL"/>
    </w:rPr>
  </w:style>
  <w:style w:type="paragraph" w:customStyle="1" w:styleId="Poletabeli">
    <w:name w:val="Pole tabeli"/>
    <w:basedOn w:val="Normalny"/>
    <w:link w:val="PoletabeliZnak"/>
    <w:rsid w:val="0032240B"/>
    <w:pPr>
      <w:spacing w:before="60" w:after="20"/>
    </w:pPr>
    <w:rPr>
      <w:rFonts w:ascii="Verdana" w:hAnsi="Verdana"/>
      <w:kern w:val="32"/>
      <w:sz w:val="16"/>
      <w:lang w:val="x-none" w:eastAsia="x-none"/>
    </w:rPr>
  </w:style>
  <w:style w:type="paragraph" w:customStyle="1" w:styleId="Nagwektabeli">
    <w:name w:val="Nagłówek tabeli"/>
    <w:basedOn w:val="Normalny"/>
    <w:rsid w:val="0032240B"/>
    <w:pPr>
      <w:spacing w:before="60" w:after="60"/>
    </w:pPr>
    <w:rPr>
      <w:rFonts w:ascii="Verdana" w:hAnsi="Verdana"/>
      <w:b/>
      <w:kern w:val="28"/>
      <w:sz w:val="16"/>
      <w:lang w:val="pl-PL" w:eastAsia="pl-PL"/>
    </w:rPr>
  </w:style>
  <w:style w:type="character" w:customStyle="1" w:styleId="PoletabeliZnak">
    <w:name w:val="Pole tabeli Znak"/>
    <w:link w:val="Poletabeli"/>
    <w:rsid w:val="0032240B"/>
    <w:rPr>
      <w:rFonts w:ascii="Verdana" w:eastAsia="Times New Roman" w:hAnsi="Verdana" w:cs="Times New Roman"/>
      <w:kern w:val="32"/>
      <w:sz w:val="16"/>
      <w:szCs w:val="20"/>
      <w:lang w:val="x-none" w:eastAsia="x-none"/>
    </w:rPr>
  </w:style>
  <w:style w:type="character" w:styleId="Odwoaniedokomentarza">
    <w:name w:val="annotation reference"/>
    <w:basedOn w:val="Domylnaczcionkaakapitu"/>
    <w:semiHidden/>
    <w:unhideWhenUsed/>
    <w:rsid w:val="008236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2364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23642"/>
    <w:rPr>
      <w:rFonts w:ascii="Arial" w:eastAsia="Times New Roman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236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23642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3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5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7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1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74BF97699224BA0B33DB20B8FD329" ma:contentTypeVersion="0" ma:contentTypeDescription="Create a new document." ma:contentTypeScope="" ma:versionID="bc26d6e56a073341140e0971ba58b3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33109b9974763cd198f57aa846750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FA8675-42EF-459B-8F83-3C83E16703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296EB8-CC88-4CBE-9494-20C6F3AF3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981B98-D58A-46DB-83BD-91CFDA7260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342041-EEB5-4119-A919-7964EDCC78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24</Pages>
  <Words>6536</Words>
  <Characters>39216</Characters>
  <Application>Microsoft Office Word</Application>
  <DocSecurity>0</DocSecurity>
  <Lines>326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SOP 002 – SZCZEGÓŁOWY OPIS PROJEKTU&lt;nazwa projektu&gt;</vt:lpstr>
    </vt:vector>
  </TitlesOfParts>
  <Company>Pfizer Inc</Company>
  <LinksUpToDate>false</LinksUpToDate>
  <CharactersWithSpaces>45661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002 – SZCZEGÓŁOWY OPIS PROJEKTU&lt;nazwa projektu&gt;</dc:title>
  <dc:subject/>
  <dc:creator>Szymanek Violetta</dc:creator>
  <cp:keywords/>
  <dc:description/>
  <cp:lastModifiedBy>Adam Kozień</cp:lastModifiedBy>
  <cp:revision>6</cp:revision>
  <cp:lastPrinted>2026-06-30T18:29:00Z</cp:lastPrinted>
  <dcterms:created xsi:type="dcterms:W3CDTF">2026-06-30T20:59:00Z</dcterms:created>
  <dcterms:modified xsi:type="dcterms:W3CDTF">2026-06-30T21:41:00Z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0x01010017174BF97699224BA0B33DB20B8FD329</vt:lpwstr>
  </property>
  <property fmtid="{D5CDD505-2E9C-101B-9397-08002B2CF9AE}" pid="3" name="Order">
    <vt:r8>9800</vt:r8>
  </property>
  <property fmtid="{D5CDD505-2E9C-101B-9397-08002B2CF9AE}" pid="4" name="xd_ProgID">
    <vt:lpwstr/>
  </property>
  <property fmtid="{D5CDD505-2E9C-101B-9397-08002B2CF9AE}" pid="5" name="TemplateUrl">
    <vt:lpwstr/>
  </property>
</Properties>
</file>