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83F4" w14:textId="77777777" w:rsidR="00311296" w:rsidRPr="00311296" w:rsidRDefault="00311296" w:rsidP="0031129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31129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Dział XII</w:t>
      </w:r>
    </w:p>
    <w:p w14:paraId="1791DF17" w14:textId="77777777" w:rsidR="00311296" w:rsidRPr="00311296" w:rsidRDefault="00311296" w:rsidP="00311296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udzielania kredytów </w:t>
      </w:r>
      <w:r w:rsidRPr="003112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poprawę płynności finansowej dla podmiotu prowadzącego działalność w zakresie obrotu zbożami lub skupu zbóż lub obrotu materiałem siewnym roślin rolniczych lub skupu lub mrożenia owoców miękkich </w:t>
      </w:r>
      <w:r w:rsidRPr="003112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(linia S)</w:t>
      </w:r>
    </w:p>
    <w:p w14:paraId="522838B7" w14:textId="77777777" w:rsidR="00311296" w:rsidRPr="00311296" w:rsidRDefault="00311296" w:rsidP="00311296">
      <w:pPr>
        <w:spacing w:after="0" w:line="235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14A9A2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</w:p>
    <w:p w14:paraId="6FBC8DEE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Rozdział I.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Cel i przeznaczenie kredytu</w:t>
      </w:r>
    </w:p>
    <w:p w14:paraId="2F9DDAD3" w14:textId="77777777" w:rsidR="00311296" w:rsidRPr="00311296" w:rsidRDefault="00311296" w:rsidP="00311296">
      <w:pPr>
        <w:spacing w:after="0" w:line="235" w:lineRule="auto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</w:p>
    <w:p w14:paraId="55E091C4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Pomoc w postaci dopłat do oprocentowania kredytów udzielana jest zgodnie z:</w:t>
      </w:r>
    </w:p>
    <w:p w14:paraId="2344E020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warunkami określonymi w Komunikacie Komisji Tymczasowe kryzysowe ramy środków pomocy państwa w celu wsparcia gospodarki po agresji Rosji wobec Ukrainy (Dz. U. UE C 101/3 z 17.03.2023 r. z późn. zm.), zwanego dalej „tymczasowymi kryzysowymi ramami”,</w:t>
      </w:r>
    </w:p>
    <w:p w14:paraId="2456EFE3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przepisami § 13zy rozporządzenia Rady Ministrów z dnia 27 stycznia 2015 r. w sprawie szczegółowego zakresu i sposobów realizacji niektórych zadań Agencji Restrukturyzacji i Modernizacji Rolnictwa (Dz. U. z 2015 r. poz. 187 z późn. zm.).</w:t>
      </w:r>
    </w:p>
    <w:p w14:paraId="363D9D26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291CB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Kredyty mogą być udzielane przez banki nie później niż do dnia 30 czerwca 2024 r. </w:t>
      </w:r>
      <w:bookmarkStart w:id="0" w:name="_Hlk136247452"/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poprawę płynności finansowej dla podmiotu prowadzącego działalność w zakresie obrotu zbożami lub skupu zbóż, lub obrotu materiałem siewnym roślin rolniczych, lub skupu lub mrożenia owoców miękkich (cel kredytu – UP </w:t>
      </w:r>
      <w:r w:rsidRPr="0031129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utrzymanie płynności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bookmarkEnd w:id="0"/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podmiot, o którym mowa w rozdziale II.</w:t>
      </w:r>
    </w:p>
    <w:p w14:paraId="67601487" w14:textId="77777777" w:rsidR="00311296" w:rsidRPr="00311296" w:rsidRDefault="00311296" w:rsidP="00311296">
      <w:pPr>
        <w:widowControl w:val="0"/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005B94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Kredyty mogą zostać przeznaczone na finansowanie działalności, o której mowa 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rozdziale II ust. 1 pkt 1 i 2, w tym również na refinansowanie już poniesionych wydatków i spłatę kredytów zaciągniętych na finansowanie tych wydatków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C6231E" w14:textId="77777777" w:rsidR="00311296" w:rsidRPr="00311296" w:rsidRDefault="00311296" w:rsidP="00311296">
      <w:pPr>
        <w:widowControl w:val="0"/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3E1489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Kredytowaniem objęta jest następująca działalność:</w:t>
      </w:r>
    </w:p>
    <w:p w14:paraId="08A68F0F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sprzedaż (obrót i skup) hurtowa zboża i nasion – 46.21.Z, </w:t>
      </w:r>
    </w:p>
    <w:p w14:paraId="78CAEA45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sprzedaż hurtowa świeżych owoców miękkich oraz sprzedaż hurtowa zakonserwowanych (mrożonych) owoców miękkich – 46.31.Z,</w:t>
      </w:r>
    </w:p>
    <w:p w14:paraId="1B8A3F45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konserwowanie owoców poprzez zamrażanie – 10.39.Z,</w:t>
      </w:r>
    </w:p>
    <w:p w14:paraId="21AA0A9E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destylowanie, rektyfikowanie i mieszanie alkoholi – 11.01.Z.</w:t>
      </w:r>
    </w:p>
    <w:p w14:paraId="13660CFE" w14:textId="77777777" w:rsidR="00311296" w:rsidRPr="00311296" w:rsidRDefault="00311296" w:rsidP="00311296">
      <w:pPr>
        <w:widowControl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0D2B96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Rozdział II.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Kredytobiorcy</w:t>
      </w:r>
    </w:p>
    <w:p w14:paraId="0D4E05FE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48955A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40067184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End w:id="1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Kredyt może zostać udzielony podmiotowi: </w:t>
      </w:r>
    </w:p>
    <w:p w14:paraId="4C965A63" w14:textId="77777777" w:rsidR="00311296" w:rsidRPr="00311296" w:rsidRDefault="00311296" w:rsidP="00311296">
      <w:pPr>
        <w:widowControl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prowadzącemu działalność w zakresie obrotu zbożami lub skupu zbóż, lub obrotu materiałem siewnym roślin rolniczych, o którym mowa w przepisach o nasiennictwie lub skupu lub mrożenia owoców miękkich, jeżeli nabył zboża w okresie od dnia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 października 2022 r. do dnia 31 sierpnia 2023 r., nasiona roślin rolniczych od dnia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 czerwca 2023 r. do dnia 15 października 2023 r. lub owoce miękkie w okresie od dnia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 czerwca 2023 r. do dnia 30 września 2023 r. od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3F1666C0" w14:textId="77777777" w:rsidR="00311296" w:rsidRPr="00311296" w:rsidRDefault="00311296" w:rsidP="00311296">
      <w:pPr>
        <w:widowControl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producenta rolnego, któremu został nadany numer identyfikacyjny w trybie przepisów o krajowym systemie ewidencji producentów, ewidencji gospodarstw rolnych oraz ewidencji wniosków o przyznanie płatności, lub</w:t>
      </w:r>
    </w:p>
    <w:p w14:paraId="5970A4F9" w14:textId="77777777" w:rsidR="00311296" w:rsidRPr="00311296" w:rsidRDefault="00311296" w:rsidP="00311296">
      <w:pPr>
        <w:widowControl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podmiotu </w:t>
      </w:r>
      <w:bookmarkStart w:id="2" w:name="_Hlk140150675"/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prowadzącego działalność w zakresie obrotu zbożami lub skupu zbóż lub skupu owoców miękkich, który nabywa zboża lub owoce miękkie od producenta rolnego, któremu został nadany numer identyfikacyjny w trybie przepisów o krajowym systemie ewidencji producentów, ewidencji gospodarstw rolnych oraz ewidencji wniosków o przyznanie płatnośc</w:t>
      </w:r>
      <w:bookmarkEnd w:id="2"/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i;</w:t>
      </w:r>
    </w:p>
    <w:p w14:paraId="5175BA66" w14:textId="77777777" w:rsidR="00311296" w:rsidRPr="00311296" w:rsidRDefault="00311296" w:rsidP="00311296">
      <w:pPr>
        <w:widowControl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7CC202" w14:textId="77777777" w:rsidR="00311296" w:rsidRPr="00311296" w:rsidRDefault="00311296" w:rsidP="00311296">
      <w:pPr>
        <w:widowControl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3" w:name="_Hlk165976142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prowadzącemu działalność </w:t>
      </w:r>
      <w:bookmarkStart w:id="4" w:name="_Hlk166142888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oznaczoną kodem 11.01.Z zgodnie z klasyfikacją w Polskiej Klasyfikacji Działalności</w:t>
      </w:r>
      <w:bookmarkEnd w:id="4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, jeżeli nabył kukurydzę w okresie od dnia 1 października 2022 r. do dnia 31 grudnia 2022 r.</w:t>
      </w:r>
      <w:bookmarkEnd w:id="3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producenta rolnego lub podmiotu, o których mowa w pkt 1;</w:t>
      </w:r>
    </w:p>
    <w:p w14:paraId="492B903B" w14:textId="77777777" w:rsidR="00311296" w:rsidRPr="00311296" w:rsidRDefault="00311296" w:rsidP="00311296">
      <w:pPr>
        <w:widowControl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będącemu mikroprzedsiębiorstwem, małym albo średnim przedsiębiorstwem w rozumieniu załącznika I do rozporządzenia Komisji (UE) nr </w:t>
      </w:r>
      <w:bookmarkStart w:id="5" w:name="_Hlk146804303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651/2014 z dnia 17 czerwca 2014 r. uznającego niektóre rodzaje pomocy za zgodne z rynkiem wewnętrznym w zastosowaniu art. 107 i 108 Traktatu (Dz. Urz. UE L 187 z 26.06.2014, str. 1, z późn. zm.)</w:t>
      </w:r>
      <w:bookmarkEnd w:id="5"/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; </w:t>
      </w:r>
    </w:p>
    <w:p w14:paraId="2749088B" w14:textId="77777777" w:rsidR="00311296" w:rsidRPr="00311296" w:rsidRDefault="00311296" w:rsidP="00311296">
      <w:pPr>
        <w:widowControl w:val="0"/>
        <w:spacing w:after="0" w:line="240" w:lineRule="auto"/>
        <w:ind w:left="567" w:hanging="284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celu poprawy płynności finansowej w związku z ograniczeniami na rynku rolnym spowodowanymi agresją Federacji Rosyjskiej wobec Ukrainy</w:t>
      </w:r>
      <w:r w:rsidRPr="00311296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37D97F8F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F5A3B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zbóż, o których mowa w ust. 1 pkt 1, zalicza się pszenicę, żyto, pszenżyto, jęczmień, owies, kukurydzę, proso.</w:t>
      </w:r>
    </w:p>
    <w:p w14:paraId="383555A3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231DA3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materiału siewnego roślin rolniczych, o którym mowa w ust. 1 pkt 1, zalicza się nasiona roślin rolniczych odmian gatunków objętych przepisami rozporządzenia Ministra Rolnictwa i Rozwoju Wsi z dnia 18 kwietnia 2013 r. </w:t>
      </w:r>
      <w:r w:rsidRPr="003112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sprawie terminów składania wniosków o dokonanie oceny polowej materiału siewnego poszczególnych grup roślin lub gatunków roślin rolniczych i warzywnych oraz szczegółowych wymagań w zakresie wytwarzania i jakości materiału siewnego tych roślin (Dz. U. poz. 517 z późn. zm.)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w przypadku ziemniaka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bulwy zwane sadzeniakami ziemniaka.</w:t>
      </w:r>
    </w:p>
    <w:p w14:paraId="6B34E4BB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37D723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o</w:t>
      </w:r>
      <w:r w:rsidRPr="003112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woców miękkich zalicza się maliny, jeżyny, poziomki, truskawki, borówki, aronia, agrest, porzeczki, jagody, winogrona, wiśnie, czereśnie.</w:t>
      </w:r>
    </w:p>
    <w:p w14:paraId="644547A2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</w:p>
    <w:p w14:paraId="50D9FD99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Rozdział III.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 xml:space="preserve"> </w:t>
      </w: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Wysokość kredytu i wkład własny</w:t>
      </w:r>
    </w:p>
    <w:p w14:paraId="55E2B810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BC23B6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311296">
        <w:rPr>
          <w:rFonts w:ascii="Times" w:eastAsia="Times New Roman" w:hAnsi="Times" w:cs="Arial"/>
          <w:bCs/>
          <w:sz w:val="24"/>
          <w:szCs w:val="24"/>
          <w:lang w:eastAsia="pl-PL"/>
        </w:rPr>
        <w:t>1.</w:t>
      </w:r>
      <w:r w:rsidRPr="00311296">
        <w:rPr>
          <w:rFonts w:ascii="Times" w:eastAsia="Times New Roman" w:hAnsi="Times" w:cs="Arial"/>
          <w:bCs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Kwota kredytów udzielonych podmiotowi prowadzącemu działalność w zakresie obrotu zbożami lub skupu zbóż, lub obrotu materiałem siewnym roślin rolniczych, o którym mowa w przepisach o nasiennictwie, lub skupu lub mrożenia owoców miękkich lub podmiotowi prowadzącemu działalność oznaczoną kodem 11.01.Z zgodnie z klasyfikacją w Polskiej Klasyfikacji Działalności nie może przekroczyć kwoty 40 mln zł i jednocześnie:</w:t>
      </w:r>
    </w:p>
    <w:p w14:paraId="4DB2FE85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1)</w:t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ab/>
        <w:t>kwoty, za którą zostały skupione zboża w okresie od dnia 1 października 2022 r. do dnia 31 sierpnia 2023 r. - w przypadku podmiotów prowadzących działalność w zakresie skupu zbóż lub</w:t>
      </w:r>
    </w:p>
    <w:p w14:paraId="66DB0277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2)</w:t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ab/>
        <w:t>kwoty, za którą zostały skupione nasiona roślin rolniczych z plantacji nasiennych w okresie od dnia 1 czerwca 2023 r. do dnia 15 października 2023 r. - w przypadku podmiotów prowadzących obrót materiałem siewnym roślin rolniczych lub</w:t>
      </w:r>
    </w:p>
    <w:p w14:paraId="7AFA7A60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3)</w:t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ab/>
        <w:t>kwoty, za którą została nabyta kukurydza w okresie od dnia 1 października 2022 r. do dnia 31 grudnia 2022 r. - w przypadku podmiotów prowadzących działalność oznaczoną kodem 11.01.Z zgodnie z klasyfikacją w Polskiej Klasyfikacji Działalności, lub</w:t>
      </w:r>
    </w:p>
    <w:p w14:paraId="7635AB55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4)</w:t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ab/>
        <w:t>kwoty, za którą zostały skupione owoce miękkie w okresie od dnia 1 czerwca 2023 r. do dnia 30 września 2023 r. - w przypadku podmiotów prowadzących działalność w zakresie skupu owoców miękkich albo</w:t>
      </w:r>
    </w:p>
    <w:p w14:paraId="03FAE2D4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eastAsia="Times New Roman" w:hAnsi="Times New Roman" w:cs="Arial"/>
          <w:bCs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5)</w:t>
      </w:r>
      <w:r w:rsidRPr="0031129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ab/>
        <w:t>sumy iloczynu liczby ton skupionych owoców miękkich i kwoty 2000 zł oraz kwoty, za którą zostały skupione owoce miękkie w okresie od dnia 1 czerwca 2023 r. do dnia 30 września 2023 r. - w przypadku podmiotów prowadzących działalność w zakresie skupu i mrożenia owoców miękkich</w:t>
      </w:r>
      <w:r w:rsidRPr="00311296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.</w:t>
      </w:r>
    </w:p>
    <w:p w14:paraId="4ADC97BC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0BB5F465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D8C26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>Suma kwot udzielonych kredytów z linii S nie może przekroczyć kwot, o których mowa w ust. 1</w:t>
      </w:r>
      <w:r w:rsidRPr="00311296">
        <w:rPr>
          <w:rFonts w:ascii="Times New Roman" w:eastAsia="Times New Roman" w:hAnsi="Times New Roman" w:cs="Times New Roman"/>
          <w:spacing w:val="-4"/>
          <w:sz w:val="24"/>
          <w:szCs w:val="20"/>
          <w:lang w:eastAsia="pl-PL"/>
        </w:rPr>
        <w:t>.</w:t>
      </w:r>
    </w:p>
    <w:p w14:paraId="2BA67642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2C137D65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 ustalaniu kwoty kredytu nie uwzględnia się udzielonych kredytobiorcy kwot kredytów preferencyjnych z innych linii kredytowych.</w:t>
      </w:r>
    </w:p>
    <w:p w14:paraId="02BE671C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5D86415C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 kredytobiorcy nie wymaga się wniesienia wkładu własnego.</w:t>
      </w:r>
    </w:p>
    <w:p w14:paraId="02865C5E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922284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IV. Wysokość oprocentowania</w:t>
      </w:r>
    </w:p>
    <w:p w14:paraId="3C430DC7" w14:textId="77777777" w:rsidR="00311296" w:rsidRPr="00311296" w:rsidRDefault="00311296" w:rsidP="00311296">
      <w:pPr>
        <w:widowControl w:val="0"/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46461" w14:textId="77777777" w:rsidR="00311296" w:rsidRPr="00311296" w:rsidRDefault="00311296" w:rsidP="00311296">
      <w:p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311296">
        <w:rPr>
          <w:rFonts w:ascii="Times" w:eastAsia="Times New Roman" w:hAnsi="Times" w:cs="Arial"/>
          <w:sz w:val="24"/>
          <w:szCs w:val="24"/>
          <w:lang w:eastAsia="pl-PL"/>
        </w:rPr>
        <w:t>1.</w:t>
      </w:r>
      <w:r w:rsidRPr="00311296">
        <w:rPr>
          <w:rFonts w:ascii="Times" w:eastAsia="Times New Roman" w:hAnsi="Times" w:cs="Arial"/>
          <w:sz w:val="24"/>
          <w:szCs w:val="24"/>
          <w:lang w:eastAsia="pl-PL"/>
        </w:rPr>
        <w:tab/>
      </w:r>
      <w:r w:rsidRPr="00311296">
        <w:rPr>
          <w:rFonts w:ascii="Times" w:eastAsia="Times New Roman" w:hAnsi="Times" w:cs="Arial"/>
          <w:sz w:val="24"/>
          <w:szCs w:val="20"/>
          <w:lang w:eastAsia="pl-PL"/>
        </w:rPr>
        <w:t>Oprocentowanie kredytu może być zmienne i nie może wynosić więcej niż stopa referencyjna WIBOR ustalana dla pożyczek na rynku międzybankowym udzielanych na okres 3 miesięcy (WIBOR 3M), zaokrąglona do drugiego miejsca po przecinku, powiększona nie więcej niż o 2,5 punkty procentowe.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14:paraId="533BDC51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8"/>
          <w:szCs w:val="8"/>
          <w:lang w:eastAsia="pl-PL"/>
        </w:rPr>
      </w:pPr>
    </w:p>
    <w:p w14:paraId="3A7FEBAA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2.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>Oprocentowanie należne bankowi jest płacone przez:</w:t>
      </w:r>
    </w:p>
    <w:p w14:paraId="5880A33C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1)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 xml:space="preserve">kredytobiorcę - w wysokości 2%; </w:t>
      </w:r>
    </w:p>
    <w:p w14:paraId="5A0323C4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2)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 xml:space="preserve">Agencję - w pozostałej części. </w:t>
      </w:r>
    </w:p>
    <w:p w14:paraId="457FF06B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58370705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Bank nie może stosować kapitalizacji odsetek lub pobierać ich z góry.</w:t>
      </w:r>
    </w:p>
    <w:p w14:paraId="521535F7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C414D5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V. Wysokość pomocy</w:t>
      </w:r>
    </w:p>
    <w:p w14:paraId="075FE987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8E91B9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Maksymalna kwota dopłat określana jest w umowie kredytu wg oprocentowania obowiązującego w dniu jej zawarcia.</w:t>
      </w:r>
    </w:p>
    <w:p w14:paraId="49792A18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4850A3EC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dzień zawarcia umowy kredytu ustala się wysokość pomocy dyskontując wartości bieżące kwot dopłat rozłożonych w czasie do ich wartości w dniu udzielenia kredytu,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wg wzoru określonego w załączniku nr 2 i wpisuje w umowie kredytu.</w:t>
      </w:r>
    </w:p>
    <w:p w14:paraId="58AD8055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1321106D" w14:textId="77777777" w:rsidR="00311296" w:rsidRPr="00311296" w:rsidRDefault="00311296" w:rsidP="00311296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Pomoc polega na stosowaniu w okresie kredytowania, ale przez okres nie dłuższy niż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18 miesięcy licząc od daty zawarcia umowy kredytu, dopłat do oprocentowania kredytu udzielonego podmiotowi, o którym mowa w rozdziale II.</w:t>
      </w:r>
    </w:p>
    <w:p w14:paraId="767FED60" w14:textId="77777777" w:rsidR="00311296" w:rsidRPr="00311296" w:rsidRDefault="00311296" w:rsidP="00311296">
      <w:pPr>
        <w:widowControl w:val="0"/>
        <w:spacing w:after="0" w:line="235" w:lineRule="auto"/>
        <w:ind w:left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24C27C87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301C3C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przypadku, gdy kredyt udzielony jest na okres dłuższy niż 18 miesięcy, po upływie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18 miesięcy od dnia zawarcia umowy kredytu dopłaty do jego oprocentowania nie są stosowane.</w:t>
      </w:r>
    </w:p>
    <w:p w14:paraId="54B817CA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35759319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Bank nie ponosi odpowiedzialności za przekroczenie wysokości pomocy publicznej uzyskanej przez kredytobiorcę z innych tytułów.</w:t>
      </w:r>
    </w:p>
    <w:p w14:paraId="7A990370" w14:textId="77777777" w:rsidR="00311296" w:rsidRPr="00311296" w:rsidRDefault="00311296" w:rsidP="0031129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5EC54" w14:textId="77777777" w:rsidR="00311296" w:rsidRPr="00311296" w:rsidRDefault="00311296" w:rsidP="0031129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Niniejsza pomoc, z zastrzeżeniem ust. 7, może być kumulowana z innymi pomocami przyznanymi na podstawie „tymczasowych kryzysowych ram” w związku z prowadzeniem działalności w zakresie:</w:t>
      </w:r>
    </w:p>
    <w:p w14:paraId="58E82A1B" w14:textId="77777777" w:rsidR="00311296" w:rsidRPr="00311296" w:rsidRDefault="00311296" w:rsidP="00311296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w sektorach produkcji podstawowej produktów rolnych – łączna kwota pomocy uzyskanej w ramach „tymczasowych kryzysowych ram” nie może przekroczyć 280 000 EURO,</w:t>
      </w:r>
    </w:p>
    <w:p w14:paraId="5DA4349C" w14:textId="77777777" w:rsidR="00311296" w:rsidRPr="00311296" w:rsidRDefault="00311296" w:rsidP="00311296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w sektorach rybołówstwa i akwakultury – łączna kwota pomocy uzyskanej w ramach „tymczasowych kryzysowych ram” nie może przekroczyć 335 000 EURO,</w:t>
      </w:r>
    </w:p>
    <w:p w14:paraId="7F832699" w14:textId="77777777" w:rsidR="00311296" w:rsidRPr="00311296" w:rsidRDefault="00311296" w:rsidP="00311296">
      <w:pPr>
        <w:widowControl w:val="0"/>
        <w:numPr>
          <w:ilvl w:val="0"/>
          <w:numId w:val="1"/>
        </w:numPr>
        <w:spacing w:after="0" w:line="235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w kilku sektorach – łączna kwota pomocy uzyskanej w ramach „tymczasowych kryzysowych ram” nie może przekroczyć 2 250 000 EURO.</w:t>
      </w:r>
    </w:p>
    <w:p w14:paraId="656CCB4B" w14:textId="77777777" w:rsidR="00311296" w:rsidRPr="00311296" w:rsidRDefault="00311296" w:rsidP="00311296">
      <w:pPr>
        <w:widowControl w:val="0"/>
        <w:spacing w:after="0" w:line="235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BFE513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lastRenderedPageBreak/>
        <w:t>7.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</w: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t xml:space="preserve">Pomocy w formie dopłat do oprocentowania kredytu z linii S nie można łączyć z żadną inną pomocą na te same koszty z zastrzeżeniem, że nie dotyczy to pomocy udzielanej na podstawie § 13zzc rozporządzenia Rady Ministrów z dnia 27 stycznia 2015 r., </w:t>
      </w: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br/>
        <w:t xml:space="preserve">tj. pomocy podmiotowi, który nabył od dnia 15 września 2022 r. do dnia </w:t>
      </w: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br/>
        <w:t xml:space="preserve">31 grudnia 2022 r. </w:t>
      </w:r>
      <w:r w:rsidRPr="00311296">
        <w:rPr>
          <w:rFonts w:ascii="Times" w:eastAsia="Times New Roman" w:hAnsi="Times" w:cs="Times New Roman"/>
          <w:iCs/>
          <w:sz w:val="24"/>
          <w:szCs w:val="24"/>
          <w:lang w:eastAsia="pl-PL"/>
        </w:rPr>
        <w:t>kukurydzę od producenta rolnego będącego producentem kukurydzy, która nie została poddana procesowi suszenia, zwaną „mokrą kukurydzą”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 xml:space="preserve">. </w:t>
      </w:r>
    </w:p>
    <w:p w14:paraId="71C3C1CC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</w:p>
    <w:p w14:paraId="7DEE9C47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</w:p>
    <w:p w14:paraId="45EE42A8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Rozdział VI. Okres kredytowania i karencji</w:t>
      </w:r>
    </w:p>
    <w:p w14:paraId="60801267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</w:p>
    <w:p w14:paraId="2C4EDE6C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1.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>Okres kredytowania jest określony w umowie kredytu.</w:t>
      </w:r>
    </w:p>
    <w:p w14:paraId="68B7A960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</w:p>
    <w:p w14:paraId="68E9C767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2.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 xml:space="preserve">Okres karencji w spłacie kredytu, który liczy się od dnia zawarcia umowy kredytu do dnia spłaty pierwszej raty kapitału określonej w umowie kredytu, nie może przekroczyć 1 roku. </w:t>
      </w:r>
    </w:p>
    <w:p w14:paraId="6B939A19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8"/>
          <w:szCs w:val="8"/>
          <w:lang w:eastAsia="pl-PL"/>
        </w:rPr>
      </w:pPr>
    </w:p>
    <w:p w14:paraId="188BAF90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3.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>W okresie objętym umową kredytu bank może:</w:t>
      </w:r>
    </w:p>
    <w:p w14:paraId="41DAF22B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1)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>stosować prolongatę spłaty rat kapitału i odsetek, o ile określony w umowie kredytu termin ich spłaty jeszcze nie minął,</w:t>
      </w:r>
    </w:p>
    <w:p w14:paraId="078920B5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2)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 xml:space="preserve">wydłużyć okres kredytowania poza przewidziany w umowie kredytu, o ile określony 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br/>
        <w:t>w umowie kredytu okres kredytowania jeszcze nie minął,</w:t>
      </w:r>
    </w:p>
    <w:p w14:paraId="32B8855D" w14:textId="77777777" w:rsidR="00311296" w:rsidRPr="00311296" w:rsidRDefault="00311296" w:rsidP="00311296">
      <w:pPr>
        <w:spacing w:after="0" w:line="235" w:lineRule="auto"/>
        <w:ind w:left="567" w:hanging="283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>3)</w:t>
      </w:r>
      <w:r w:rsidRPr="00311296">
        <w:rPr>
          <w:rFonts w:ascii="Times" w:eastAsia="Times New Roman" w:hAnsi="Times" w:cs="Times New Roman"/>
          <w:sz w:val="24"/>
          <w:szCs w:val="24"/>
          <w:lang w:eastAsia="pl-PL"/>
        </w:rPr>
        <w:tab/>
        <w:t>w przypadkach, o których mowa w pkt. 1) i 2) maksymalna kwota dopłat nie ulega zmianie.</w:t>
      </w:r>
    </w:p>
    <w:p w14:paraId="6BE110CE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344EAEBD" w14:textId="77777777" w:rsidR="00311296" w:rsidRPr="00311296" w:rsidRDefault="00311296" w:rsidP="00311296">
      <w:pPr>
        <w:widowControl w:val="0"/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3"/>
          <w:szCs w:val="20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3"/>
          <w:szCs w:val="20"/>
          <w:lang w:eastAsia="pl-PL"/>
        </w:rPr>
        <w:tab/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spłaty kredytu (kapitału lub odsetek) może przypadać wyłącznie w dzień roboczy dla banku. </w:t>
      </w:r>
    </w:p>
    <w:p w14:paraId="499264E6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Rozdział VII.</w:t>
      </w:r>
    </w:p>
    <w:p w14:paraId="10359609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Warunki stosowania dopłat</w:t>
      </w:r>
    </w:p>
    <w:p w14:paraId="72C99FDF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</w:p>
    <w:p w14:paraId="3C072E97" w14:textId="77777777" w:rsidR="00311296" w:rsidRPr="00311296" w:rsidRDefault="00311296" w:rsidP="00311296">
      <w:pPr>
        <w:spacing w:after="0" w:line="235" w:lineRule="auto"/>
        <w:jc w:val="both"/>
        <w:rPr>
          <w:rFonts w:ascii="Times" w:eastAsia="Times New Roman" w:hAnsi="Times" w:cs="Times New Roman"/>
          <w:bCs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t xml:space="preserve">Dopłaty są stosowane, gdy kredytobiorca dokonuje w pełnej wysokości spłat rat kapitału </w:t>
      </w: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br/>
        <w:t xml:space="preserve">i odsetek w terminach ustalonych w umowie kredytu z uwzględnieniem dodatkowo </w:t>
      </w:r>
      <w:r w:rsidRPr="00311296">
        <w:rPr>
          <w:rFonts w:ascii="Times" w:eastAsia="Times New Roman" w:hAnsi="Times" w:cs="Times New Roman"/>
          <w:bCs/>
          <w:sz w:val="24"/>
          <w:szCs w:val="24"/>
          <w:lang w:eastAsia="pl-PL"/>
        </w:rPr>
        <w:br/>
        <w:t>7-dniowego okresu na spłatę należności.</w:t>
      </w:r>
    </w:p>
    <w:p w14:paraId="7A932501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bCs/>
          <w:sz w:val="24"/>
          <w:szCs w:val="24"/>
          <w:lang w:eastAsia="pl-PL"/>
        </w:rPr>
      </w:pPr>
    </w:p>
    <w:p w14:paraId="79FF8282" w14:textId="77777777" w:rsidR="00311296" w:rsidRPr="00311296" w:rsidRDefault="00311296" w:rsidP="00311296">
      <w:pPr>
        <w:spacing w:after="0" w:line="235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pl-PL"/>
        </w:rPr>
      </w:pPr>
      <w:r w:rsidRPr="00311296">
        <w:rPr>
          <w:rFonts w:ascii="Times" w:eastAsia="Times New Roman" w:hAnsi="Times" w:cs="Times New Roman"/>
          <w:b/>
          <w:sz w:val="24"/>
          <w:szCs w:val="24"/>
          <w:lang w:eastAsia="pl-PL"/>
        </w:rPr>
        <w:t>Rozdział VIII. Procedura ubiegania się o kredyt</w:t>
      </w:r>
    </w:p>
    <w:p w14:paraId="5A3EABD6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" w:eastAsia="Times New Roman" w:hAnsi="Times" w:cs="Times New Roman"/>
          <w:sz w:val="24"/>
          <w:szCs w:val="24"/>
          <w:lang w:eastAsia="pl-PL"/>
        </w:rPr>
      </w:pPr>
    </w:p>
    <w:p w14:paraId="31531F43" w14:textId="77777777" w:rsidR="00311296" w:rsidRPr="00311296" w:rsidRDefault="00311296" w:rsidP="00311296">
      <w:pPr>
        <w:spacing w:after="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Złożenie przez wnioskodawcę w banku wniosku o kredyt z następującymi załącznikami:</w:t>
      </w:r>
    </w:p>
    <w:p w14:paraId="5CE3241B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oświadczeniem, sporządzonym wg wzoru określonego w załączniku nr 29,</w:t>
      </w:r>
    </w:p>
    <w:p w14:paraId="10ED06B0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2)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w przypadku podmiotów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działalność w zakresie skupu zbóż – 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dokumentami potwierdzającymi wartość nabytych </w:t>
      </w:r>
      <w:bookmarkStart w:id="6" w:name="_Hlk143592051"/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okresie od dnia 1 października 2022 r. do dnia 31 sierpnia 2023 r. zbóż </w:t>
      </w:r>
      <w:bookmarkEnd w:id="6"/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albo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zbiorczym zestawieniem tych dokumentów,</w:t>
      </w:r>
    </w:p>
    <w:p w14:paraId="70265079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3)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podmiotów prowadzących obrót materiałem siewnym roślin rolniczych – 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dokumentami potwierdzającymi wartość nabytych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od dnia 1 czerwca 2023 r. do dnia 15 października 2023 r. </w:t>
      </w:r>
      <w:bookmarkStart w:id="7" w:name="_Hlk143592416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nasion roślin rolniczych z plantacji nasiennych </w:t>
      </w:r>
      <w:bookmarkEnd w:id="7"/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albo zbiorczym zestawieniem tych dokumentów,</w:t>
      </w:r>
    </w:p>
    <w:p w14:paraId="08EA1730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4)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w przypadku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podmiotów prowadzących działalność w zakresie skupu owoców miękkich – 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dokumentami potwierdzającymi wartość nabytych w okresie od dnia 1 czerwca 2023 r. do dnia 30 września 2023 r. owoców miękkich albo</w:t>
      </w:r>
      <w:bookmarkStart w:id="8" w:name="_Hlk143592384"/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zbiorczym zestawieniem tych dokumentów,</w:t>
      </w:r>
      <w:bookmarkEnd w:id="8"/>
    </w:p>
    <w:p w14:paraId="17884F34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5)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w przypadku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podmiotów prowadzących działalność oznaczoną kodem 11.01.Z zgodnie z klasyfikacją w Polskiej Klasyfikacji Działalności – 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dokumentami potwierdzającymi wartość nabytej w okresie od dnia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1 października 2022 r. do dnia 31 grudnia 2022 r.</w:t>
      </w:r>
      <w:r w:rsidRPr="003112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kukurydzy albo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zbiorczym zestawieniem tych dokumentów,</w:t>
      </w:r>
    </w:p>
    <w:p w14:paraId="63532B4C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podmiotów, które nabyły zboża lub owoce miękkie od podmiotu prowadzącego działalność w zakresie obrotu zbożami lub skupu zbóż lub skupu owoców miękkich – oświadczeniem podmiotu prowadzącego działalność w zakresie obrotu 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zbożami lub skupu zbóż lub skupu owoców miękkich, że sprzedawane przez niego zboża lub owoce miękkie zostały nabyte od producenta rolnego, któremu został nadany numer identyfikacyjny w trybie przepisów o krajowym systemie ewidencji producentów, ewidencji gospodarstw rolnych oraz ewidencji wniosków o przyznanie płatności,</w:t>
      </w:r>
    </w:p>
    <w:p w14:paraId="08B0DF4D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7)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kompletem dokumentów wymaganych przez bank.</w:t>
      </w:r>
    </w:p>
    <w:p w14:paraId="0473348A" w14:textId="77777777" w:rsidR="00311296" w:rsidRPr="00311296" w:rsidRDefault="00311296" w:rsidP="00311296">
      <w:pPr>
        <w:spacing w:after="0" w:line="235" w:lineRule="auto"/>
        <w:ind w:left="567" w:hanging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52B34203" w14:textId="77777777" w:rsidR="00311296" w:rsidRPr="00311296" w:rsidRDefault="00311296" w:rsidP="00311296">
      <w:pPr>
        <w:spacing w:after="120" w:line="235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3112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Zbiorcze zestawienie dokumentów, o którym mowa w ust. 1 pkt 2, 3, 4 i 5, </w:t>
      </w:r>
      <w:r w:rsidRPr="00311296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powinno </w:t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>być podpisane przez uprawnioną osobę i zawierać co najmniej numer dokumentu, datę wystawienia dokumentu, nazwę sprzedającego, kwotę, za którą skupiono produkty, datę płatności lub datę dostawy, o ile zostały określone, a w przypadku skupu owoców miękkich również ich masę (np. w tonach).</w:t>
      </w:r>
    </w:p>
    <w:p w14:paraId="41F8498D" w14:textId="77777777" w:rsidR="00311296" w:rsidRPr="00311296" w:rsidRDefault="00311296" w:rsidP="00311296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>3.</w:t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Wnioskodawca, który dołączył do wniosku zbiorcze zestawienie dokumentów, o którym mowa w ust. 1 pkt 2, 3, 4 i 5, zobowiązany jest do dostarczenia w trakcie trwania okresu stosowania dopłat do oprocentowania kredytu na żądanie Banku lub Agencji dokumentów wymienionych w tym zestawieniu.</w:t>
      </w:r>
    </w:p>
    <w:p w14:paraId="6D2A859B" w14:textId="77777777" w:rsidR="00311296" w:rsidRPr="00311296" w:rsidRDefault="00311296" w:rsidP="00311296">
      <w:pPr>
        <w:widowControl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>4.</w:t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Bank na podstawie danych zawartych w REGON lub KRS potwierdzi informacje dotyczące prowadzonej działalności, którą Wnioskodawca wskazał w dołączonym do wniosku oświadczeniu, o którym mowa w ust. 1 pkt 1.</w:t>
      </w:r>
    </w:p>
    <w:p w14:paraId="13546DEB" w14:textId="77777777" w:rsidR="00311296" w:rsidRPr="00311296" w:rsidRDefault="00311296" w:rsidP="0031129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>5.</w:t>
      </w:r>
      <w:r w:rsidRPr="00311296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Wzór wniosku o kredyt, o którym mowa w ust. 1, określa bank.</w:t>
      </w:r>
    </w:p>
    <w:p w14:paraId="60F11B20" w14:textId="29098559" w:rsidR="00A7646C" w:rsidRPr="00311296" w:rsidRDefault="00311296" w:rsidP="00311296">
      <w:r w:rsidRPr="003112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 w:type="page"/>
      </w:r>
    </w:p>
    <w:sectPr w:rsidR="00A7646C" w:rsidRPr="00311296" w:rsidSect="0031129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30D4B" w14:textId="77777777" w:rsidR="004B1DEB" w:rsidRDefault="004B1DEB" w:rsidP="00311296">
      <w:pPr>
        <w:spacing w:after="0" w:line="240" w:lineRule="auto"/>
      </w:pPr>
      <w:r>
        <w:separator/>
      </w:r>
    </w:p>
  </w:endnote>
  <w:endnote w:type="continuationSeparator" w:id="0">
    <w:p w14:paraId="29A68C64" w14:textId="77777777" w:rsidR="004B1DEB" w:rsidRDefault="004B1DEB" w:rsidP="0031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5FC0" w14:textId="77777777" w:rsidR="004B1DEB" w:rsidRDefault="004B1DEB" w:rsidP="00311296">
      <w:pPr>
        <w:spacing w:after="0" w:line="240" w:lineRule="auto"/>
      </w:pPr>
      <w:r>
        <w:separator/>
      </w:r>
    </w:p>
  </w:footnote>
  <w:footnote w:type="continuationSeparator" w:id="0">
    <w:p w14:paraId="6C731A4A" w14:textId="77777777" w:rsidR="004B1DEB" w:rsidRDefault="004B1DEB" w:rsidP="00311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1707"/>
    <w:multiLevelType w:val="hybridMultilevel"/>
    <w:tmpl w:val="EC8EC37E"/>
    <w:lvl w:ilvl="0" w:tplc="F08A925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96"/>
    <w:rsid w:val="001832CF"/>
    <w:rsid w:val="00311296"/>
    <w:rsid w:val="004B1DEB"/>
    <w:rsid w:val="004C48A0"/>
    <w:rsid w:val="00A7646C"/>
    <w:rsid w:val="00CD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898E7"/>
  <w15:chartTrackingRefBased/>
  <w15:docId w15:val="{C9106BA8-C4A2-4166-AA1D-45A5A21E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296"/>
  </w:style>
  <w:style w:type="paragraph" w:styleId="Stopka">
    <w:name w:val="footer"/>
    <w:basedOn w:val="Normalny"/>
    <w:link w:val="StopkaZnak"/>
    <w:uiPriority w:val="99"/>
    <w:unhideWhenUsed/>
    <w:rsid w:val="00311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016F5B4-80E2-4586-86AD-02428D44AE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1878</Words>
  <Characters>11269</Characters>
  <Application>Microsoft Office Word</Application>
  <DocSecurity>0</DocSecurity>
  <Lines>93</Lines>
  <Paragraphs>26</Paragraphs>
  <ScaleCrop>false</ScaleCrop>
  <Company>ARiMR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Anna</dc:creator>
  <cp:keywords/>
  <dc:description/>
  <cp:lastModifiedBy>Latuszek Tomasz</cp:lastModifiedBy>
  <cp:revision>2</cp:revision>
  <dcterms:created xsi:type="dcterms:W3CDTF">2024-07-04T12:22:00Z</dcterms:created>
  <dcterms:modified xsi:type="dcterms:W3CDTF">2024-07-04T12:22:00Z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6d0815ca-e14c-4dc7-b904-0bc130af1de9</vt:lpwstr>
  </property>
  <property fmtid="{D5CDD505-2E9C-101B-9397-08002B2CF9AE}" pid="3" name="bjClsUserRVM">
    <vt:lpwstr>[]</vt:lpwstr>
  </property>
  <property fmtid="{D5CDD505-2E9C-101B-9397-08002B2CF9AE}" pid="4" name="bjSaver">
    <vt:lpwstr>jminTR1B9SECNFKkowuDEdtaF0ueXzAs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