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68" w:rsidRPr="00156868" w:rsidRDefault="00156868" w:rsidP="009B78C8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1568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Warszawa, 2 sierpnia 2022 r. </w:t>
      </w:r>
    </w:p>
    <w:p w:rsidR="00156868" w:rsidRDefault="00156868" w:rsidP="009B78C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56868" w:rsidRDefault="00156868" w:rsidP="009B78C8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D31CF" w:rsidRDefault="00156868" w:rsidP="009B78C8">
      <w:pPr>
        <w:autoSpaceDE w:val="0"/>
        <w:autoSpaceDN w:val="0"/>
        <w:adjustRightInd w:val="0"/>
        <w:spacing w:after="0" w:line="276" w:lineRule="auto"/>
        <w:jc w:val="both"/>
        <w:rPr>
          <w:rFonts w:ascii="Arial-ItalicMT" w:hAnsi="Arial-ItalicMT" w:cs="Arial-ItalicMT"/>
          <w:b/>
          <w:i/>
          <w:iCs/>
          <w:sz w:val="20"/>
          <w:szCs w:val="20"/>
        </w:rPr>
      </w:pPr>
      <w:r w:rsidRPr="0015686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wynikach kontroli </w:t>
      </w:r>
      <w:r w:rsidRPr="00156868">
        <w:rPr>
          <w:rFonts w:ascii="ArialMT" w:hAnsi="ArialMT" w:cs="ArialMT"/>
          <w:b/>
          <w:sz w:val="20"/>
          <w:szCs w:val="20"/>
        </w:rPr>
        <w:t>przeprowadzonej w Wyższym Urzędzie Górniczym</w:t>
      </w:r>
      <w:r w:rsidR="006B2AF5" w:rsidRPr="009A07B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6B2AF5" w:rsidRPr="009A07B6">
        <w:rPr>
          <w:rFonts w:ascii="Arial" w:hAnsi="Arial" w:cs="Arial"/>
          <w:sz w:val="20"/>
          <w:szCs w:val="20"/>
        </w:rPr>
        <w:t xml:space="preserve"> </w:t>
      </w:r>
      <w:r w:rsidRPr="00156868">
        <w:rPr>
          <w:rFonts w:ascii="ArialMT" w:hAnsi="ArialMT" w:cs="ArialMT"/>
          <w:b/>
          <w:sz w:val="20"/>
          <w:szCs w:val="20"/>
        </w:rPr>
        <w:t>na temat</w:t>
      </w:r>
      <w:r w:rsidRPr="00156868">
        <w:rPr>
          <w:rFonts w:ascii="Arial-ItalicMT" w:hAnsi="Arial-ItalicMT" w:cs="Arial-ItalicMT"/>
          <w:b/>
          <w:i/>
          <w:iCs/>
          <w:sz w:val="20"/>
          <w:szCs w:val="20"/>
        </w:rPr>
        <w:t>: Ustalenie kierunków i wytycznych działania urzędów górniczych przez Prezesa Wyższego Urzędu Górniczego</w:t>
      </w:r>
      <w:r>
        <w:rPr>
          <w:rFonts w:ascii="Arial-ItalicMT" w:hAnsi="Arial-ItalicMT" w:cs="Arial-ItalicMT"/>
          <w:b/>
          <w:i/>
          <w:iCs/>
          <w:sz w:val="20"/>
          <w:szCs w:val="20"/>
        </w:rPr>
        <w:t>.</w:t>
      </w:r>
    </w:p>
    <w:p w:rsidR="00156868" w:rsidRDefault="00156868" w:rsidP="009B78C8">
      <w:pPr>
        <w:autoSpaceDE w:val="0"/>
        <w:autoSpaceDN w:val="0"/>
        <w:adjustRightInd w:val="0"/>
        <w:spacing w:after="0" w:line="276" w:lineRule="auto"/>
        <w:jc w:val="both"/>
        <w:rPr>
          <w:rFonts w:ascii="Arial-ItalicMT" w:hAnsi="Arial-ItalicMT" w:cs="Arial-ItalicMT"/>
          <w:b/>
          <w:i/>
          <w:iCs/>
          <w:sz w:val="20"/>
          <w:szCs w:val="20"/>
        </w:rPr>
      </w:pPr>
    </w:p>
    <w:p w:rsidR="00156868" w:rsidRDefault="00156868" w:rsidP="009B78C8">
      <w:pPr>
        <w:autoSpaceDE w:val="0"/>
        <w:autoSpaceDN w:val="0"/>
        <w:adjustRightInd w:val="0"/>
        <w:spacing w:after="0" w:line="276" w:lineRule="auto"/>
        <w:jc w:val="both"/>
        <w:rPr>
          <w:rFonts w:ascii="Arial-ItalicMT" w:hAnsi="Arial-ItalicMT" w:cs="Arial-ItalicMT"/>
          <w:b/>
          <w:i/>
          <w:iCs/>
          <w:sz w:val="20"/>
          <w:szCs w:val="20"/>
        </w:rPr>
      </w:pPr>
    </w:p>
    <w:p w:rsidR="00156868" w:rsidRDefault="00156868" w:rsidP="009B78C8">
      <w:pPr>
        <w:pStyle w:val="Bezodstpw"/>
        <w:spacing w:line="276" w:lineRule="auto"/>
        <w:ind w:firstLine="284"/>
        <w:jc w:val="both"/>
        <w:rPr>
          <w:rFonts w:ascii="Arial" w:hAnsi="Arial" w:cs="Arial"/>
          <w:i/>
          <w:iCs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Departament Kontroli i Audytu przeprowadził kontrolę w WUG, zgodnie z Planem kontroli Ministerstwa Aktywów Państwowych na 2022 rok. Czynności kontrolne zostały przeprowadzone w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terminie od 14 lutego do 9 marca</w:t>
      </w:r>
      <w:r w:rsidR="006A1A8D">
        <w:rPr>
          <w:rFonts w:ascii="Arial" w:hAnsi="Arial" w:cs="Arial"/>
          <w:sz w:val="20"/>
          <w:szCs w:val="20"/>
        </w:rPr>
        <w:t xml:space="preserve"> 2022 r., na podstawie art. 165 </w:t>
      </w:r>
      <w:r w:rsidRPr="009A07B6">
        <w:rPr>
          <w:rFonts w:ascii="Arial" w:hAnsi="Arial" w:cs="Arial"/>
          <w:sz w:val="20"/>
          <w:szCs w:val="20"/>
        </w:rPr>
        <w:t>ust. 1 ustawy z dnia 9 czerwca 2011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 xml:space="preserve">r. </w:t>
      </w:r>
      <w:r w:rsidRPr="006A1A8D">
        <w:rPr>
          <w:rFonts w:ascii="Arial" w:hAnsi="Arial" w:cs="Arial"/>
          <w:i/>
          <w:sz w:val="20"/>
          <w:szCs w:val="20"/>
        </w:rPr>
        <w:t>Prawo geologiczne i górnicze</w:t>
      </w:r>
      <w:r w:rsidR="006A1A8D">
        <w:rPr>
          <w:rStyle w:val="Odwoanieprzypisudolnego"/>
          <w:rFonts w:ascii="Arial" w:hAnsi="Arial"/>
          <w:sz w:val="20"/>
          <w:szCs w:val="20"/>
        </w:rPr>
        <w:footnoteReference w:id="2"/>
      </w:r>
      <w:r w:rsidRPr="009A07B6">
        <w:rPr>
          <w:rFonts w:ascii="Arial" w:hAnsi="Arial" w:cs="Arial"/>
          <w:i/>
          <w:iCs/>
          <w:sz w:val="20"/>
          <w:szCs w:val="20"/>
        </w:rPr>
        <w:t xml:space="preserve"> </w:t>
      </w:r>
      <w:r w:rsidRPr="009A07B6">
        <w:rPr>
          <w:rFonts w:ascii="Arial" w:hAnsi="Arial" w:cs="Arial"/>
          <w:sz w:val="20"/>
          <w:szCs w:val="20"/>
        </w:rPr>
        <w:t xml:space="preserve">oraz art. 6 ust. 3 pkt 1 ustawy z dnia 15 lipca 2011 r. </w:t>
      </w:r>
      <w:r w:rsidRPr="009A07B6">
        <w:rPr>
          <w:rFonts w:ascii="Arial" w:hAnsi="Arial" w:cs="Arial"/>
          <w:i/>
          <w:iCs/>
          <w:sz w:val="20"/>
          <w:szCs w:val="20"/>
        </w:rPr>
        <w:t>o kontroli w</w:t>
      </w:r>
      <w:r w:rsidR="006A1A8D">
        <w:rPr>
          <w:rFonts w:ascii="Arial" w:hAnsi="Arial" w:cs="Arial"/>
          <w:i/>
          <w:iCs/>
          <w:sz w:val="20"/>
          <w:szCs w:val="20"/>
        </w:rPr>
        <w:t> </w:t>
      </w:r>
      <w:r w:rsidRPr="009A07B6">
        <w:rPr>
          <w:rFonts w:ascii="Arial" w:hAnsi="Arial" w:cs="Arial"/>
          <w:i/>
          <w:iCs/>
          <w:sz w:val="20"/>
          <w:szCs w:val="20"/>
        </w:rPr>
        <w:t>administracji rządowej</w:t>
      </w:r>
      <w:r w:rsidR="009349E5">
        <w:rPr>
          <w:rStyle w:val="Odwoanieprzypisudolnego"/>
          <w:rFonts w:ascii="Arial" w:hAnsi="Arial"/>
          <w:i/>
          <w:iCs/>
          <w:sz w:val="20"/>
          <w:szCs w:val="20"/>
        </w:rPr>
        <w:footnoteReference w:id="3"/>
      </w:r>
      <w:r w:rsidRPr="009A07B6">
        <w:rPr>
          <w:rFonts w:ascii="Arial" w:hAnsi="Arial" w:cs="Arial"/>
          <w:i/>
          <w:iCs/>
          <w:sz w:val="20"/>
          <w:szCs w:val="20"/>
        </w:rPr>
        <w:t>.</w:t>
      </w:r>
    </w:p>
    <w:p w:rsidR="00CA46A0" w:rsidRPr="009A07B6" w:rsidRDefault="00CA46A0" w:rsidP="009B78C8">
      <w:pPr>
        <w:pStyle w:val="Bezodstpw"/>
        <w:spacing w:line="276" w:lineRule="auto"/>
        <w:ind w:firstLine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156868" w:rsidRPr="00CA46A0" w:rsidRDefault="00156868" w:rsidP="009B78C8">
      <w:pPr>
        <w:pStyle w:val="Bezodstpw"/>
        <w:spacing w:line="276" w:lineRule="auto"/>
        <w:ind w:firstLine="284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A46A0">
        <w:rPr>
          <w:rFonts w:ascii="Arial" w:hAnsi="Arial" w:cs="Arial"/>
          <w:b/>
          <w:bCs/>
          <w:sz w:val="20"/>
          <w:szCs w:val="20"/>
        </w:rPr>
        <w:t>Zakres kontroli obejmował:</w:t>
      </w:r>
    </w:p>
    <w:p w:rsidR="00156868" w:rsidRPr="009A07B6" w:rsidRDefault="00156868" w:rsidP="009B78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Sposób ustalania priorytetowych celów do realizacji w ramach ustalenia kierunków i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wytycznych działań.</w:t>
      </w:r>
    </w:p>
    <w:p w:rsidR="00156868" w:rsidRPr="009A07B6" w:rsidRDefault="00156868" w:rsidP="009B78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Opracowanie i stosowanie regulacji wewnętrznych ustalania przez Prezesa WUG kierunków i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wytycznych.</w:t>
      </w:r>
    </w:p>
    <w:p w:rsidR="00156868" w:rsidRPr="009A07B6" w:rsidRDefault="00156868" w:rsidP="009B78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Dokonywanie pomiaru efektywności realizacji przyjętych kierunków i wytycznych dla urzędów górniczych przez Prezesa WUG.</w:t>
      </w:r>
    </w:p>
    <w:p w:rsidR="00156868" w:rsidRPr="009A07B6" w:rsidRDefault="00156868" w:rsidP="009B78C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Oceny </w:t>
      </w:r>
      <w:r w:rsidRPr="009A07B6">
        <w:rPr>
          <w:rFonts w:ascii="Arial" w:hAnsi="Arial" w:cs="Arial"/>
          <w:sz w:val="20"/>
          <w:szCs w:val="20"/>
        </w:rPr>
        <w:t>działania Prezesa WUG w zakresie u</w:t>
      </w:r>
      <w:r w:rsidRPr="009A07B6">
        <w:rPr>
          <w:rFonts w:ascii="Arial" w:hAnsi="Arial" w:cs="Arial"/>
          <w:iCs/>
          <w:sz w:val="20"/>
          <w:szCs w:val="20"/>
        </w:rPr>
        <w:t>stalenia kierunków i</w:t>
      </w:r>
      <w:r>
        <w:rPr>
          <w:rFonts w:ascii="Arial" w:hAnsi="Arial" w:cs="Arial"/>
          <w:iCs/>
          <w:sz w:val="20"/>
          <w:szCs w:val="20"/>
        </w:rPr>
        <w:t> </w:t>
      </w:r>
      <w:r w:rsidRPr="009A07B6">
        <w:rPr>
          <w:rFonts w:ascii="Arial" w:hAnsi="Arial" w:cs="Arial"/>
          <w:iCs/>
          <w:sz w:val="20"/>
          <w:szCs w:val="20"/>
        </w:rPr>
        <w:t xml:space="preserve">wytycznych działania urzędów górniczych dokonano w </w:t>
      </w:r>
      <w:r w:rsidRPr="00CA46A0">
        <w:rPr>
          <w:rFonts w:ascii="Arial" w:hAnsi="Arial" w:cs="Arial"/>
          <w:b/>
          <w:iCs/>
          <w:sz w:val="20"/>
          <w:szCs w:val="20"/>
        </w:rPr>
        <w:t>sposób opisowy</w:t>
      </w:r>
      <w:r>
        <w:rPr>
          <w:rFonts w:ascii="Arial" w:hAnsi="Arial" w:cs="Arial"/>
          <w:iCs/>
          <w:sz w:val="20"/>
          <w:szCs w:val="20"/>
        </w:rPr>
        <w:t>, jak poniżej.</w:t>
      </w: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W badanym okresie Prezes WUG dwukrotnie ustalił kierunki i wytyczne działań urzędów górniczych, obowiązujące w latach 2018-2020 oraz 2021-2023 jako plany strategiczne. Sposób przyjęcia planów strategicznych oraz ich krótka charakterystyka została zawarta w regulacjach wewnętrznych Urzędu. W</w:t>
      </w:r>
      <w:r w:rsidR="00E95D5D"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 xml:space="preserve">procesie przyjmowania i zatwierdzania planów strategicznych Urząd przestrzegał obowiązujących regulacji wewnętrznych. </w:t>
      </w: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Zasady analizy obszarów problematycznych oraz formułowania celów do planów strategicznych nie</w:t>
      </w:r>
      <w:r w:rsidR="00434FCB"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zostały sformalizowane, co skutkowało niejednolitym sposobem postępowania. Na podstawie przyjętych planów strategicznych, okręgowe urzędy górnicze oraz Specjalistyczny Urząd Górniczy były zobowiązane do opracowywania planów operacyjnych (działalności) oraz planów pracy.</w:t>
      </w: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Model nadzoru nad realizacją planu strategicznego oparty był o kontrolę zarządczą stosowaną w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 xml:space="preserve">jednostkach sektora finansów publicznych, realizowaną poprzez analizę raportów i sporządzanie sprawozdań z wykonania planów operacyjnych (działalności). </w:t>
      </w: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WUG nie dokonał podsumowania realizacji planu strategicznego na lata 2018-2020, co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 xml:space="preserve">uniemożliwiło całościową weryfikację stopnia osiągniętych celów oraz nie przyjął w regulacjach wewnętrznych zasad sprawozdawczości dotyczących wykonania tego planu. </w:t>
      </w:r>
      <w:r w:rsidRPr="009A07B6">
        <w:rPr>
          <w:rFonts w:ascii="Arial" w:hAnsi="Arial" w:cs="Arial"/>
          <w:i/>
          <w:iCs/>
          <w:sz w:val="20"/>
          <w:szCs w:val="20"/>
        </w:rPr>
        <w:t>Sprawozdanie z</w:t>
      </w:r>
      <w:r>
        <w:rPr>
          <w:rFonts w:ascii="Arial" w:hAnsi="Arial" w:cs="Arial"/>
          <w:i/>
          <w:iCs/>
          <w:sz w:val="20"/>
          <w:szCs w:val="20"/>
        </w:rPr>
        <w:t> </w:t>
      </w:r>
      <w:r w:rsidRPr="009A07B6">
        <w:rPr>
          <w:rFonts w:ascii="Arial" w:hAnsi="Arial" w:cs="Arial"/>
          <w:i/>
          <w:iCs/>
          <w:sz w:val="20"/>
          <w:szCs w:val="20"/>
        </w:rPr>
        <w:t>działalności urzędów górniczych w roku 2020</w:t>
      </w:r>
      <w:r w:rsidRPr="009A07B6">
        <w:rPr>
          <w:rFonts w:ascii="Arial" w:hAnsi="Arial" w:cs="Arial"/>
          <w:sz w:val="20"/>
          <w:szCs w:val="20"/>
        </w:rPr>
        <w:t>, zawierało jedynie częściową ocenę i podsumowanie Strategii.</w:t>
      </w:r>
    </w:p>
    <w:p w:rsidR="00156868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iCs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W celu pomiaru efektywności realizacji planów strategicznych w Urzędzie stosowano mierniki odpowiadające planom operacyjnym (działalności) i planom pracy, które były ustalane na okres roczny. Przyjęta metoda pomiaru realizacji planu strategicznego była niewystarczająca z tego względu, że</w:t>
      </w:r>
      <w:r w:rsidR="00434FCB"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nie</w:t>
      </w:r>
      <w:r w:rsidR="00434FCB"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pozwalała na określenie, w jakim stopniu konkretny cel został osiągnięty w perspektywie obowiązywania strategii. Z przyjętych regulacji nie wynikał obowiązek i sposób pomiaru efektywności realizacji planów</w:t>
      </w:r>
      <w:r w:rsidRPr="009A07B6">
        <w:rPr>
          <w:rFonts w:ascii="Arial" w:hAnsi="Arial" w:cs="Arial"/>
          <w:iCs/>
          <w:sz w:val="20"/>
          <w:szCs w:val="20"/>
        </w:rPr>
        <w:t xml:space="preserve"> </w:t>
      </w:r>
      <w:r w:rsidRPr="009A07B6">
        <w:rPr>
          <w:rFonts w:ascii="Arial" w:hAnsi="Arial" w:cs="Arial"/>
          <w:sz w:val="20"/>
          <w:szCs w:val="20"/>
        </w:rPr>
        <w:t>strategicznych.</w:t>
      </w:r>
    </w:p>
    <w:p w:rsidR="00156868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iCs/>
          <w:sz w:val="20"/>
          <w:szCs w:val="20"/>
        </w:rPr>
      </w:pPr>
    </w:p>
    <w:p w:rsidR="009B78C8" w:rsidRPr="009A07B6" w:rsidRDefault="009B78C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iCs/>
          <w:sz w:val="20"/>
          <w:szCs w:val="20"/>
        </w:rPr>
      </w:pPr>
    </w:p>
    <w:p w:rsidR="00156868" w:rsidRPr="009A07B6" w:rsidRDefault="00156868" w:rsidP="009B78C8">
      <w:pPr>
        <w:pStyle w:val="Bezodstpw"/>
        <w:spacing w:line="276" w:lineRule="auto"/>
        <w:ind w:firstLine="315"/>
        <w:jc w:val="both"/>
        <w:rPr>
          <w:rFonts w:ascii="Arial" w:hAnsi="Arial" w:cs="Arial"/>
          <w:iCs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lastRenderedPageBreak/>
        <w:t xml:space="preserve">W celu usprawnienia funkcjonowania WUG wydano następujące </w:t>
      </w:r>
      <w:r w:rsidRPr="009A07B6">
        <w:rPr>
          <w:rFonts w:ascii="Arial" w:hAnsi="Arial" w:cs="Arial"/>
          <w:b/>
          <w:sz w:val="20"/>
          <w:szCs w:val="20"/>
        </w:rPr>
        <w:t>zalecenia pokontrolne</w:t>
      </w:r>
      <w:r w:rsidRPr="009A07B6">
        <w:rPr>
          <w:rFonts w:ascii="Arial" w:hAnsi="Arial" w:cs="Arial"/>
          <w:sz w:val="20"/>
          <w:szCs w:val="20"/>
        </w:rPr>
        <w:t>:</w:t>
      </w:r>
    </w:p>
    <w:p w:rsidR="00156868" w:rsidRPr="009A07B6" w:rsidRDefault="00156868" w:rsidP="009B7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 xml:space="preserve">Przyjęcie jednolitego sposobu analizy obszarów problematycznych oraz wyboru celów priorytetowych ujętych w planie strategicznym, celem usprawnienia i ustandaryzowania procesu ze względu na jego istotność i wieloletni okres obowiązywania oraz wyeliminowanie ryzyka działania </w:t>
      </w:r>
      <w:r w:rsidRPr="00483F21">
        <w:rPr>
          <w:rFonts w:ascii="Arial" w:hAnsi="Arial" w:cs="Arial"/>
          <w:i/>
          <w:sz w:val="20"/>
          <w:szCs w:val="20"/>
        </w:rPr>
        <w:t>ad hoc</w:t>
      </w:r>
      <w:r w:rsidRPr="009A07B6">
        <w:rPr>
          <w:rFonts w:ascii="Arial" w:hAnsi="Arial" w:cs="Arial"/>
          <w:sz w:val="20"/>
          <w:szCs w:val="20"/>
        </w:rPr>
        <w:t>.</w:t>
      </w:r>
    </w:p>
    <w:p w:rsidR="00156868" w:rsidRPr="009A07B6" w:rsidRDefault="00156868" w:rsidP="009B7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Sporządzanie podsumowania realizacji strategii po okresie je</w:t>
      </w:r>
      <w:r w:rsidR="00483F21">
        <w:rPr>
          <w:rFonts w:ascii="Arial" w:hAnsi="Arial" w:cs="Arial"/>
          <w:sz w:val="20"/>
          <w:szCs w:val="20"/>
        </w:rPr>
        <w:t>j</w:t>
      </w:r>
      <w:r w:rsidRPr="009A07B6">
        <w:rPr>
          <w:rFonts w:ascii="Arial" w:hAnsi="Arial" w:cs="Arial"/>
          <w:sz w:val="20"/>
          <w:szCs w:val="20"/>
        </w:rPr>
        <w:t xml:space="preserve"> obowiązywania w sposób udokumentowany i pozwalający na weryfikację osiągnięcia zamierzonych rezultatów w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długoterminowej perspektywie poprzez określenie stopnia osiągnięcia celów strategicznych. Celem kompleksowego podsumowania realizowanej Strategii jest wskazanie podstawy do</w:t>
      </w:r>
      <w:r>
        <w:rPr>
          <w:rFonts w:ascii="Arial" w:hAnsi="Arial" w:cs="Arial"/>
          <w:sz w:val="20"/>
          <w:szCs w:val="20"/>
        </w:rPr>
        <w:t> </w:t>
      </w:r>
      <w:r w:rsidRPr="009A07B6">
        <w:rPr>
          <w:rFonts w:ascii="Arial" w:hAnsi="Arial" w:cs="Arial"/>
          <w:sz w:val="20"/>
          <w:szCs w:val="20"/>
        </w:rPr>
        <w:t>sporządzenia następnego planu strategicznego będącego kontynuacją lub korektą wyznaczonych kierunków.</w:t>
      </w:r>
    </w:p>
    <w:p w:rsidR="00156868" w:rsidRPr="009A07B6" w:rsidRDefault="00156868" w:rsidP="009B7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Określenie mierników odpowiadającym celom zawarty</w:t>
      </w:r>
      <w:r w:rsidR="00483F21">
        <w:rPr>
          <w:rFonts w:ascii="Arial" w:hAnsi="Arial" w:cs="Arial"/>
          <w:sz w:val="20"/>
          <w:szCs w:val="20"/>
        </w:rPr>
        <w:t>m</w:t>
      </w:r>
      <w:r w:rsidRPr="009A07B6">
        <w:rPr>
          <w:rFonts w:ascii="Arial" w:hAnsi="Arial" w:cs="Arial"/>
          <w:sz w:val="20"/>
          <w:szCs w:val="20"/>
        </w:rPr>
        <w:t xml:space="preserve"> w planach strategicznych, w celu pomiaru stopnia realizacji planu i efektywności działań wynikających z tego planu w ujęciu cząstkowym oraz całego okresu obowiązywania Strategii.</w:t>
      </w:r>
    </w:p>
    <w:p w:rsidR="00156868" w:rsidRPr="009A07B6" w:rsidRDefault="00156868" w:rsidP="009B78C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Wprowadzenie zasad nadzoru nad realizacją Strategii (w kontekście osiągania pożądanych rezultatów w trak</w:t>
      </w:r>
      <w:r w:rsidR="00483F21">
        <w:rPr>
          <w:rFonts w:ascii="Arial" w:hAnsi="Arial" w:cs="Arial"/>
          <w:sz w:val="20"/>
          <w:szCs w:val="20"/>
        </w:rPr>
        <w:t>cie i po okresie obowiązywania S</w:t>
      </w:r>
      <w:r w:rsidRPr="009A07B6">
        <w:rPr>
          <w:rFonts w:ascii="Arial" w:hAnsi="Arial" w:cs="Arial"/>
          <w:sz w:val="20"/>
          <w:szCs w:val="20"/>
        </w:rPr>
        <w:t>trategii) oraz wskazanie podmiotów odpowiedzialnych za jego wykonywanie.</w:t>
      </w:r>
    </w:p>
    <w:p w:rsidR="00156868" w:rsidRPr="009A07B6" w:rsidRDefault="00156868" w:rsidP="009B78C8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6868" w:rsidRPr="00156868" w:rsidRDefault="00AA3F7B" w:rsidP="009B78C8">
      <w:pPr>
        <w:pStyle w:val="Bezodstpw"/>
        <w:spacing w:line="276" w:lineRule="auto"/>
        <w:ind w:firstLine="315"/>
        <w:jc w:val="both"/>
        <w:rPr>
          <w:rFonts w:ascii="Arial-ItalicMT" w:hAnsi="Arial-ItalicMT" w:cs="Arial-ItalicMT"/>
          <w:b/>
          <w:i/>
          <w:iCs/>
          <w:sz w:val="20"/>
          <w:szCs w:val="20"/>
        </w:rPr>
      </w:pPr>
      <w:r w:rsidRPr="009A07B6">
        <w:rPr>
          <w:rFonts w:ascii="Arial" w:hAnsi="Arial" w:cs="Arial"/>
          <w:sz w:val="20"/>
          <w:szCs w:val="20"/>
        </w:rPr>
        <w:t>Z informacji przekazanej 29 lipca 2022 r. przez Prezesa WUG wynika</w:t>
      </w:r>
      <w:r>
        <w:rPr>
          <w:rFonts w:ascii="Arial" w:hAnsi="Arial" w:cs="Arial"/>
          <w:sz w:val="20"/>
          <w:szCs w:val="20"/>
        </w:rPr>
        <w:t>, że</w:t>
      </w:r>
      <w:r w:rsidRPr="009A07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ramach</w:t>
      </w:r>
      <w:r w:rsidRPr="009A07B6">
        <w:rPr>
          <w:rFonts w:ascii="Arial" w:hAnsi="Arial" w:cs="Arial"/>
          <w:sz w:val="20"/>
          <w:szCs w:val="20"/>
        </w:rPr>
        <w:t xml:space="preserve"> wykonania zaleceń i wykorzystania wniosków, powołany został zespół roboczy, którego zadaniem jest przestawienie propozycji norm prawnych regulujących w wewnętrznych aktach prawnych</w:t>
      </w:r>
      <w:r>
        <w:rPr>
          <w:rFonts w:ascii="Arial" w:hAnsi="Arial" w:cs="Arial"/>
          <w:sz w:val="20"/>
          <w:szCs w:val="20"/>
        </w:rPr>
        <w:t xml:space="preserve"> zagadnienia wskazane w zaleceniach pokontrolnych. </w:t>
      </w:r>
      <w:r w:rsidRPr="009A07B6">
        <w:rPr>
          <w:rFonts w:ascii="Arial" w:hAnsi="Arial" w:cs="Arial"/>
          <w:sz w:val="20"/>
          <w:szCs w:val="20"/>
        </w:rPr>
        <w:t xml:space="preserve">O zmianach do </w:t>
      </w:r>
      <w:r>
        <w:rPr>
          <w:rFonts w:ascii="Arial" w:hAnsi="Arial" w:cs="Arial"/>
          <w:sz w:val="20"/>
          <w:szCs w:val="20"/>
        </w:rPr>
        <w:t xml:space="preserve">ww. </w:t>
      </w:r>
      <w:r w:rsidRPr="009A07B6">
        <w:rPr>
          <w:rFonts w:ascii="Arial" w:hAnsi="Arial" w:cs="Arial"/>
          <w:sz w:val="20"/>
          <w:szCs w:val="20"/>
        </w:rPr>
        <w:t>regulacji Prezes WUG poinformuje niezwłocznie po ich przyjęciu.</w:t>
      </w:r>
    </w:p>
    <w:sectPr w:rsidR="00156868" w:rsidRPr="00156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E6E" w:rsidRDefault="00075E6E" w:rsidP="00156868">
      <w:pPr>
        <w:spacing w:after="0" w:line="240" w:lineRule="auto"/>
      </w:pPr>
      <w:r>
        <w:separator/>
      </w:r>
    </w:p>
  </w:endnote>
  <w:endnote w:type="continuationSeparator" w:id="0">
    <w:p w:rsidR="00075E6E" w:rsidRDefault="00075E6E" w:rsidP="0015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E6E" w:rsidRDefault="00075E6E" w:rsidP="00156868">
      <w:pPr>
        <w:spacing w:after="0" w:line="240" w:lineRule="auto"/>
      </w:pPr>
      <w:r>
        <w:separator/>
      </w:r>
    </w:p>
  </w:footnote>
  <w:footnote w:type="continuationSeparator" w:id="0">
    <w:p w:rsidR="00075E6E" w:rsidRDefault="00075E6E" w:rsidP="00156868">
      <w:pPr>
        <w:spacing w:after="0" w:line="240" w:lineRule="auto"/>
      </w:pPr>
      <w:r>
        <w:continuationSeparator/>
      </w:r>
    </w:p>
  </w:footnote>
  <w:footnote w:id="1">
    <w:p w:rsidR="006B2AF5" w:rsidRPr="009349E5" w:rsidRDefault="006B2AF5" w:rsidP="00934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49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9E5">
        <w:rPr>
          <w:rFonts w:ascii="Arial" w:hAnsi="Arial" w:cs="Arial"/>
          <w:sz w:val="16"/>
          <w:szCs w:val="16"/>
        </w:rPr>
        <w:t xml:space="preserve"> Dalej jako: WUG lub Urząd.</w:t>
      </w:r>
    </w:p>
  </w:footnote>
  <w:footnote w:id="2">
    <w:p w:rsidR="006A1A8D" w:rsidRPr="009349E5" w:rsidRDefault="006A1A8D" w:rsidP="00934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49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9E5">
        <w:rPr>
          <w:rFonts w:ascii="Arial" w:hAnsi="Arial" w:cs="Arial"/>
          <w:sz w:val="16"/>
          <w:szCs w:val="16"/>
        </w:rPr>
        <w:t xml:space="preserve"> t.j. Dz.U. 2021 poz. 1420.</w:t>
      </w:r>
    </w:p>
  </w:footnote>
  <w:footnote w:id="3">
    <w:p w:rsidR="009349E5" w:rsidRPr="009349E5" w:rsidRDefault="009349E5" w:rsidP="009349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49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49E5">
        <w:rPr>
          <w:rFonts w:ascii="Arial" w:hAnsi="Arial" w:cs="Arial"/>
          <w:sz w:val="16"/>
          <w:szCs w:val="16"/>
        </w:rPr>
        <w:t xml:space="preserve"> t.j. Dz.U. z 2020 r. poz. 224.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E524E"/>
    <w:multiLevelType w:val="hybridMultilevel"/>
    <w:tmpl w:val="13CC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88B"/>
    <w:multiLevelType w:val="hybridMultilevel"/>
    <w:tmpl w:val="0A4C4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86C38"/>
    <w:multiLevelType w:val="hybridMultilevel"/>
    <w:tmpl w:val="BBCAC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8"/>
    <w:rsid w:val="00075E6E"/>
    <w:rsid w:val="001363B5"/>
    <w:rsid w:val="00156868"/>
    <w:rsid w:val="001C728B"/>
    <w:rsid w:val="002F1142"/>
    <w:rsid w:val="00357A8A"/>
    <w:rsid w:val="00434FCB"/>
    <w:rsid w:val="00483F21"/>
    <w:rsid w:val="004A4126"/>
    <w:rsid w:val="006A1A8D"/>
    <w:rsid w:val="006B2AF5"/>
    <w:rsid w:val="0090412A"/>
    <w:rsid w:val="009349E5"/>
    <w:rsid w:val="00947E04"/>
    <w:rsid w:val="0098059A"/>
    <w:rsid w:val="009B78C8"/>
    <w:rsid w:val="00AA3F7B"/>
    <w:rsid w:val="00C636C4"/>
    <w:rsid w:val="00CA46A0"/>
    <w:rsid w:val="00D53E7B"/>
    <w:rsid w:val="00DA1F1D"/>
    <w:rsid w:val="00DF4894"/>
    <w:rsid w:val="00E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B40E-9F1B-49BE-9D32-E394AE8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156868"/>
    <w:rPr>
      <w:rFonts w:cs="Times New Roman"/>
      <w:vertAlign w:val="superscript"/>
    </w:rPr>
  </w:style>
  <w:style w:type="paragraph" w:styleId="Bezodstpw">
    <w:name w:val="No Spacing"/>
    <w:uiPriority w:val="1"/>
    <w:qFormat/>
    <w:rsid w:val="001568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qFormat/>
    <w:locked/>
    <w:rsid w:val="00156868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qFormat/>
    <w:rsid w:val="0015686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5686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568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F806-D488-4197-B53D-CC8614CE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Swedrowski Mateusz</dc:creator>
  <cp:keywords/>
  <dc:description/>
  <cp:lastModifiedBy>Blaszczak Anna</cp:lastModifiedBy>
  <cp:revision>2</cp:revision>
  <dcterms:created xsi:type="dcterms:W3CDTF">2022-08-10T09:24:00Z</dcterms:created>
  <dcterms:modified xsi:type="dcterms:W3CDTF">2022-08-10T09:24:00Z</dcterms:modified>
</cp:coreProperties>
</file>