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5B7" w:rsidRDefault="00F615B7" w:rsidP="00F615B7">
      <w:pPr>
        <w:pStyle w:val="Nagwek2beznumeracji"/>
        <w:spacing w:before="0" w:after="0" w:line="240" w:lineRule="auto"/>
        <w:jc w:val="left"/>
        <w:outlineLvl w:val="0"/>
        <w:rPr>
          <w:rFonts w:ascii="Times New Roman" w:hAnsi="Times New Roman"/>
          <w:b w:val="0"/>
          <w:sz w:val="22"/>
          <w:lang w:val="pl-PL"/>
        </w:rPr>
      </w:pPr>
      <w:r w:rsidRPr="006F5C2D">
        <w:rPr>
          <w:rFonts w:ascii="Times New Roman" w:hAnsi="Times New Roman"/>
          <w:b w:val="0"/>
          <w:sz w:val="22"/>
          <w:lang w:val="pl-PL"/>
        </w:rPr>
        <w:t>Załącznik</w:t>
      </w:r>
      <w:r w:rsidRPr="006F5C2D" w:rsidDel="00974D94">
        <w:rPr>
          <w:rFonts w:ascii="Times New Roman" w:hAnsi="Times New Roman"/>
          <w:b w:val="0"/>
          <w:sz w:val="22"/>
          <w:lang w:val="pl-PL"/>
        </w:rPr>
        <w:t xml:space="preserve"> </w:t>
      </w:r>
      <w:r>
        <w:rPr>
          <w:rFonts w:ascii="Times New Roman" w:hAnsi="Times New Roman"/>
          <w:b w:val="0"/>
          <w:sz w:val="22"/>
          <w:lang w:val="pl-PL"/>
        </w:rPr>
        <w:t>B.58.</w:t>
      </w:r>
    </w:p>
    <w:p w:rsidR="00F615B7" w:rsidRPr="00F615B7" w:rsidRDefault="00F615B7" w:rsidP="00F615B7">
      <w:pPr>
        <w:pStyle w:val="Tekstpodstawowy"/>
        <w:spacing w:after="0"/>
        <w:rPr>
          <w:lang w:val="pl-PL" w:eastAsia="en-US"/>
        </w:rPr>
      </w:pPr>
    </w:p>
    <w:p w:rsidR="00954E7E" w:rsidRPr="00F615B7" w:rsidRDefault="00954E7E" w:rsidP="00F615B7">
      <w:pPr>
        <w:rPr>
          <w:rFonts w:ascii="Times New Roman" w:hAnsi="Times New Roman" w:cs="Times New Roman"/>
          <w:b/>
          <w:sz w:val="28"/>
          <w:lang w:val="pl-PL"/>
        </w:rPr>
      </w:pPr>
      <w:r w:rsidRPr="00F615B7">
        <w:rPr>
          <w:rFonts w:ascii="Times New Roman" w:hAnsi="Times New Roman" w:cs="Times New Roman"/>
          <w:b/>
          <w:sz w:val="28"/>
          <w:lang w:val="pl-PL"/>
        </w:rPr>
        <w:t xml:space="preserve">LECZENIE </w:t>
      </w:r>
      <w:r w:rsidR="00F615B7">
        <w:rPr>
          <w:rFonts w:ascii="Times New Roman" w:hAnsi="Times New Roman" w:cs="Times New Roman"/>
          <w:b/>
          <w:sz w:val="28"/>
          <w:lang w:val="pl-PL"/>
        </w:rPr>
        <w:t xml:space="preserve"> </w:t>
      </w:r>
      <w:r w:rsidRPr="00F615B7">
        <w:rPr>
          <w:rFonts w:ascii="Times New Roman" w:hAnsi="Times New Roman" w:cs="Times New Roman"/>
          <w:b/>
          <w:sz w:val="28"/>
          <w:lang w:val="pl-PL"/>
        </w:rPr>
        <w:t>ZAAWANSOWANEGO</w:t>
      </w:r>
      <w:r w:rsidR="00F615B7">
        <w:rPr>
          <w:rFonts w:ascii="Times New Roman" w:hAnsi="Times New Roman" w:cs="Times New Roman"/>
          <w:b/>
          <w:sz w:val="28"/>
          <w:lang w:val="pl-PL"/>
        </w:rPr>
        <w:t xml:space="preserve"> </w:t>
      </w:r>
      <w:r w:rsidRPr="00F615B7">
        <w:rPr>
          <w:rFonts w:ascii="Times New Roman" w:hAnsi="Times New Roman" w:cs="Times New Roman"/>
          <w:b/>
          <w:sz w:val="28"/>
          <w:lang w:val="pl-PL"/>
        </w:rPr>
        <w:t xml:space="preserve"> RAKA </w:t>
      </w:r>
      <w:r w:rsidR="00F615B7">
        <w:rPr>
          <w:rFonts w:ascii="Times New Roman" w:hAnsi="Times New Roman" w:cs="Times New Roman"/>
          <w:b/>
          <w:sz w:val="28"/>
          <w:lang w:val="pl-PL"/>
        </w:rPr>
        <w:t xml:space="preserve"> </w:t>
      </w:r>
      <w:r w:rsidRPr="00F615B7">
        <w:rPr>
          <w:rFonts w:ascii="Times New Roman" w:hAnsi="Times New Roman" w:cs="Times New Roman"/>
          <w:b/>
          <w:sz w:val="28"/>
          <w:lang w:val="pl-PL"/>
        </w:rPr>
        <w:t xml:space="preserve">ŻOŁĄDKA </w:t>
      </w:r>
      <w:r w:rsidR="00F615B7">
        <w:rPr>
          <w:rFonts w:ascii="Times New Roman" w:hAnsi="Times New Roman" w:cs="Times New Roman"/>
          <w:b/>
          <w:sz w:val="28"/>
          <w:lang w:val="pl-PL"/>
        </w:rPr>
        <w:t xml:space="preserve"> </w:t>
      </w:r>
      <w:r w:rsidRPr="00F615B7">
        <w:rPr>
          <w:rFonts w:ascii="Times New Roman" w:hAnsi="Times New Roman" w:cs="Times New Roman"/>
          <w:b/>
          <w:sz w:val="28"/>
          <w:lang w:val="pl-PL"/>
        </w:rPr>
        <w:t>(ICD-10</w:t>
      </w:r>
      <w:r w:rsidR="00F615B7">
        <w:rPr>
          <w:rFonts w:ascii="Times New Roman" w:hAnsi="Times New Roman" w:cs="Times New Roman"/>
          <w:b/>
          <w:sz w:val="28"/>
          <w:lang w:val="pl-PL"/>
        </w:rPr>
        <w:t xml:space="preserve">  C</w:t>
      </w:r>
      <w:r w:rsidRPr="00F615B7">
        <w:rPr>
          <w:rFonts w:ascii="Times New Roman" w:hAnsi="Times New Roman" w:cs="Times New Roman"/>
          <w:b/>
          <w:sz w:val="28"/>
          <w:lang w:val="pl-PL"/>
        </w:rPr>
        <w:t>16)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9"/>
        <w:gridCol w:w="4885"/>
        <w:gridCol w:w="5525"/>
      </w:tblGrid>
      <w:tr w:rsidR="006A68EA" w:rsidRPr="00F615B7" w:rsidTr="00E62932">
        <w:trPr>
          <w:trHeight w:val="4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6A68EA" w:rsidRPr="00F615B7" w:rsidRDefault="006A68EA" w:rsidP="00E6293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ZAKRES ŚWIADCZENIA GWARANTOWANEGO</w:t>
            </w:r>
          </w:p>
        </w:tc>
      </w:tr>
      <w:tr w:rsidR="006A68EA" w:rsidRPr="00844A58" w:rsidTr="00E62932">
        <w:trPr>
          <w:trHeight w:val="687"/>
        </w:trPr>
        <w:tc>
          <w:tcPr>
            <w:tcW w:w="1714" w:type="pct"/>
            <w:shd w:val="clear" w:color="auto" w:fill="auto"/>
            <w:vAlign w:val="center"/>
          </w:tcPr>
          <w:p w:rsidR="006A68EA" w:rsidRPr="00F615B7" w:rsidRDefault="006A68EA" w:rsidP="00E6293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ŚWIADCZENIOBIORCY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6A68EA" w:rsidRPr="00F615B7" w:rsidRDefault="006A68EA" w:rsidP="00E6293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SCHEMAT DAWKOWANIA LEKU W PROGRAMIE</w:t>
            </w:r>
          </w:p>
        </w:tc>
        <w:tc>
          <w:tcPr>
            <w:tcW w:w="1744" w:type="pct"/>
            <w:shd w:val="clear" w:color="auto" w:fill="auto"/>
            <w:vAlign w:val="center"/>
          </w:tcPr>
          <w:p w:rsidR="006A68EA" w:rsidRPr="00F615B7" w:rsidRDefault="006A68EA" w:rsidP="00E6293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BADANIA DIAGNOSTYCZNE WYKONYWANE W RAMACH PROGRAMU</w:t>
            </w:r>
          </w:p>
        </w:tc>
      </w:tr>
      <w:tr w:rsidR="006A68EA" w:rsidRPr="00844A58" w:rsidTr="00F615B7">
        <w:tc>
          <w:tcPr>
            <w:tcW w:w="1714" w:type="pct"/>
            <w:shd w:val="clear" w:color="auto" w:fill="auto"/>
          </w:tcPr>
          <w:p w:rsidR="00CB163F" w:rsidRPr="00F615B7" w:rsidRDefault="00733800" w:rsidP="00F615B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Program obejmuje lec</w:t>
            </w:r>
            <w:r w:rsidR="008C560F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zenie chorych na raka żołądka z </w:t>
            </w: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przerzutami trastuzumabem w skojarzeniu z</w:t>
            </w:r>
            <w:r w:rsidR="004347FA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cisplatyną i 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fluorouracylem lub cisplatyną i kapecytabiną</w:t>
            </w:r>
            <w:r w:rsidR="00DA648C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:rsidR="006A68EA" w:rsidRPr="00F615B7" w:rsidRDefault="00911985" w:rsidP="00F615B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1</w:t>
            </w:r>
            <w:r w:rsidR="0025720B" w:rsidRPr="00F615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. </w:t>
            </w:r>
            <w:r w:rsidR="006A68EA" w:rsidRPr="00F615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kwalifikacji</w:t>
            </w:r>
          </w:p>
          <w:p w:rsidR="002D2840" w:rsidRPr="00F615B7" w:rsidRDefault="00676581" w:rsidP="00D5604F">
            <w:pPr>
              <w:numPr>
                <w:ilvl w:val="0"/>
                <w:numId w:val="18"/>
              </w:numPr>
              <w:spacing w:after="0"/>
              <w:ind w:left="527" w:hanging="357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h</w:t>
            </w:r>
            <w:r w:rsidR="00911985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istologiczne rozpo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znanie gruczolakoraka żołądka z </w:t>
            </w:r>
            <w:r w:rsidR="00911985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obecnością przerzutów odległych</w:t>
            </w:r>
            <w:r w:rsidR="004B51F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;</w:t>
            </w:r>
          </w:p>
          <w:p w:rsidR="00911985" w:rsidRPr="00F615B7" w:rsidRDefault="00676581" w:rsidP="00D5604F">
            <w:pPr>
              <w:numPr>
                <w:ilvl w:val="0"/>
                <w:numId w:val="18"/>
              </w:numPr>
              <w:spacing w:after="0"/>
              <w:ind w:left="527" w:hanging="357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</w:t>
            </w:r>
            <w:r w:rsidR="002D2840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adekspresja</w:t>
            </w:r>
            <w:r w:rsidR="008B4135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receptora HER2 w komórkach raka określana jako </w:t>
            </w:r>
            <w:r w:rsidR="002D2840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wynik </w:t>
            </w:r>
            <w:r w:rsidR="003C33BF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IHC /3+/;</w:t>
            </w:r>
          </w:p>
          <w:p w:rsidR="002D2840" w:rsidRPr="00F615B7" w:rsidRDefault="00676581" w:rsidP="00D5604F">
            <w:pPr>
              <w:numPr>
                <w:ilvl w:val="0"/>
                <w:numId w:val="18"/>
              </w:numPr>
              <w:spacing w:after="0"/>
              <w:ind w:left="527" w:hanging="357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</w:t>
            </w:r>
            <w:r w:rsidR="002D2840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becność przynajmniej jednej z</w:t>
            </w:r>
            <w:r w:rsidR="00336CA5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miany mierzalnej lub ocenialnej;</w:t>
            </w:r>
          </w:p>
          <w:p w:rsidR="002D2840" w:rsidRPr="00F615B7" w:rsidRDefault="00676581" w:rsidP="00D5604F">
            <w:pPr>
              <w:numPr>
                <w:ilvl w:val="0"/>
                <w:numId w:val="18"/>
              </w:numPr>
              <w:spacing w:after="0"/>
              <w:ind w:left="527" w:hanging="357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stan sprawności 0-1 wg</w:t>
            </w:r>
            <w:r w:rsidR="004B51F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WHO;</w:t>
            </w:r>
          </w:p>
          <w:p w:rsidR="008B4135" w:rsidRPr="00F615B7" w:rsidRDefault="00676581" w:rsidP="00D5604F">
            <w:pPr>
              <w:numPr>
                <w:ilvl w:val="0"/>
                <w:numId w:val="18"/>
              </w:numPr>
              <w:spacing w:after="0"/>
              <w:ind w:left="527" w:hanging="357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</w:t>
            </w:r>
            <w:r w:rsidR="00B637D3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iestosowanie w prz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eszłości leczenia systemowego z </w:t>
            </w:r>
            <w:r w:rsidR="00B637D3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</w:t>
            </w:r>
            <w:r w:rsidR="008B4135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wodu przerzutowego </w:t>
            </w:r>
            <w:r w:rsidR="003C33BF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raka żołądka;</w:t>
            </w:r>
          </w:p>
          <w:p w:rsidR="00B637D3" w:rsidRPr="00F615B7" w:rsidRDefault="00676581" w:rsidP="00D5604F">
            <w:pPr>
              <w:numPr>
                <w:ilvl w:val="0"/>
                <w:numId w:val="18"/>
              </w:numPr>
              <w:spacing w:after="0"/>
              <w:ind w:left="527" w:hanging="357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2D2840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ydolność serca wykazana na podstawie oceny klinicznej i badania ECHO (przed rozpoczęciem stosow</w:t>
            </w:r>
            <w:r w:rsidR="00B637D3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ania trastuzumabu</w:t>
            </w:r>
            <w:r w:rsidR="002D2840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) z frakcją wyrzutu lewej komory s</w:t>
            </w:r>
            <w:r w:rsidR="00336CA5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erca wynoszącą przynajmniej 50%;</w:t>
            </w:r>
          </w:p>
          <w:p w:rsidR="006A68EA" w:rsidRPr="00F615B7" w:rsidRDefault="00676581" w:rsidP="00D5604F">
            <w:pPr>
              <w:numPr>
                <w:ilvl w:val="0"/>
                <w:numId w:val="18"/>
              </w:numPr>
              <w:spacing w:after="0"/>
              <w:ind w:left="527" w:hanging="357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</w:t>
            </w:r>
            <w:r w:rsidR="00400131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kończenie 18 roku</w:t>
            </w:r>
            <w:r w:rsidR="003C33BF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życia.</w:t>
            </w:r>
          </w:p>
          <w:p w:rsidR="00B04112" w:rsidRPr="00F615B7" w:rsidRDefault="006A68EA" w:rsidP="00F615B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2. Określ</w:t>
            </w:r>
            <w:r w:rsidR="00A2402F"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enie czasu leczenia w programie</w:t>
            </w:r>
          </w:p>
          <w:p w:rsidR="006A68EA" w:rsidRPr="00F615B7" w:rsidRDefault="00A656B5" w:rsidP="00F615B7">
            <w:pPr>
              <w:spacing w:before="120" w:after="120"/>
              <w:ind w:left="17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Podawanie t</w:t>
            </w:r>
            <w:r w:rsidR="009409E6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rastuzumab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9409E6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53FE1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jest kontynuowan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E53FE1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 zakończeniu chemioterapii </w:t>
            </w:r>
            <w:r w:rsidR="006A68EA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 wystąpienia progresji choroby lub </w:t>
            </w:r>
            <w:r w:rsidR="00E53FE1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istotnej klinicznie toksyczności, która nakazuje zaprzestanie leczenia.</w:t>
            </w:r>
          </w:p>
          <w:p w:rsidR="00327DE7" w:rsidRDefault="005430DB" w:rsidP="00F615B7">
            <w:pPr>
              <w:spacing w:before="120" w:after="120"/>
              <w:ind w:left="17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Maksymalna liczba </w:t>
            </w:r>
            <w:r w:rsidR="008B4135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cykli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chemioterapii </w:t>
            </w:r>
            <w:r w:rsidR="00456C7D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cisplatyną i </w:t>
            </w:r>
            <w:r w:rsidR="009409E6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fluorouracylem lub cisplatyną i kap</w:t>
            </w:r>
            <w:r w:rsidR="0011076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9409E6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cytabiną 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wynosi 6. </w:t>
            </w:r>
          </w:p>
          <w:p w:rsidR="00E62932" w:rsidRPr="00F615B7" w:rsidRDefault="00E62932" w:rsidP="00F615B7">
            <w:pPr>
              <w:spacing w:before="120" w:after="120"/>
              <w:ind w:left="17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327DE7" w:rsidRPr="00F615B7" w:rsidRDefault="00327DE7" w:rsidP="00F615B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3. Kryteria uniemożliwiające udział w programie</w:t>
            </w:r>
          </w:p>
          <w:p w:rsidR="008B4135" w:rsidRPr="00F615B7" w:rsidRDefault="004347FA" w:rsidP="00D5604F">
            <w:pPr>
              <w:numPr>
                <w:ilvl w:val="0"/>
                <w:numId w:val="33"/>
              </w:numPr>
              <w:spacing w:after="0"/>
              <w:ind w:left="567" w:hanging="39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833E1D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rzebyta chemioterapia z po</w:t>
            </w:r>
            <w:r w:rsidR="003C33BF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wodu przerzutowego raka żołądka;</w:t>
            </w:r>
          </w:p>
          <w:p w:rsidR="00917AD2" w:rsidRPr="00F615B7" w:rsidRDefault="004347FA" w:rsidP="00D5604F">
            <w:pPr>
              <w:numPr>
                <w:ilvl w:val="0"/>
                <w:numId w:val="33"/>
              </w:numPr>
              <w:spacing w:after="0"/>
              <w:ind w:left="567" w:hanging="39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917AD2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adwrażliwość na trastuzumab</w:t>
            </w:r>
            <w:r w:rsidR="00E53FE1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białko mysie </w:t>
            </w:r>
            <w:r w:rsidR="00917AD2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 substancje pomocnicze</w:t>
            </w:r>
            <w:r w:rsidR="008F15A6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917AD2" w:rsidRPr="00F615B7" w:rsidRDefault="004347FA" w:rsidP="00D5604F">
            <w:pPr>
              <w:numPr>
                <w:ilvl w:val="0"/>
                <w:numId w:val="33"/>
              </w:numPr>
              <w:spacing w:after="0"/>
              <w:ind w:left="567" w:hanging="397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</w:t>
            </w:r>
            <w:r w:rsidR="00917AD2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asilona 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duszność spoczynkowa związana z </w:t>
            </w:r>
            <w:r w:rsidR="00917AD2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zaawansowaniem nowotworu lub innymi chorobami; </w:t>
            </w:r>
          </w:p>
          <w:p w:rsidR="00917AD2" w:rsidRPr="00F615B7" w:rsidRDefault="004347FA" w:rsidP="00D5604F">
            <w:pPr>
              <w:numPr>
                <w:ilvl w:val="0"/>
                <w:numId w:val="33"/>
              </w:numPr>
              <w:spacing w:after="0"/>
              <w:ind w:left="567" w:hanging="39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</w:t>
            </w:r>
            <w:r w:rsidR="00917AD2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tan sprawności 2-4</w:t>
            </w:r>
            <w:r w:rsidR="008F15A6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według WHO;</w:t>
            </w:r>
          </w:p>
          <w:p w:rsidR="00917AD2" w:rsidRPr="00F615B7" w:rsidRDefault="004347FA" w:rsidP="00D5604F">
            <w:pPr>
              <w:numPr>
                <w:ilvl w:val="0"/>
                <w:numId w:val="33"/>
              </w:numPr>
              <w:spacing w:after="0"/>
              <w:ind w:left="567" w:hanging="39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917AD2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iewydolność sercowo-naczyniowa i nadciśnienie tętnicze nie poddające się leczeniu farmakologicznemu</w:t>
            </w:r>
            <w:r w:rsidR="008F15A6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917AD2" w:rsidRPr="00F615B7" w:rsidRDefault="004347FA" w:rsidP="00D5604F">
            <w:pPr>
              <w:numPr>
                <w:ilvl w:val="0"/>
                <w:numId w:val="33"/>
              </w:numPr>
              <w:spacing w:after="0"/>
              <w:ind w:left="567" w:hanging="39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917AD2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iąża i karmienie piersią;</w:t>
            </w:r>
          </w:p>
          <w:p w:rsidR="00917AD2" w:rsidRPr="00F615B7" w:rsidRDefault="004347FA" w:rsidP="00D5604F">
            <w:pPr>
              <w:numPr>
                <w:ilvl w:val="0"/>
                <w:numId w:val="33"/>
              </w:numPr>
              <w:spacing w:after="0"/>
              <w:ind w:left="567" w:hanging="39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</w:t>
            </w:r>
            <w:r w:rsidR="00917AD2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linicznie objawowe przerzuty do </w:t>
            </w:r>
            <w:r w:rsidR="00F2640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917AD2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UN</w:t>
            </w:r>
            <w:r w:rsidR="008F15A6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F26409" w:rsidRPr="00F615B7" w:rsidRDefault="004347FA" w:rsidP="00D5604F">
            <w:pPr>
              <w:numPr>
                <w:ilvl w:val="0"/>
                <w:numId w:val="33"/>
              </w:numPr>
              <w:spacing w:after="0"/>
              <w:ind w:left="567" w:hanging="39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917AD2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nne poważne współistniejące choroby uniemożliwiające przeprowadzenie leczenia</w:t>
            </w:r>
            <w:r w:rsidR="003C33BF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F26409" w:rsidRPr="00F615B7" w:rsidRDefault="004347FA" w:rsidP="00D5604F">
            <w:pPr>
              <w:numPr>
                <w:ilvl w:val="0"/>
                <w:numId w:val="33"/>
              </w:numPr>
              <w:spacing w:after="0"/>
              <w:ind w:left="567" w:hanging="39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5D592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stotne klinicznie </w:t>
            </w:r>
            <w:r w:rsidR="00E53FE1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stanowiące przeciwskazanie do stosowania chemioterapii zaburzenia wskaźników czynności układu krwiotwórczego, nerek lub wątroby.</w:t>
            </w:r>
          </w:p>
          <w:p w:rsidR="004347FA" w:rsidRPr="00F615B7" w:rsidRDefault="004347FA" w:rsidP="00D5604F">
            <w:pPr>
              <w:spacing w:after="0"/>
              <w:ind w:left="719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B46C10" w:rsidRPr="00F615B7" w:rsidRDefault="00327DE7" w:rsidP="00F615B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4. Kryteria zakończenia udziału w programie</w:t>
            </w:r>
          </w:p>
          <w:p w:rsidR="008F15A6" w:rsidRPr="00F615B7" w:rsidRDefault="004347FA" w:rsidP="00D5604F">
            <w:pPr>
              <w:numPr>
                <w:ilvl w:val="0"/>
                <w:numId w:val="38"/>
              </w:numPr>
              <w:spacing w:after="0"/>
              <w:ind w:left="527" w:hanging="39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8F15A6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rogresja chorob</w:t>
            </w:r>
            <w:r w:rsidR="005D592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 w trakcie stosowania leczenia</w:t>
            </w:r>
            <w:r w:rsidR="008F15A6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F26409" w:rsidRPr="00F615B7" w:rsidRDefault="004347FA" w:rsidP="00D5604F">
            <w:pPr>
              <w:numPr>
                <w:ilvl w:val="0"/>
                <w:numId w:val="38"/>
              </w:numPr>
              <w:spacing w:after="0"/>
              <w:ind w:left="527" w:hanging="39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8F15A6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ystąpienie </w:t>
            </w:r>
            <w:r w:rsidR="00E53FE1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istotnych klinicznie zaburzeń wskaźników czynności układu krwiotwórczego, nerek lub wątroby uniemożliwiających dalsze leczenie</w:t>
            </w:r>
            <w:r w:rsidR="00F2640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321CAD" w:rsidRDefault="004347FA" w:rsidP="00321CAD">
            <w:pPr>
              <w:numPr>
                <w:ilvl w:val="0"/>
                <w:numId w:val="38"/>
              </w:numPr>
              <w:spacing w:after="0"/>
              <w:ind w:left="527" w:hanging="39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8B4135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iąża.</w:t>
            </w:r>
          </w:p>
          <w:p w:rsidR="00321CAD" w:rsidRPr="00321CAD" w:rsidRDefault="00321CAD" w:rsidP="00321CAD">
            <w:pPr>
              <w:spacing w:after="0"/>
              <w:ind w:left="13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321CAD" w:rsidRDefault="00321CAD" w:rsidP="00321CA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CA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5. </w:t>
            </w:r>
            <w:r w:rsidRPr="00321CAD">
              <w:rPr>
                <w:rFonts w:ascii="Times New Roman" w:hAnsi="Times New Roman" w:cs="Times New Roman"/>
                <w:b/>
                <w:sz w:val="20"/>
                <w:szCs w:val="20"/>
              </w:rPr>
              <w:t>Kontynuacja leczenia pacjentów po zakończeniu finansowania w ramach chemioterapii niestandardowej</w:t>
            </w:r>
          </w:p>
          <w:p w:rsidR="00321CAD" w:rsidRPr="00321CAD" w:rsidRDefault="00321CAD" w:rsidP="00321CAD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CAD">
              <w:rPr>
                <w:rFonts w:ascii="Times New Roman" w:hAnsi="Times New Roman" w:cs="Times New Roman"/>
                <w:sz w:val="20"/>
                <w:szCs w:val="20"/>
              </w:rPr>
              <w:t xml:space="preserve">Z dniem 1 kwietnia 2018 roku do programu </w:t>
            </w:r>
            <w:r w:rsidRPr="00321C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kwalifikowani mogą być pacjenci, których leczenie było finansowane do tego dnia w ramach programu chemioterapii niestandardowej.</w:t>
            </w:r>
          </w:p>
          <w:p w:rsidR="00321CAD" w:rsidRPr="00321CAD" w:rsidRDefault="00321CAD" w:rsidP="00321CAD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CAD">
              <w:rPr>
                <w:rFonts w:ascii="Times New Roman" w:hAnsi="Times New Roman" w:cs="Times New Roman"/>
                <w:sz w:val="20"/>
                <w:szCs w:val="20"/>
              </w:rPr>
              <w:t>Kwalifikacja, o której mowa w pkt. 1, dotyczy leczenia tą samą substancją czynną, która była finansowana w ramach programu chemioterapii niestandardowej.</w:t>
            </w:r>
          </w:p>
          <w:p w:rsidR="00321CAD" w:rsidRPr="00321CAD" w:rsidRDefault="00321CAD" w:rsidP="00321CAD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CAD">
              <w:rPr>
                <w:rFonts w:ascii="Times New Roman" w:hAnsi="Times New Roman" w:cs="Times New Roman"/>
                <w:sz w:val="20"/>
                <w:szCs w:val="20"/>
              </w:rPr>
              <w:t>Pacjenci, o których mowa w pkt. 1 nie muszą spełniać w chwili kwalifikacji, innych kryteriów wymaganych do włączenia do programu.</w:t>
            </w:r>
          </w:p>
          <w:p w:rsidR="00321CAD" w:rsidRPr="00321CAD" w:rsidRDefault="00321CAD" w:rsidP="00321CAD">
            <w:pPr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CAD">
              <w:rPr>
                <w:rFonts w:ascii="Times New Roman" w:hAnsi="Times New Roman" w:cs="Times New Roman"/>
                <w:sz w:val="20"/>
                <w:szCs w:val="20"/>
              </w:rPr>
              <w:t>Pacjenci, o których mowa w pkt. 1 kontynuują leczenie w ramach programu do momentu podjęcia decyzji przez lekarza prowadzącego o zakończeniu leczenia danym lekiem.</w:t>
            </w:r>
          </w:p>
          <w:p w:rsidR="00321CAD" w:rsidRPr="00321CAD" w:rsidRDefault="00321CAD" w:rsidP="00321CA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2" w:type="pct"/>
            <w:shd w:val="clear" w:color="auto" w:fill="auto"/>
          </w:tcPr>
          <w:p w:rsidR="001B11B7" w:rsidRPr="00F615B7" w:rsidRDefault="00954E7E" w:rsidP="00F615B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 xml:space="preserve">1. </w:t>
            </w:r>
            <w:r w:rsidR="001B11B7" w:rsidRPr="00F615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Leczenie chorych na raka żołądka z przerzutami trastuzumabem w skojarzeniu z</w:t>
            </w:r>
            <w:r w:rsidR="001B11B7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77F"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cisplatyną i fluorouracylem lub cisplatyną i </w:t>
            </w:r>
            <w:r w:rsidR="001B11B7"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kapecytabiną</w:t>
            </w:r>
          </w:p>
          <w:p w:rsidR="006A68EA" w:rsidRPr="00F615B7" w:rsidRDefault="002F0B23" w:rsidP="00F615B7">
            <w:pPr>
              <w:spacing w:before="120" w:after="120"/>
              <w:ind w:left="57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Trastuzumab stosowany jest co 3 tygodnie – pierwsza dawka leku wynosi 8 mg/kg masy ciała i.v., a następne 6 mg/kg.</w:t>
            </w:r>
          </w:p>
          <w:p w:rsidR="003615D8" w:rsidRPr="00F615B7" w:rsidRDefault="003615D8" w:rsidP="00F615B7">
            <w:pPr>
              <w:spacing w:before="120" w:after="120"/>
              <w:ind w:left="57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Chemioterapia rozpoczynana jest w dniu podania pierwszej dawki trastuzumabu i polega na zastosowaniu jednego z dwu schematów:</w:t>
            </w:r>
          </w:p>
          <w:p w:rsidR="003615D8" w:rsidRPr="00F615B7" w:rsidRDefault="003615D8" w:rsidP="00F615B7">
            <w:pPr>
              <w:pStyle w:val="Akapitzlist"/>
              <w:numPr>
                <w:ilvl w:val="0"/>
                <w:numId w:val="39"/>
              </w:numPr>
              <w:spacing w:after="0"/>
              <w:ind w:left="454" w:hanging="284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cisplatyna 80 mg/</w:t>
            </w:r>
            <w:r w:rsidR="00ED7C0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</w:t>
            </w:r>
            <w:r w:rsidR="00ED7C09" w:rsidRPr="00F615B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i.v dzień 1 oraz fluorouracyl wlew ciągły i.v. 800 mg/</w:t>
            </w:r>
            <w:r w:rsidR="00ED7C0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m</w:t>
            </w:r>
            <w:r w:rsidR="00ED7C09" w:rsidRPr="00F615B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na dobę dni 1-5; cykle powtarzane co 3 tygodnie;</w:t>
            </w:r>
          </w:p>
          <w:p w:rsidR="004251AD" w:rsidRPr="00F615B7" w:rsidRDefault="00ED7C09" w:rsidP="00F615B7">
            <w:pPr>
              <w:pStyle w:val="Akapitzlist"/>
              <w:numPr>
                <w:ilvl w:val="0"/>
                <w:numId w:val="39"/>
              </w:numPr>
              <w:spacing w:before="120" w:after="120"/>
              <w:ind w:left="454" w:hanging="284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cisplatyna 80 mg/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="003615D8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CB163F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i.v dzień 1 oraz kapecytabina 1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000 </w:t>
            </w:r>
            <w:r w:rsidR="003615D8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mg/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m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="003615D8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2 x dziennie p.o. w dniach 1-14; cykle powtarzane co 3 tygodnie</w:t>
            </w:r>
            <w:r w:rsidR="00954E7E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.</w:t>
            </w:r>
          </w:p>
          <w:p w:rsidR="00ED7C09" w:rsidRPr="00F615B7" w:rsidRDefault="003615D8" w:rsidP="00F615B7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Dopuszczalne jest zmniejsze</w:t>
            </w:r>
            <w:r w:rsidR="00ED7C0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nie dawek leków cytotoksycznych 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maksymalnie o 25% w zależności od toksyczności lub opóź</w:t>
            </w:r>
            <w:r w:rsidR="008B4135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nienie podania kolejnego kursu.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:rsidR="003615D8" w:rsidRPr="00F615B7" w:rsidRDefault="003615D8" w:rsidP="00F615B7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7B45A7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przypadku nietolerancji jednej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fluoropirymidyn możliwa jest zmiana schematu chemioterapii na alternatywny (zamiana fluorouracylu na kapecytabinę 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lub odwrotnie).</w:t>
            </w:r>
          </w:p>
          <w:p w:rsidR="006A68EA" w:rsidRPr="00F615B7" w:rsidRDefault="006A68EA" w:rsidP="00F615B7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:rsidR="006A68EA" w:rsidRPr="00F615B7" w:rsidRDefault="006A68EA" w:rsidP="00F615B7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744" w:type="pct"/>
            <w:shd w:val="clear" w:color="auto" w:fill="auto"/>
          </w:tcPr>
          <w:p w:rsidR="00A525B6" w:rsidRPr="00F615B7" w:rsidRDefault="00954E7E" w:rsidP="00E62932">
            <w:pPr>
              <w:pStyle w:val="Akapitzlist"/>
              <w:numPr>
                <w:ilvl w:val="0"/>
                <w:numId w:val="40"/>
              </w:numPr>
              <w:snapToGrid w:val="0"/>
              <w:ind w:left="409" w:hanging="45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lastRenderedPageBreak/>
              <w:t>B</w:t>
            </w:r>
            <w:r w:rsidR="00400131"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a</w:t>
            </w:r>
            <w:r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dania</w:t>
            </w:r>
            <w:r w:rsidR="008B4135"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przy kwalifikacji</w:t>
            </w:r>
          </w:p>
          <w:p w:rsidR="00400131" w:rsidRPr="00F615B7" w:rsidRDefault="004347FA" w:rsidP="00E62932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b</w:t>
            </w:r>
            <w:r w:rsidR="00400131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adanie immunohistochemiczne (ocena nadekspresji rece</w:t>
            </w:r>
            <w:r w:rsidR="008B4135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ptora HER2</w:t>
            </w:r>
            <w:r w:rsidR="00400131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)</w:t>
            </w:r>
            <w:r w:rsidR="00110769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;</w:t>
            </w:r>
          </w:p>
          <w:p w:rsidR="00400131" w:rsidRPr="00F615B7" w:rsidRDefault="004347FA" w:rsidP="00D5604F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</w:t>
            </w:r>
            <w:r w:rsidR="008B3212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orfologia krwi </w:t>
            </w:r>
            <w:r w:rsidR="008B4135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 rozmazem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;</w:t>
            </w:r>
          </w:p>
          <w:p w:rsidR="00110769" w:rsidRPr="00F615B7" w:rsidRDefault="004347FA" w:rsidP="00D5604F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</w:t>
            </w:r>
            <w:r w:rsidR="0011076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adania biochemiczne:</w:t>
            </w:r>
          </w:p>
          <w:p w:rsidR="00110769" w:rsidRPr="00F615B7" w:rsidRDefault="0025720B" w:rsidP="00D5604F">
            <w:pPr>
              <w:spacing w:after="0"/>
              <w:ind w:left="51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a)</w:t>
            </w:r>
            <w:r w:rsidR="00110769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8B3212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tężenie kreatyniny;</w:t>
            </w:r>
          </w:p>
          <w:p w:rsidR="00110769" w:rsidRPr="00F615B7" w:rsidRDefault="0025720B" w:rsidP="00D5604F">
            <w:pPr>
              <w:spacing w:after="0"/>
              <w:ind w:left="51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b) </w:t>
            </w:r>
            <w:r w:rsidR="00110769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stężenie </w:t>
            </w:r>
            <w:r w:rsidR="00400131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AL</w:t>
            </w:r>
            <w:r w:rsidR="008B3212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AT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;</w:t>
            </w:r>
          </w:p>
          <w:p w:rsidR="00110769" w:rsidRPr="00F615B7" w:rsidRDefault="0025720B" w:rsidP="00D5604F">
            <w:pPr>
              <w:spacing w:after="0"/>
              <w:ind w:left="51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c)</w:t>
            </w:r>
            <w:r w:rsidR="00110769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stężenie </w:t>
            </w:r>
            <w:r w:rsidR="008B3212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As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pAT;</w:t>
            </w:r>
          </w:p>
          <w:p w:rsidR="00110769" w:rsidRPr="00F615B7" w:rsidRDefault="0025720B" w:rsidP="00D5604F">
            <w:pPr>
              <w:spacing w:after="0"/>
              <w:ind w:left="51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d) 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stężenie bilirubiny;</w:t>
            </w:r>
          </w:p>
          <w:p w:rsidR="00110769" w:rsidRPr="00F615B7" w:rsidRDefault="0025720B" w:rsidP="00D5604F">
            <w:pPr>
              <w:spacing w:after="0"/>
              <w:ind w:left="5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e)</w:t>
            </w:r>
            <w:r w:rsidR="0011076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B3212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stężenie sodu</w:t>
            </w:r>
            <w:r w:rsidR="00456C7D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110769" w:rsidRPr="00F615B7" w:rsidRDefault="0025720B" w:rsidP="00D5604F">
            <w:pPr>
              <w:spacing w:after="0"/>
              <w:ind w:left="5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f) </w:t>
            </w:r>
            <w:r w:rsidR="0011076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stężenie</w:t>
            </w:r>
            <w:r w:rsidR="008B3212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potasu</w:t>
            </w:r>
            <w:r w:rsidR="00456C7D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05669B" w:rsidRPr="00F615B7" w:rsidRDefault="0025720B" w:rsidP="00D5604F">
            <w:pPr>
              <w:spacing w:after="0"/>
              <w:ind w:left="5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g) </w:t>
            </w:r>
            <w:r w:rsidR="0011076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stężenie </w:t>
            </w:r>
            <w:r w:rsidR="00456C7D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wapnia.</w:t>
            </w:r>
          </w:p>
          <w:p w:rsidR="00F26409" w:rsidRPr="00F615B7" w:rsidRDefault="008B3212" w:rsidP="00D5604F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RTG lub KT klatki piersiowej (wykonane w ciągu ostatnich 4 tyg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odni) – wybór rodzaju badania w </w:t>
            </w: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zależności od możliwości oceny wymiarów zmian;</w:t>
            </w:r>
          </w:p>
          <w:p w:rsidR="00F26409" w:rsidRPr="00F615B7" w:rsidRDefault="008B3212" w:rsidP="00D5604F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KT jamy brzusznej (wykona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ne w ciągu ostatnich 4 </w:t>
            </w: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tygodni)</w:t>
            </w:r>
            <w:r w:rsidR="00FC517C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;</w:t>
            </w:r>
          </w:p>
          <w:p w:rsidR="00F26409" w:rsidRPr="00F615B7" w:rsidRDefault="004347FA" w:rsidP="00D5604F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</w:t>
            </w:r>
            <w:r w:rsidR="008B3212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cyntygrafia kośćca (w zależności od oceny sytuacji klinicznej); </w:t>
            </w:r>
          </w:p>
          <w:p w:rsidR="008B3212" w:rsidRPr="00F615B7" w:rsidRDefault="008B3212" w:rsidP="00D5604F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EKG i ECHO</w:t>
            </w:r>
            <w:r w:rsidR="00974E8E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lub MRI</w:t>
            </w: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, konsultacja kardiologiczna - jedynie w przypadku wskazań klinicznych dotyczących wydolności układu sercowo-naczyniowego lub nieprawidłowych wyników EKG lub ECHO</w:t>
            </w:r>
            <w:r w:rsidR="00974E8E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lub MRI</w:t>
            </w: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;</w:t>
            </w:r>
          </w:p>
          <w:p w:rsidR="008B3212" w:rsidRPr="00F615B7" w:rsidRDefault="004347FA" w:rsidP="00D5604F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</w:t>
            </w:r>
            <w:r w:rsidR="008B3212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róba ciążowa (u kobiet z możliwością zajścia w ciążę);</w:t>
            </w:r>
          </w:p>
          <w:p w:rsidR="004347FA" w:rsidRPr="00022794" w:rsidRDefault="00974E8E" w:rsidP="00022794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KT lub MRI mózgu </w:t>
            </w:r>
            <w:r w:rsidR="008B3212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(tylko, gdy są wskazania kliniczne).</w:t>
            </w:r>
          </w:p>
          <w:p w:rsidR="00E62932" w:rsidRPr="00F615B7" w:rsidRDefault="00E62932" w:rsidP="00F615B7">
            <w:pPr>
              <w:spacing w:before="120" w:after="120"/>
              <w:ind w:left="40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6A68EA" w:rsidRPr="00F615B7" w:rsidRDefault="00954E7E" w:rsidP="00F615B7">
            <w:pPr>
              <w:pStyle w:val="Akapitzlist"/>
              <w:numPr>
                <w:ilvl w:val="0"/>
                <w:numId w:val="40"/>
              </w:numPr>
              <w:snapToGrid w:val="0"/>
              <w:spacing w:before="120" w:after="120"/>
              <w:ind w:left="409" w:hanging="453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Monitorowanie leczenia</w:t>
            </w:r>
          </w:p>
          <w:p w:rsidR="001D53B9" w:rsidRPr="00F615B7" w:rsidRDefault="004347FA" w:rsidP="00D5604F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</w:t>
            </w:r>
            <w:r w:rsidR="008B4135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orfologia krwi</w:t>
            </w:r>
            <w:r w:rsidR="00400131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(z rozmazem)</w:t>
            </w:r>
            <w:r w:rsidR="001D53B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przed każdym kolejnym cyklem chemioterapii (zgodnie z rytmem kolejnych cykli), a następnie ni</w:t>
            </w:r>
            <w:r w:rsidR="00456C7D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rzadziej, niż co 3 miesiące w </w:t>
            </w:r>
            <w:r w:rsidR="001D53B9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czasie wyłącznego stosowania trastuzumabu; </w:t>
            </w:r>
          </w:p>
          <w:p w:rsidR="00527964" w:rsidRPr="00F615B7" w:rsidRDefault="004347FA" w:rsidP="00D5604F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</w:t>
            </w:r>
            <w:r w:rsidR="00527964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adania biochemiczne:</w:t>
            </w:r>
          </w:p>
          <w:p w:rsidR="00954E7E" w:rsidRPr="00F615B7" w:rsidRDefault="00456C7D" w:rsidP="00D5604F">
            <w:pPr>
              <w:spacing w:after="0"/>
              <w:ind w:left="5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a) stężenie kreatyniny;</w:t>
            </w:r>
          </w:p>
          <w:p w:rsidR="00954E7E" w:rsidRPr="00F615B7" w:rsidRDefault="00456C7D" w:rsidP="00D5604F">
            <w:pPr>
              <w:spacing w:after="0"/>
              <w:ind w:left="5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b) stężenie ALAT;</w:t>
            </w:r>
          </w:p>
          <w:p w:rsidR="00954E7E" w:rsidRPr="00F615B7" w:rsidRDefault="00456C7D" w:rsidP="00D5604F">
            <w:pPr>
              <w:spacing w:after="0"/>
              <w:ind w:left="5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c) stężenie AspAT;</w:t>
            </w:r>
          </w:p>
          <w:p w:rsidR="00954E7E" w:rsidRPr="00F615B7" w:rsidRDefault="00456C7D" w:rsidP="00D5604F">
            <w:pPr>
              <w:spacing w:after="0"/>
              <w:ind w:left="5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d) stężenie bilirubiny;</w:t>
            </w:r>
          </w:p>
          <w:p w:rsidR="00954E7E" w:rsidRPr="00F615B7" w:rsidRDefault="00456C7D" w:rsidP="00D5604F">
            <w:pPr>
              <w:spacing w:after="0"/>
              <w:ind w:left="5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e) stężenie sodu;</w:t>
            </w:r>
          </w:p>
          <w:p w:rsidR="00954E7E" w:rsidRPr="00F615B7" w:rsidRDefault="00456C7D" w:rsidP="00D5604F">
            <w:pPr>
              <w:spacing w:after="0"/>
              <w:ind w:left="5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f) stężenie potasu;</w:t>
            </w:r>
          </w:p>
          <w:p w:rsidR="00954E7E" w:rsidRPr="00F615B7" w:rsidRDefault="00954E7E" w:rsidP="00D5604F">
            <w:pPr>
              <w:spacing w:after="0"/>
              <w:ind w:left="5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g) stężenie wapnia.</w:t>
            </w:r>
          </w:p>
          <w:p w:rsidR="00954E7E" w:rsidRPr="00F615B7" w:rsidRDefault="00954E7E" w:rsidP="00D5604F">
            <w:pPr>
              <w:spacing w:after="0"/>
              <w:ind w:left="51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Badania wykonuje się przed każdym kolejnym cyklem chemioterapii (zgodn</w:t>
            </w:r>
            <w:r w:rsidR="00456C7D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ie z rytmem kolejnych cykli), a 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następnie nie rzadziej, niż co 3 miesiące w czasie wyłącznego stosowania trastuzumabu.</w:t>
            </w:r>
          </w:p>
          <w:p w:rsidR="001D53B9" w:rsidRPr="00F615B7" w:rsidRDefault="001D53B9" w:rsidP="00D5604F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EKG i ECHO </w:t>
            </w:r>
            <w:r w:rsidR="00974E8E"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lub MRI </w:t>
            </w: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trzecim oraz szóstym miesiącu, a następnie w przypadku klinicznych wskazań;</w:t>
            </w:r>
          </w:p>
          <w:p w:rsidR="001D53B9" w:rsidRPr="00F615B7" w:rsidRDefault="001D53B9" w:rsidP="00D5604F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KT jamy brzusznej oraz RTG lub KT klatki piersiowej, co 3 miesiące lub w przypadku wskazań klinicznych (wybór metody w zależności od wyjściowej metody obrazowej);</w:t>
            </w:r>
          </w:p>
          <w:p w:rsidR="006A68EA" w:rsidRPr="00327F38" w:rsidRDefault="004347FA" w:rsidP="00D5604F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15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="001D53B9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cyntygrafia kośćca (w odniesieniu do chor</w:t>
            </w:r>
            <w:r w:rsidR="00456C7D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ych z </w:t>
            </w:r>
            <w:r w:rsidR="001D53B9" w:rsidRPr="00F615B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przerzutami do kości) nie częściej, niż co 6 miesięcy.</w:t>
            </w:r>
          </w:p>
          <w:p w:rsidR="00327F38" w:rsidRDefault="00327F38" w:rsidP="00327F3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:rsidR="00321CAD" w:rsidRDefault="00321CAD" w:rsidP="00321C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CAD">
              <w:rPr>
                <w:rFonts w:ascii="Times New Roman" w:hAnsi="Times New Roman" w:cs="Times New Roman"/>
                <w:b/>
                <w:sz w:val="20"/>
                <w:szCs w:val="20"/>
              </w:rPr>
              <w:t>Monitorowanie leczenia pacjentów, o których mowa w sekcji Świadczeniobiorcy 5</w:t>
            </w:r>
            <w:r w:rsidR="000227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bookmarkStart w:id="0" w:name="_GoBack"/>
            <w:bookmarkEnd w:id="0"/>
            <w:r w:rsidRPr="00321C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pkt. 1., powinno być prowadzone jednakowo jak w przypadku pozostałych pacjentów.</w:t>
            </w:r>
          </w:p>
          <w:p w:rsidR="00022794" w:rsidRPr="00321CAD" w:rsidRDefault="00022794" w:rsidP="00321C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7F38" w:rsidRPr="00327F38" w:rsidRDefault="00327F38" w:rsidP="00327F38">
            <w:pPr>
              <w:pStyle w:val="Akapitzlist"/>
              <w:numPr>
                <w:ilvl w:val="0"/>
                <w:numId w:val="40"/>
              </w:numPr>
              <w:snapToGrid w:val="0"/>
              <w:spacing w:before="120" w:after="120"/>
              <w:ind w:left="409" w:hanging="453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327F3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lastRenderedPageBreak/>
              <w:t>Monitorowanie programu</w:t>
            </w:r>
          </w:p>
          <w:p w:rsidR="00327F38" w:rsidRPr="00327F38" w:rsidRDefault="00327F38" w:rsidP="00327F38">
            <w:pPr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27F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327F38" w:rsidRPr="00327F38" w:rsidRDefault="00327F38" w:rsidP="00327F38">
            <w:pPr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27F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327F38" w:rsidRDefault="00327F38" w:rsidP="00327F38">
            <w:pPr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27F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:rsidR="00321CAD" w:rsidRPr="00824707" w:rsidRDefault="00321CAD" w:rsidP="00321CAD">
            <w:pPr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21CA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W przypadku pacjentów, o których mowa w sekcji Świadczeniobiorcy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 5</w:t>
            </w:r>
            <w:r w:rsidRPr="00321CAD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. pkt. 1, nie jest wymagane uzupełnianie danych i informacji w elektronicznym systemie monitorowania programów lekowych.</w:t>
            </w:r>
          </w:p>
        </w:tc>
      </w:tr>
    </w:tbl>
    <w:p w:rsidR="00211BF2" w:rsidRPr="00CB163F" w:rsidRDefault="00211BF2">
      <w:pPr>
        <w:rPr>
          <w:rFonts w:ascii="Times New Roman" w:hAnsi="Times New Roman" w:cs="Times New Roman"/>
          <w:lang w:val="pl-PL"/>
        </w:rPr>
      </w:pPr>
    </w:p>
    <w:sectPr w:rsidR="00211BF2" w:rsidRPr="00CB163F" w:rsidSect="00844A58">
      <w:pgSz w:w="16838" w:h="11906" w:orient="landscape"/>
      <w:pgMar w:top="1588" w:right="720" w:bottom="141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033" w:rsidRDefault="00542033" w:rsidP="0066305F">
      <w:pPr>
        <w:spacing w:after="0" w:line="240" w:lineRule="auto"/>
      </w:pPr>
      <w:r>
        <w:separator/>
      </w:r>
    </w:p>
  </w:endnote>
  <w:endnote w:type="continuationSeparator" w:id="0">
    <w:p w:rsidR="00542033" w:rsidRDefault="00542033" w:rsidP="0066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">
    <w:altName w:val="Cambria Math"/>
    <w:charset w:val="00"/>
    <w:family w:val="roman"/>
    <w:pitch w:val="variable"/>
    <w:sig w:usb0="00000001" w:usb1="5000E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033" w:rsidRDefault="00542033" w:rsidP="0066305F">
      <w:pPr>
        <w:spacing w:after="0" w:line="240" w:lineRule="auto"/>
      </w:pPr>
      <w:r>
        <w:separator/>
      </w:r>
    </w:p>
  </w:footnote>
  <w:footnote w:type="continuationSeparator" w:id="0">
    <w:p w:rsidR="00542033" w:rsidRDefault="00542033" w:rsidP="00663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4A8D6E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C68AA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PMingLiU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2A24DC"/>
    <w:multiLevelType w:val="hybridMultilevel"/>
    <w:tmpl w:val="6FD4B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55570"/>
    <w:multiLevelType w:val="hybridMultilevel"/>
    <w:tmpl w:val="09020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E5F"/>
    <w:multiLevelType w:val="hybridMultilevel"/>
    <w:tmpl w:val="9DDEC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4C6"/>
    <w:multiLevelType w:val="hybridMultilevel"/>
    <w:tmpl w:val="D06442D8"/>
    <w:lvl w:ilvl="0" w:tplc="72BC25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E2630"/>
    <w:multiLevelType w:val="hybridMultilevel"/>
    <w:tmpl w:val="794E0E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297971"/>
    <w:multiLevelType w:val="hybridMultilevel"/>
    <w:tmpl w:val="F0C0B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85849"/>
    <w:multiLevelType w:val="hybridMultilevel"/>
    <w:tmpl w:val="0D84E628"/>
    <w:lvl w:ilvl="0" w:tplc="A976B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B6DFB"/>
    <w:multiLevelType w:val="hybridMultilevel"/>
    <w:tmpl w:val="D5F6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23DBA"/>
    <w:multiLevelType w:val="hybridMultilevel"/>
    <w:tmpl w:val="D01A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15414"/>
    <w:multiLevelType w:val="hybridMultilevel"/>
    <w:tmpl w:val="6402FDE2"/>
    <w:lvl w:ilvl="0" w:tplc="E48452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B1CCD"/>
    <w:multiLevelType w:val="hybridMultilevel"/>
    <w:tmpl w:val="AF3E86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7508C8"/>
    <w:multiLevelType w:val="hybridMultilevel"/>
    <w:tmpl w:val="163C8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E88"/>
    <w:multiLevelType w:val="hybridMultilevel"/>
    <w:tmpl w:val="F1FE31B2"/>
    <w:lvl w:ilvl="0" w:tplc="701C7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44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B4050"/>
    <w:multiLevelType w:val="multilevel"/>
    <w:tmpl w:val="A5C8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PMingLiU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2A511CC"/>
    <w:multiLevelType w:val="hybridMultilevel"/>
    <w:tmpl w:val="E4B8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B7A04"/>
    <w:multiLevelType w:val="hybridMultilevel"/>
    <w:tmpl w:val="CC6E4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C3818"/>
    <w:multiLevelType w:val="hybridMultilevel"/>
    <w:tmpl w:val="B9BC1188"/>
    <w:lvl w:ilvl="0" w:tplc="04150011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4265558B"/>
    <w:multiLevelType w:val="multilevel"/>
    <w:tmpl w:val="2E90C8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124B2"/>
    <w:multiLevelType w:val="hybridMultilevel"/>
    <w:tmpl w:val="16680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8486C"/>
    <w:multiLevelType w:val="hybridMultilevel"/>
    <w:tmpl w:val="A5A08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40D56"/>
    <w:multiLevelType w:val="hybridMultilevel"/>
    <w:tmpl w:val="2E90C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D35CE"/>
    <w:multiLevelType w:val="hybridMultilevel"/>
    <w:tmpl w:val="D688A83E"/>
    <w:lvl w:ilvl="0" w:tplc="CC80F7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pacing w:val="-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94E04"/>
    <w:multiLevelType w:val="hybridMultilevel"/>
    <w:tmpl w:val="389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06342"/>
    <w:multiLevelType w:val="multilevel"/>
    <w:tmpl w:val="4E1E4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4AD28C3"/>
    <w:multiLevelType w:val="hybridMultilevel"/>
    <w:tmpl w:val="CAACC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8436C"/>
    <w:multiLevelType w:val="hybridMultilevel"/>
    <w:tmpl w:val="771E4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267D0"/>
    <w:multiLevelType w:val="hybridMultilevel"/>
    <w:tmpl w:val="3CCA62CC"/>
    <w:lvl w:ilvl="0" w:tplc="04150011">
      <w:start w:val="1"/>
      <w:numFmt w:val="decimal"/>
      <w:lvlText w:val="%1)"/>
      <w:lvlJc w:val="left"/>
      <w:pPr>
        <w:ind w:left="512" w:hanging="360"/>
      </w:p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0" w15:restartNumberingAfterBreak="0">
    <w:nsid w:val="5D1D77C2"/>
    <w:multiLevelType w:val="hybridMultilevel"/>
    <w:tmpl w:val="4D5291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7E42B0"/>
    <w:multiLevelType w:val="hybridMultilevel"/>
    <w:tmpl w:val="3CD404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F4BCD"/>
    <w:multiLevelType w:val="hybridMultilevel"/>
    <w:tmpl w:val="58203700"/>
    <w:lvl w:ilvl="0" w:tplc="72BC25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F1674"/>
    <w:multiLevelType w:val="hybridMultilevel"/>
    <w:tmpl w:val="771E4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565F4"/>
    <w:multiLevelType w:val="hybridMultilevel"/>
    <w:tmpl w:val="1AD83B02"/>
    <w:lvl w:ilvl="0" w:tplc="CFF6CF3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86DC8"/>
    <w:multiLevelType w:val="hybridMultilevel"/>
    <w:tmpl w:val="D7CA0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C0FC0"/>
    <w:multiLevelType w:val="hybridMultilevel"/>
    <w:tmpl w:val="F8404D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E3462"/>
    <w:multiLevelType w:val="hybridMultilevel"/>
    <w:tmpl w:val="B9BC1188"/>
    <w:lvl w:ilvl="0" w:tplc="04150011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8" w15:restartNumberingAfterBreak="0">
    <w:nsid w:val="715641A3"/>
    <w:multiLevelType w:val="hybridMultilevel"/>
    <w:tmpl w:val="8B48CA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50079"/>
    <w:multiLevelType w:val="hybridMultilevel"/>
    <w:tmpl w:val="B9BC1188"/>
    <w:lvl w:ilvl="0" w:tplc="04150011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0" w15:restartNumberingAfterBreak="0">
    <w:nsid w:val="72B840CE"/>
    <w:multiLevelType w:val="hybridMultilevel"/>
    <w:tmpl w:val="AA5C37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4339C"/>
    <w:multiLevelType w:val="hybridMultilevel"/>
    <w:tmpl w:val="7C3EF762"/>
    <w:lvl w:ilvl="0" w:tplc="B336A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77028"/>
    <w:multiLevelType w:val="hybridMultilevel"/>
    <w:tmpl w:val="1E286EB4"/>
    <w:lvl w:ilvl="0" w:tplc="72BC25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16"/>
  </w:num>
  <w:num w:numId="6">
    <w:abstractNumId w:val="23"/>
  </w:num>
  <w:num w:numId="7">
    <w:abstractNumId w:val="20"/>
  </w:num>
  <w:num w:numId="8">
    <w:abstractNumId w:val="10"/>
  </w:num>
  <w:num w:numId="9">
    <w:abstractNumId w:val="18"/>
  </w:num>
  <w:num w:numId="10">
    <w:abstractNumId w:val="11"/>
  </w:num>
  <w:num w:numId="11">
    <w:abstractNumId w:val="8"/>
  </w:num>
  <w:num w:numId="12">
    <w:abstractNumId w:val="25"/>
  </w:num>
  <w:num w:numId="13">
    <w:abstractNumId w:val="22"/>
  </w:num>
  <w:num w:numId="14">
    <w:abstractNumId w:val="21"/>
  </w:num>
  <w:num w:numId="15">
    <w:abstractNumId w:val="15"/>
  </w:num>
  <w:num w:numId="16">
    <w:abstractNumId w:val="36"/>
  </w:num>
  <w:num w:numId="17">
    <w:abstractNumId w:val="3"/>
  </w:num>
  <w:num w:numId="18">
    <w:abstractNumId w:val="27"/>
  </w:num>
  <w:num w:numId="19">
    <w:abstractNumId w:val="31"/>
  </w:num>
  <w:num w:numId="20">
    <w:abstractNumId w:val="38"/>
  </w:num>
  <w:num w:numId="21">
    <w:abstractNumId w:val="40"/>
  </w:num>
  <w:num w:numId="22">
    <w:abstractNumId w:val="41"/>
  </w:num>
  <w:num w:numId="23">
    <w:abstractNumId w:val="5"/>
  </w:num>
  <w:num w:numId="24">
    <w:abstractNumId w:val="28"/>
  </w:num>
  <w:num w:numId="25">
    <w:abstractNumId w:val="33"/>
  </w:num>
  <w:num w:numId="26">
    <w:abstractNumId w:val="39"/>
  </w:num>
  <w:num w:numId="27">
    <w:abstractNumId w:val="12"/>
  </w:num>
  <w:num w:numId="28">
    <w:abstractNumId w:val="14"/>
  </w:num>
  <w:num w:numId="29">
    <w:abstractNumId w:val="35"/>
  </w:num>
  <w:num w:numId="30">
    <w:abstractNumId w:val="6"/>
  </w:num>
  <w:num w:numId="31">
    <w:abstractNumId w:val="42"/>
  </w:num>
  <w:num w:numId="32">
    <w:abstractNumId w:val="30"/>
  </w:num>
  <w:num w:numId="33">
    <w:abstractNumId w:val="13"/>
  </w:num>
  <w:num w:numId="34">
    <w:abstractNumId w:val="7"/>
  </w:num>
  <w:num w:numId="35">
    <w:abstractNumId w:val="32"/>
  </w:num>
  <w:num w:numId="36">
    <w:abstractNumId w:val="17"/>
  </w:num>
  <w:num w:numId="37">
    <w:abstractNumId w:val="9"/>
  </w:num>
  <w:num w:numId="38">
    <w:abstractNumId w:val="29"/>
  </w:num>
  <w:num w:numId="39">
    <w:abstractNumId w:val="4"/>
  </w:num>
  <w:num w:numId="40">
    <w:abstractNumId w:val="24"/>
  </w:num>
  <w:num w:numId="41">
    <w:abstractNumId w:val="19"/>
  </w:num>
  <w:num w:numId="42">
    <w:abstractNumId w:val="37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93"/>
    <w:rsid w:val="00022794"/>
    <w:rsid w:val="00056117"/>
    <w:rsid w:val="00056193"/>
    <w:rsid w:val="0005669B"/>
    <w:rsid w:val="000B6F37"/>
    <w:rsid w:val="000C7AE5"/>
    <w:rsid w:val="000E5713"/>
    <w:rsid w:val="00110769"/>
    <w:rsid w:val="00136447"/>
    <w:rsid w:val="001B11B7"/>
    <w:rsid w:val="001D53B9"/>
    <w:rsid w:val="0020408C"/>
    <w:rsid w:val="00211BF2"/>
    <w:rsid w:val="00224F2B"/>
    <w:rsid w:val="002340CB"/>
    <w:rsid w:val="00250FEB"/>
    <w:rsid w:val="0025189A"/>
    <w:rsid w:val="0025720B"/>
    <w:rsid w:val="00282AD9"/>
    <w:rsid w:val="002B3BB6"/>
    <w:rsid w:val="002D2840"/>
    <w:rsid w:val="002D4A55"/>
    <w:rsid w:val="002F0B23"/>
    <w:rsid w:val="002F6A0B"/>
    <w:rsid w:val="00321CAD"/>
    <w:rsid w:val="0032484E"/>
    <w:rsid w:val="00327DE7"/>
    <w:rsid w:val="00327F38"/>
    <w:rsid w:val="00331E4D"/>
    <w:rsid w:val="00336CA5"/>
    <w:rsid w:val="003615D8"/>
    <w:rsid w:val="003A10C4"/>
    <w:rsid w:val="003A7E24"/>
    <w:rsid w:val="003B75F7"/>
    <w:rsid w:val="003C2E9C"/>
    <w:rsid w:val="003C33BF"/>
    <w:rsid w:val="003C4AAC"/>
    <w:rsid w:val="003E7B7F"/>
    <w:rsid w:val="00400131"/>
    <w:rsid w:val="00416A5A"/>
    <w:rsid w:val="004251AD"/>
    <w:rsid w:val="004347FA"/>
    <w:rsid w:val="004362EC"/>
    <w:rsid w:val="00456C7D"/>
    <w:rsid w:val="00457263"/>
    <w:rsid w:val="00460E3B"/>
    <w:rsid w:val="004B51FD"/>
    <w:rsid w:val="004C661E"/>
    <w:rsid w:val="00527964"/>
    <w:rsid w:val="00542033"/>
    <w:rsid w:val="005430DB"/>
    <w:rsid w:val="00574ADB"/>
    <w:rsid w:val="005D5929"/>
    <w:rsid w:val="005E354E"/>
    <w:rsid w:val="005F3CC8"/>
    <w:rsid w:val="005F6249"/>
    <w:rsid w:val="005F628D"/>
    <w:rsid w:val="00607103"/>
    <w:rsid w:val="0066305F"/>
    <w:rsid w:val="006633CE"/>
    <w:rsid w:val="00676581"/>
    <w:rsid w:val="00684F2D"/>
    <w:rsid w:val="006A68EA"/>
    <w:rsid w:val="006E5392"/>
    <w:rsid w:val="00724541"/>
    <w:rsid w:val="00733800"/>
    <w:rsid w:val="00795897"/>
    <w:rsid w:val="007A738B"/>
    <w:rsid w:val="007B45A7"/>
    <w:rsid w:val="007B738F"/>
    <w:rsid w:val="007C775B"/>
    <w:rsid w:val="007E2501"/>
    <w:rsid w:val="00824707"/>
    <w:rsid w:val="00833E1D"/>
    <w:rsid w:val="00835F2C"/>
    <w:rsid w:val="008419B2"/>
    <w:rsid w:val="00844A58"/>
    <w:rsid w:val="008530FC"/>
    <w:rsid w:val="00871591"/>
    <w:rsid w:val="008B3212"/>
    <w:rsid w:val="008B4135"/>
    <w:rsid w:val="008C560F"/>
    <w:rsid w:val="008F15A6"/>
    <w:rsid w:val="00911985"/>
    <w:rsid w:val="009164C1"/>
    <w:rsid w:val="009175A2"/>
    <w:rsid w:val="00917AD2"/>
    <w:rsid w:val="009409E6"/>
    <w:rsid w:val="00954E7E"/>
    <w:rsid w:val="00974E8E"/>
    <w:rsid w:val="0097734B"/>
    <w:rsid w:val="009A136F"/>
    <w:rsid w:val="009E5AB2"/>
    <w:rsid w:val="00A03C67"/>
    <w:rsid w:val="00A12BBE"/>
    <w:rsid w:val="00A2402F"/>
    <w:rsid w:val="00A2440A"/>
    <w:rsid w:val="00A525B6"/>
    <w:rsid w:val="00A656B5"/>
    <w:rsid w:val="00A6577F"/>
    <w:rsid w:val="00AD62E9"/>
    <w:rsid w:val="00B04112"/>
    <w:rsid w:val="00B40DBF"/>
    <w:rsid w:val="00B46C10"/>
    <w:rsid w:val="00B55DF7"/>
    <w:rsid w:val="00B637D3"/>
    <w:rsid w:val="00B6443D"/>
    <w:rsid w:val="00BA2217"/>
    <w:rsid w:val="00BB1D1C"/>
    <w:rsid w:val="00C340B0"/>
    <w:rsid w:val="00C35E41"/>
    <w:rsid w:val="00CA5C13"/>
    <w:rsid w:val="00CB163F"/>
    <w:rsid w:val="00D5604F"/>
    <w:rsid w:val="00D92812"/>
    <w:rsid w:val="00DA648C"/>
    <w:rsid w:val="00DD0208"/>
    <w:rsid w:val="00E06560"/>
    <w:rsid w:val="00E127E2"/>
    <w:rsid w:val="00E45FCA"/>
    <w:rsid w:val="00E53FE1"/>
    <w:rsid w:val="00E62932"/>
    <w:rsid w:val="00E6741A"/>
    <w:rsid w:val="00E70AE2"/>
    <w:rsid w:val="00EA79B8"/>
    <w:rsid w:val="00ED7C09"/>
    <w:rsid w:val="00F02B5F"/>
    <w:rsid w:val="00F26409"/>
    <w:rsid w:val="00F54AE2"/>
    <w:rsid w:val="00F615B7"/>
    <w:rsid w:val="00FB0CD0"/>
    <w:rsid w:val="00FC517C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66F289D-BDF5-46FD-B311-DA140B4D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34B"/>
    <w:pPr>
      <w:suppressAutoHyphens/>
      <w:spacing w:after="200" w:line="276" w:lineRule="auto"/>
    </w:pPr>
    <w:rPr>
      <w:rFonts w:ascii="Minion" w:eastAsia="PMingLiU" w:hAnsi="Minion" w:cs="Calibri"/>
      <w:sz w:val="22"/>
      <w:szCs w:val="22"/>
      <w:lang w:val="en-US" w:eastAsia="ar-SA"/>
    </w:rPr>
  </w:style>
  <w:style w:type="paragraph" w:styleId="Nagwek1">
    <w:name w:val="heading 1"/>
    <w:basedOn w:val="Normalny"/>
    <w:next w:val="Normalny"/>
    <w:qFormat/>
    <w:rsid w:val="0097734B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97734B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97734B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qFormat/>
    <w:rsid w:val="0097734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97734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Nagwek6">
    <w:name w:val="heading 6"/>
    <w:basedOn w:val="Normalny"/>
    <w:next w:val="Normalny"/>
    <w:qFormat/>
    <w:rsid w:val="0097734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qFormat/>
    <w:rsid w:val="0097734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qFormat/>
    <w:rsid w:val="0097734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97734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7734B"/>
  </w:style>
  <w:style w:type="character" w:customStyle="1" w:styleId="WW8Num2z0">
    <w:name w:val="WW8Num2z0"/>
    <w:rsid w:val="0097734B"/>
    <w:rPr>
      <w:rFonts w:ascii="Symbol" w:hAnsi="Symbol" w:cs="Symbol"/>
    </w:rPr>
  </w:style>
  <w:style w:type="character" w:customStyle="1" w:styleId="WW8Num2z1">
    <w:name w:val="WW8Num2z1"/>
    <w:rsid w:val="0097734B"/>
    <w:rPr>
      <w:rFonts w:ascii="Courier New" w:hAnsi="Courier New" w:cs="Courier New"/>
    </w:rPr>
  </w:style>
  <w:style w:type="character" w:customStyle="1" w:styleId="WW8Num2z2">
    <w:name w:val="WW8Num2z2"/>
    <w:rsid w:val="0097734B"/>
    <w:rPr>
      <w:rFonts w:ascii="Wingdings" w:hAnsi="Wingdings"/>
    </w:rPr>
  </w:style>
  <w:style w:type="character" w:customStyle="1" w:styleId="WW8Num2z3">
    <w:name w:val="WW8Num2z3"/>
    <w:rsid w:val="0097734B"/>
    <w:rPr>
      <w:rFonts w:ascii="Symbol" w:hAnsi="Symbol"/>
    </w:rPr>
  </w:style>
  <w:style w:type="character" w:customStyle="1" w:styleId="WW8Num4z0">
    <w:name w:val="WW8Num4z0"/>
    <w:rsid w:val="0097734B"/>
    <w:rPr>
      <w:rFonts w:ascii="Symbol" w:hAnsi="Symbol" w:cs="Symbol"/>
    </w:rPr>
  </w:style>
  <w:style w:type="character" w:customStyle="1" w:styleId="WW8Num4z1">
    <w:name w:val="WW8Num4z1"/>
    <w:rsid w:val="0097734B"/>
    <w:rPr>
      <w:rFonts w:ascii="Courier New" w:hAnsi="Courier New" w:cs="Courier New"/>
    </w:rPr>
  </w:style>
  <w:style w:type="character" w:customStyle="1" w:styleId="WW8Num4z2">
    <w:name w:val="WW8Num4z2"/>
    <w:rsid w:val="0097734B"/>
    <w:rPr>
      <w:rFonts w:ascii="Wingdings" w:hAnsi="Wingdings"/>
    </w:rPr>
  </w:style>
  <w:style w:type="character" w:customStyle="1" w:styleId="WW8Num4z3">
    <w:name w:val="WW8Num4z3"/>
    <w:rsid w:val="0097734B"/>
    <w:rPr>
      <w:rFonts w:ascii="Symbol" w:hAnsi="Symbol"/>
    </w:rPr>
  </w:style>
  <w:style w:type="character" w:customStyle="1" w:styleId="Heading1Char">
    <w:name w:val="Heading 1 Char"/>
    <w:rsid w:val="0097734B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97734B"/>
    <w:rPr>
      <w:rFonts w:ascii="Cambria" w:eastAsia="PMingLiU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rsid w:val="0097734B"/>
    <w:rPr>
      <w:rFonts w:ascii="Cambria" w:eastAsia="PMingLiU" w:hAnsi="Cambria" w:cs="Times New Roman"/>
      <w:b/>
      <w:bCs/>
      <w:color w:val="4F81BD"/>
    </w:rPr>
  </w:style>
  <w:style w:type="character" w:customStyle="1" w:styleId="Heading4Char">
    <w:name w:val="Heading 4 Char"/>
    <w:rsid w:val="0097734B"/>
    <w:rPr>
      <w:rFonts w:ascii="Cambria" w:eastAsia="PMingLiU" w:hAnsi="Cambria" w:cs="Times New Roman"/>
      <w:b/>
      <w:bCs/>
      <w:i/>
      <w:iCs/>
      <w:color w:val="4F81BD"/>
    </w:rPr>
  </w:style>
  <w:style w:type="character" w:customStyle="1" w:styleId="Heading5Char">
    <w:name w:val="Heading 5 Char"/>
    <w:rsid w:val="0097734B"/>
    <w:rPr>
      <w:rFonts w:ascii="Cambria" w:eastAsia="PMingLiU" w:hAnsi="Cambria" w:cs="Times New Roman"/>
      <w:color w:val="243F60"/>
    </w:rPr>
  </w:style>
  <w:style w:type="character" w:customStyle="1" w:styleId="Heading6Char">
    <w:name w:val="Heading 6 Char"/>
    <w:rsid w:val="0097734B"/>
    <w:rPr>
      <w:rFonts w:ascii="Cambria" w:eastAsia="PMingLiU" w:hAnsi="Cambria" w:cs="Times New Roman"/>
      <w:i/>
      <w:iCs/>
      <w:color w:val="243F60"/>
    </w:rPr>
  </w:style>
  <w:style w:type="character" w:customStyle="1" w:styleId="Heading7Char">
    <w:name w:val="Heading 7 Char"/>
    <w:rsid w:val="0097734B"/>
    <w:rPr>
      <w:rFonts w:ascii="Cambria" w:eastAsia="PMingLiU" w:hAnsi="Cambria" w:cs="Times New Roman"/>
      <w:i/>
      <w:iCs/>
      <w:color w:val="404040"/>
    </w:rPr>
  </w:style>
  <w:style w:type="character" w:customStyle="1" w:styleId="Heading8Char">
    <w:name w:val="Heading 8 Char"/>
    <w:rsid w:val="0097734B"/>
    <w:rPr>
      <w:rFonts w:ascii="Cambria" w:eastAsia="PMingLiU" w:hAnsi="Cambria" w:cs="Times New Roman"/>
      <w:color w:val="404040"/>
      <w:sz w:val="20"/>
      <w:szCs w:val="20"/>
    </w:rPr>
  </w:style>
  <w:style w:type="character" w:customStyle="1" w:styleId="Heading9Char">
    <w:name w:val="Heading 9 Char"/>
    <w:rsid w:val="0097734B"/>
    <w:rPr>
      <w:rFonts w:ascii="Cambria" w:eastAsia="PMingLiU" w:hAnsi="Cambria" w:cs="Times New Roman"/>
      <w:i/>
      <w:iCs/>
      <w:color w:val="404040"/>
      <w:sz w:val="20"/>
      <w:szCs w:val="20"/>
    </w:rPr>
  </w:style>
  <w:style w:type="character" w:customStyle="1" w:styleId="TitleChar">
    <w:name w:val="Title Char"/>
    <w:rsid w:val="0097734B"/>
    <w:rPr>
      <w:rFonts w:ascii="Cambria" w:eastAsia="PMingLiU" w:hAnsi="Cambria" w:cs="Times New Roman"/>
      <w:color w:val="17365D"/>
      <w:spacing w:val="5"/>
      <w:kern w:val="1"/>
      <w:sz w:val="52"/>
      <w:szCs w:val="52"/>
    </w:rPr>
  </w:style>
  <w:style w:type="character" w:styleId="Tytuksiki">
    <w:name w:val="Book Title"/>
    <w:qFormat/>
    <w:rsid w:val="0097734B"/>
    <w:rPr>
      <w:b/>
      <w:bCs/>
      <w:smallCaps/>
      <w:spacing w:val="5"/>
    </w:rPr>
  </w:style>
  <w:style w:type="character" w:styleId="Odwoanieintensywne">
    <w:name w:val="Intense Reference"/>
    <w:qFormat/>
    <w:rsid w:val="0097734B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qFormat/>
    <w:rsid w:val="0097734B"/>
    <w:rPr>
      <w:smallCaps/>
      <w:color w:val="C0504D"/>
      <w:u w:val="single"/>
    </w:rPr>
  </w:style>
  <w:style w:type="character" w:customStyle="1" w:styleId="IntenseQuoteChar">
    <w:name w:val="Intense Quote Char"/>
    <w:rsid w:val="0097734B"/>
    <w:rPr>
      <w:rFonts w:ascii="Minion" w:hAnsi="Minion"/>
      <w:b/>
      <w:bCs/>
      <w:i/>
      <w:iCs/>
      <w:color w:val="4F81BD"/>
    </w:rPr>
  </w:style>
  <w:style w:type="character" w:customStyle="1" w:styleId="QuoteChar">
    <w:name w:val="Quote Char"/>
    <w:rsid w:val="0097734B"/>
    <w:rPr>
      <w:rFonts w:ascii="Minion" w:hAnsi="Minion"/>
      <w:i/>
      <w:iCs/>
      <w:color w:val="000000"/>
    </w:rPr>
  </w:style>
  <w:style w:type="character" w:customStyle="1" w:styleId="BalloonTextChar">
    <w:name w:val="Balloon Text Char"/>
    <w:rsid w:val="0097734B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rsid w:val="0097734B"/>
  </w:style>
  <w:style w:type="paragraph" w:customStyle="1" w:styleId="Nagwek10">
    <w:name w:val="Nagłówek1"/>
    <w:basedOn w:val="Normalny"/>
    <w:next w:val="Tekstpodstawowy"/>
    <w:rsid w:val="0097734B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97734B"/>
    <w:pPr>
      <w:spacing w:after="120"/>
    </w:pPr>
  </w:style>
  <w:style w:type="paragraph" w:styleId="Lista">
    <w:name w:val="List"/>
    <w:basedOn w:val="Tekstpodstawowy"/>
    <w:rsid w:val="0097734B"/>
  </w:style>
  <w:style w:type="paragraph" w:customStyle="1" w:styleId="Podpis1">
    <w:name w:val="Podpis1"/>
    <w:basedOn w:val="Normalny"/>
    <w:rsid w:val="0097734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97734B"/>
    <w:pPr>
      <w:suppressLineNumbers/>
    </w:pPr>
  </w:style>
  <w:style w:type="paragraph" w:styleId="Bezodstpw">
    <w:name w:val="No Spacing"/>
    <w:qFormat/>
    <w:rsid w:val="0097734B"/>
    <w:pPr>
      <w:suppressAutoHyphens/>
    </w:pPr>
    <w:rPr>
      <w:rFonts w:ascii="Minion" w:eastAsia="PMingLiU" w:hAnsi="Minion" w:cs="Calibri"/>
      <w:sz w:val="22"/>
      <w:szCs w:val="22"/>
      <w:lang w:val="en-US" w:eastAsia="ar-SA"/>
    </w:rPr>
  </w:style>
  <w:style w:type="paragraph" w:styleId="Tytu">
    <w:name w:val="Title"/>
    <w:basedOn w:val="Normalny"/>
    <w:next w:val="Normalny"/>
    <w:qFormat/>
    <w:rsid w:val="0097734B"/>
    <w:pPr>
      <w:spacing w:after="300" w:line="240" w:lineRule="auto"/>
    </w:pPr>
    <w:rPr>
      <w:rFonts w:ascii="Cambria" w:hAnsi="Cambria" w:cs="Times New Roman"/>
      <w:color w:val="17365D"/>
      <w:spacing w:val="5"/>
      <w:kern w:val="1"/>
      <w:sz w:val="52"/>
      <w:szCs w:val="52"/>
    </w:rPr>
  </w:style>
  <w:style w:type="paragraph" w:styleId="Podtytu">
    <w:name w:val="Subtitle"/>
    <w:basedOn w:val="Nagwek10"/>
    <w:next w:val="Tekstpodstawowy"/>
    <w:qFormat/>
    <w:rsid w:val="0097734B"/>
    <w:pPr>
      <w:jc w:val="center"/>
    </w:pPr>
    <w:rPr>
      <w:i/>
      <w:iCs/>
    </w:rPr>
  </w:style>
  <w:style w:type="paragraph" w:styleId="Akapitzlist">
    <w:name w:val="List Paragraph"/>
    <w:basedOn w:val="Normalny"/>
    <w:qFormat/>
    <w:rsid w:val="0097734B"/>
    <w:pPr>
      <w:ind w:left="720"/>
    </w:pPr>
  </w:style>
  <w:style w:type="paragraph" w:styleId="Cytatintensywny">
    <w:name w:val="Intense Quote"/>
    <w:basedOn w:val="Normalny"/>
    <w:next w:val="Normalny"/>
    <w:qFormat/>
    <w:rsid w:val="0097734B"/>
    <w:pPr>
      <w:spacing w:before="200" w:after="280"/>
      <w:ind w:left="936" w:right="936"/>
    </w:pPr>
    <w:rPr>
      <w:b/>
      <w:bCs/>
      <w:i/>
      <w:iCs/>
      <w:color w:val="4F81BD"/>
    </w:rPr>
  </w:style>
  <w:style w:type="paragraph" w:styleId="Cytat">
    <w:name w:val="Quote"/>
    <w:basedOn w:val="Normalny"/>
    <w:next w:val="Normalny"/>
    <w:qFormat/>
    <w:rsid w:val="0097734B"/>
    <w:rPr>
      <w:i/>
      <w:iCs/>
      <w:color w:val="000000"/>
    </w:rPr>
  </w:style>
  <w:style w:type="paragraph" w:styleId="Tekstdymka">
    <w:name w:val="Balloon Text"/>
    <w:basedOn w:val="Normalny"/>
    <w:rsid w:val="009773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7734B"/>
    <w:pPr>
      <w:suppressLineNumbers/>
    </w:pPr>
  </w:style>
  <w:style w:type="paragraph" w:customStyle="1" w:styleId="Nagwektabeli">
    <w:name w:val="Nagłówek tabeli"/>
    <w:basedOn w:val="Zawartotabeli"/>
    <w:rsid w:val="0097734B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630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305F"/>
    <w:rPr>
      <w:rFonts w:ascii="Minion" w:eastAsia="PMingLiU" w:hAnsi="Minion" w:cs="Calibri"/>
      <w:sz w:val="22"/>
      <w:szCs w:val="22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6630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305F"/>
    <w:rPr>
      <w:rFonts w:ascii="Minion" w:eastAsia="PMingLiU" w:hAnsi="Minion" w:cs="Calibri"/>
      <w:sz w:val="22"/>
      <w:szCs w:val="22"/>
      <w:lang w:val="en-US" w:eastAsia="ar-SA"/>
    </w:rPr>
  </w:style>
  <w:style w:type="paragraph" w:customStyle="1" w:styleId="Nagwek2beznumeracji">
    <w:name w:val="Nagłówek 2 (bez numeracji)"/>
    <w:basedOn w:val="Normalny"/>
    <w:next w:val="Tekstpodstawowy"/>
    <w:uiPriority w:val="10"/>
    <w:qFormat/>
    <w:rsid w:val="00F615B7"/>
    <w:pPr>
      <w:keepNext/>
      <w:keepLines/>
      <w:suppressAutoHyphens w:val="0"/>
      <w:spacing w:before="480" w:after="240" w:line="360" w:lineRule="auto"/>
      <w:jc w:val="both"/>
    </w:pPr>
    <w:rPr>
      <w:rFonts w:ascii="Calibri" w:eastAsia="Calibri" w:hAnsi="Calibri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0B5C0940E7F4EB5D7CD3CD9C004ED" ma:contentTypeVersion="0" ma:contentTypeDescription="Create a new document." ma:contentTypeScope="" ma:versionID="3ed15ceaeecc0672e54429a4eadd129d">
  <xsd:schema xmlns:xsd="http://www.w3.org/2001/XMLSchema" xmlns:p="http://schemas.microsoft.com/office/2006/metadata/properties" targetNamespace="http://schemas.microsoft.com/office/2006/metadata/properties" ma:root="true" ma:fieldsID="e1f84af69fa35d0b8840690b3c766d4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736CD3C-C5BB-4590-BC3B-E7BB4D725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672C8-38D5-4921-A9A4-EBE5E2927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CE2B722-2978-4861-BEDA-1A620B34B10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944</Words>
  <Characters>5668</Characters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2015-10-28T10:42:00Z</cp:lastPrinted>
  <dcterms:created xsi:type="dcterms:W3CDTF">2014-02-14T17:34:00Z</dcterms:created>
  <dcterms:modified xsi:type="dcterms:W3CDTF">2018-03-19T09:08:00Z</dcterms:modified>
</cp:coreProperties>
</file>