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44D6" w14:textId="77777777" w:rsidR="00000000" w:rsidRPr="00963F43" w:rsidRDefault="00000000" w:rsidP="00684FAD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63F43">
        <w:rPr>
          <w:rFonts w:asciiTheme="minorHAnsi" w:hAnsiTheme="minorHAnsi"/>
          <w:sz w:val="24"/>
          <w:szCs w:val="24"/>
        </w:rPr>
        <w:t>Gdańsk</w:t>
      </w:r>
      <w:bookmarkEnd w:id="0"/>
      <w:r w:rsidRPr="00963F43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963F43">
        <w:rPr>
          <w:rFonts w:asciiTheme="minorHAnsi" w:hAnsiTheme="minorHAnsi"/>
          <w:sz w:val="24"/>
          <w:szCs w:val="24"/>
        </w:rPr>
        <w:t>8 grudnia 2025</w:t>
      </w:r>
      <w:bookmarkEnd w:id="1"/>
      <w:r w:rsidRPr="00963F43">
        <w:rPr>
          <w:rFonts w:asciiTheme="minorHAnsi" w:hAnsiTheme="minorHAnsi"/>
          <w:sz w:val="24"/>
          <w:szCs w:val="24"/>
        </w:rPr>
        <w:t xml:space="preserve"> r.</w:t>
      </w:r>
    </w:p>
    <w:p w14:paraId="6570A5B9" w14:textId="77777777" w:rsidR="00000000" w:rsidRPr="00963F43" w:rsidRDefault="00000000" w:rsidP="00684FA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963F43">
        <w:rPr>
          <w:rFonts w:asciiTheme="minorHAnsi" w:hAnsiTheme="minorHAnsi"/>
          <w:sz w:val="24"/>
          <w:szCs w:val="24"/>
        </w:rPr>
        <w:t>NSP-II.431.1.2025</w:t>
      </w:r>
      <w:bookmarkEnd w:id="2"/>
      <w:r w:rsidRPr="00963F4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963F43">
        <w:rPr>
          <w:rFonts w:asciiTheme="minorHAnsi" w:hAnsiTheme="minorHAnsi"/>
          <w:sz w:val="24"/>
          <w:szCs w:val="24"/>
        </w:rPr>
        <w:t>KS</w:t>
      </w:r>
      <w:bookmarkEnd w:id="3"/>
    </w:p>
    <w:p w14:paraId="2D92A9A9" w14:textId="77777777" w:rsidR="00000000" w:rsidRPr="00963F43" w:rsidRDefault="00000000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E83911B" w14:textId="77777777" w:rsidR="00000000" w:rsidRPr="00963F43" w:rsidRDefault="00000000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862BB69" w14:textId="77777777" w:rsidR="00000000" w:rsidRPr="00801958" w:rsidRDefault="00000000" w:rsidP="00801958">
      <w:pPr>
        <w:keepNext/>
        <w:spacing w:after="0" w:line="288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32"/>
          <w:szCs w:val="32"/>
          <w:lang w:eastAsia="pl-PL"/>
        </w:rPr>
      </w:pPr>
      <w:r w:rsidRPr="00801958">
        <w:rPr>
          <w:rFonts w:asciiTheme="minorHAnsi" w:hAnsiTheme="minorHAnsi" w:cstheme="minorHAnsi"/>
          <w:b/>
          <w:bCs/>
          <w:kern w:val="32"/>
          <w:sz w:val="32"/>
          <w:szCs w:val="32"/>
          <w:lang w:eastAsia="pl-PL"/>
        </w:rPr>
        <w:t>Wystąpienie pokontrolne</w:t>
      </w:r>
    </w:p>
    <w:p w14:paraId="0EBC75B4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</w:p>
    <w:p w14:paraId="6EFC2399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Nazwa i adres jednostki kontrolowanej:</w:t>
      </w:r>
      <w:r w:rsidRPr="0080195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</w:p>
    <w:p w14:paraId="59EEA109" w14:textId="77777777" w:rsidR="00000000" w:rsidRPr="00801958" w:rsidRDefault="00000000" w:rsidP="00801958">
      <w:pPr>
        <w:keepNext/>
        <w:keepLines/>
        <w:spacing w:after="0" w:line="288" w:lineRule="auto"/>
        <w:jc w:val="both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>Starostwo Powiatowe w Kwidzynie, Wydział Geodezji i Gospodarki Nieruchomościami (</w:t>
      </w:r>
      <w:r w:rsidRPr="00801958">
        <w:rPr>
          <w:rFonts w:asciiTheme="minorHAnsi" w:eastAsia="Calibri" w:hAnsiTheme="minorHAnsi" w:cstheme="minorHAnsi"/>
          <w:sz w:val="24"/>
          <w:szCs w:val="24"/>
        </w:rPr>
        <w:t>zwane dalej „Starostwem”)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ul. Tadeusza Kościuszki 29B, 82-500 Kwidzyn</w:t>
      </w:r>
      <w:r w:rsidRPr="0080195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2A4CB3C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highlight w:val="yellow"/>
          <w:lang w:eastAsia="pl-PL"/>
        </w:rPr>
      </w:pPr>
    </w:p>
    <w:p w14:paraId="77158506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 xml:space="preserve">Przedmiot kontroli: </w:t>
      </w:r>
    </w:p>
    <w:p w14:paraId="0F9D3B48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sz w:val="24"/>
          <w:szCs w:val="24"/>
          <w:lang w:eastAsia="pl-PL"/>
        </w:rPr>
        <w:t>Realizacja wykonywania przez starostę zadań z zakresu administracji rządowej dotyczących gospodarki nieruchomościami Skarbu Państwa w zakresie:</w:t>
      </w:r>
    </w:p>
    <w:p w14:paraId="1DF7F5A0" w14:textId="77777777" w:rsidR="00000000" w:rsidRPr="00801958" w:rsidRDefault="00000000" w:rsidP="00801958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1) nieruchomości nabytych po podmiotach, które utraciły byt prawny w związku z nieprzerejestrowaniem do Krajowego Rejestru Sądowego lub wykreślonych z Krajowego Rejestru Sądowego,</w:t>
      </w:r>
    </w:p>
    <w:p w14:paraId="4C96C501" w14:textId="77777777" w:rsidR="00000000" w:rsidRPr="00801958" w:rsidRDefault="00000000" w:rsidP="00801958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2) nieruchomości niezagospodarowanych,</w:t>
      </w:r>
    </w:p>
    <w:p w14:paraId="4F1094F3" w14:textId="77777777" w:rsidR="00000000" w:rsidRPr="00801958" w:rsidRDefault="00000000" w:rsidP="00801958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3) </w:t>
      </w:r>
      <w:bookmarkStart w:id="4" w:name="_Hlk192597558"/>
      <w:r w:rsidRPr="00801958">
        <w:rPr>
          <w:rFonts w:asciiTheme="minorHAnsi" w:eastAsia="Calibri" w:hAnsiTheme="minorHAnsi" w:cstheme="minorHAnsi"/>
          <w:sz w:val="24"/>
          <w:szCs w:val="24"/>
        </w:rPr>
        <w:t>ustanawiania prawa użytkowania wieczystego oraz prawidłowego ustalania i stosowania stawek procentowych opłat rocznych z tytułu użytkowania wieczystego.</w:t>
      </w:r>
    </w:p>
    <w:bookmarkEnd w:id="4"/>
    <w:p w14:paraId="4A2F0319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sz w:val="24"/>
          <w:szCs w:val="24"/>
          <w:highlight w:val="yellow"/>
          <w:lang w:eastAsia="pl-PL"/>
        </w:rPr>
      </w:pPr>
    </w:p>
    <w:p w14:paraId="0896A13D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 xml:space="preserve">Okres objęty kontrolą: </w:t>
      </w:r>
    </w:p>
    <w:p w14:paraId="15B45BC2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>od dnia 30 kwietnia 2023 r. do dnia 30 kwietnia 2025 r.</w:t>
      </w:r>
    </w:p>
    <w:p w14:paraId="4330D69A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highlight w:val="yellow"/>
          <w:lang w:eastAsia="pl-PL"/>
        </w:rPr>
      </w:pPr>
    </w:p>
    <w:p w14:paraId="43A5A378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Podstawa prawna przeprowadzenia kontroli:</w:t>
      </w:r>
    </w:p>
    <w:p w14:paraId="447CFE0C" w14:textId="77777777" w:rsidR="00000000" w:rsidRPr="00801958" w:rsidRDefault="00000000" w:rsidP="00801958">
      <w:pPr>
        <w:keepNext/>
        <w:keepLines/>
        <w:spacing w:after="0" w:line="288" w:lineRule="auto"/>
        <w:jc w:val="both"/>
        <w:outlineLvl w:val="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sz w:val="24"/>
          <w:szCs w:val="24"/>
          <w:lang w:eastAsia="pl-PL"/>
        </w:rPr>
        <w:t>Kontrola planowa, realizowana w trybie zwykłym, prowadzona na podstawie:</w:t>
      </w:r>
    </w:p>
    <w:p w14:paraId="0A2AE8D5" w14:textId="77777777" w:rsidR="00000000" w:rsidRPr="00801958" w:rsidRDefault="00000000" w:rsidP="00801958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art. 28 ust. 1 pkt 2 ustawy z dnia 23 stycznia 2009 r. o wojewodzie i administracji rządowej w województwie (Dz.U. z 2025 r. poz. 428),</w:t>
      </w:r>
    </w:p>
    <w:p w14:paraId="2B32D805" w14:textId="77777777" w:rsidR="00000000" w:rsidRPr="00801958" w:rsidRDefault="00000000" w:rsidP="00801958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art. 6 ust. 4 pkt 3 ustawy z dnia 15 lipca 2011 r. o kontroli w administracji rządowej (Dz.U. z 2020 r. poz. 224 ze zm.),</w:t>
      </w:r>
    </w:p>
    <w:p w14:paraId="58960AD6" w14:textId="77777777" w:rsidR="00000000" w:rsidRPr="00801958" w:rsidRDefault="00000000" w:rsidP="00801958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art. 23, art. 71-78, ustawy z dnia 21 sierpnia 1997 r. o gospodarce nieruchomościami (Dz.U. z 2024 r. poz. 1145 ze zm.) - zwanej dalej „ugn”,</w:t>
      </w:r>
    </w:p>
    <w:p w14:paraId="0F2A977A" w14:textId="77777777" w:rsidR="00000000" w:rsidRPr="00801958" w:rsidRDefault="00000000" w:rsidP="00801958">
      <w:p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>4)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art. 25e ust. 1 ustawy z dnia 20 sierpnia 1997 r. o Krajowym Rejestrze Sądowym (Dz.U </w:t>
      </w:r>
    </w:p>
    <w:p w14:paraId="7001CDBA" w14:textId="77777777" w:rsidR="00000000" w:rsidRPr="00801958" w:rsidRDefault="00000000" w:rsidP="00801958">
      <w:pPr>
        <w:autoSpaceDE w:val="0"/>
        <w:autoSpaceDN w:val="0"/>
        <w:adjustRightInd w:val="0"/>
        <w:spacing w:after="0"/>
        <w:ind w:left="425" w:firstLine="1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>z 2025 r. poz. 869);</w:t>
      </w:r>
    </w:p>
    <w:p w14:paraId="103E516F" w14:textId="77777777" w:rsidR="00000000" w:rsidRPr="00801958" w:rsidRDefault="00000000" w:rsidP="00801958">
      <w:p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>5)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>art. 9 ust 2b ustawy z dnia 20 sierpnia 1997 r. Przepisy wprowadzające ustawę o Krajowym Rejestrze Sądowym ( Dz. U. Nr 121, poz. 770  ze zm.).</w:t>
      </w:r>
    </w:p>
    <w:p w14:paraId="41C6C25A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lastRenderedPageBreak/>
        <w:t>Data rozpoczęcia i zakończenia czynności kontrolnych:</w:t>
      </w:r>
    </w:p>
    <w:p w14:paraId="011AC4ED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3"/>
          <w:szCs w:val="23"/>
          <w:highlight w:val="yellow"/>
        </w:rPr>
      </w:pPr>
      <w:r w:rsidRPr="00801958">
        <w:rPr>
          <w:rFonts w:asciiTheme="minorHAnsi" w:eastAsia="Calibri" w:hAnsiTheme="minorHAnsi" w:cstheme="minorHAnsi"/>
          <w:sz w:val="23"/>
          <w:szCs w:val="23"/>
        </w:rPr>
        <w:t>od dnia 25 czerwca 2025 r. do dnia 12 listopada 2025 r.</w:t>
      </w:r>
    </w:p>
    <w:p w14:paraId="7B015D7C" w14:textId="77777777" w:rsidR="00000000" w:rsidRPr="00801958" w:rsidRDefault="00000000" w:rsidP="00801958">
      <w:pPr>
        <w:keepNext/>
        <w:spacing w:before="120"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Kierownik jednostki kontrolowanej:</w:t>
      </w:r>
    </w:p>
    <w:p w14:paraId="7E6C5063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 xml:space="preserve">W okresie objętym kontrolą Starostą Kwidzyńskim, wykonującym zadania z zakresu </w:t>
      </w:r>
      <w:r w:rsidRPr="00801958">
        <w:rPr>
          <w:rFonts w:asciiTheme="minorHAnsi" w:eastAsia="Calibri" w:hAnsiTheme="minorHAnsi" w:cstheme="minorHAnsi"/>
          <w:sz w:val="24"/>
          <w:szCs w:val="24"/>
        </w:rPr>
        <w:t>administracji rządowej (zwanym dalej „Starostą”) był:</w:t>
      </w:r>
    </w:p>
    <w:p w14:paraId="1C54D263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1. Pan Jerzy Godzik, który pełnił funkcję w latach 2018 – 2024 na podstawie Uchwały </w:t>
      </w:r>
      <w:r w:rsidRPr="00801958">
        <w:rPr>
          <w:rFonts w:asciiTheme="minorHAnsi" w:eastAsia="Calibri" w:hAnsiTheme="minorHAnsi" w:cstheme="minorHAnsi"/>
          <w:sz w:val="24"/>
          <w:szCs w:val="24"/>
        </w:rPr>
        <w:br/>
        <w:t>nr I/4/2018 Rady Powiatu Kwidzyńskiego z dnia 19 listopada 2018 r.;</w:t>
      </w:r>
    </w:p>
    <w:p w14:paraId="7D17F382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4"/>
          <w:szCs w:val="24"/>
          <w:highlight w:val="yellow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2. Pan Tomasz Frejnagiel, który pełni funkcję od 2024 na podstawie Uchwały nr I/4/2024 </w:t>
      </w:r>
      <w:r w:rsidRPr="00801958">
        <w:rPr>
          <w:rFonts w:asciiTheme="minorHAnsi" w:eastAsia="Calibri" w:hAnsiTheme="minorHAnsi" w:cstheme="minorHAnsi"/>
          <w:sz w:val="24"/>
          <w:szCs w:val="24"/>
        </w:rPr>
        <w:br/>
        <w:t>Rady Powiatu Kwidzyńskiego z dnia 6 maja 2024 r.</w:t>
      </w:r>
      <w:r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1"/>
      </w:r>
    </w:p>
    <w:p w14:paraId="1AE5B060" w14:textId="77777777" w:rsidR="00000000" w:rsidRPr="00801958" w:rsidRDefault="00000000" w:rsidP="00801958">
      <w:pPr>
        <w:keepNext/>
        <w:spacing w:before="120"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</w:rPr>
        <w:t>Skład zespołu kontrolującego:</w:t>
      </w:r>
    </w:p>
    <w:p w14:paraId="78AC06F2" w14:textId="77777777" w:rsidR="00000000" w:rsidRPr="00801958" w:rsidRDefault="00000000" w:rsidP="00801958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Karolina Szulgo </w:t>
      </w:r>
      <w:r w:rsidRPr="00801958">
        <w:rPr>
          <w:rFonts w:asciiTheme="minorHAnsi" w:eastAsia="Calibri" w:hAnsiTheme="minorHAnsi" w:cstheme="minorHAnsi"/>
          <w:bCs/>
          <w:sz w:val="24"/>
          <w:szCs w:val="24"/>
        </w:rPr>
        <w:t>– starszy inspektor wojewódzki - kierownik zespołu kontrolnego;</w:t>
      </w:r>
    </w:p>
    <w:p w14:paraId="7A937B54" w14:textId="77777777" w:rsidR="00000000" w:rsidRPr="00801958" w:rsidRDefault="00000000" w:rsidP="00801958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Urszula Sosnowska – inspektor wojewódzki.</w:t>
      </w:r>
    </w:p>
    <w:p w14:paraId="06EF4AD1" w14:textId="77777777" w:rsidR="00000000" w:rsidRPr="00801958" w:rsidRDefault="00000000" w:rsidP="00801958">
      <w:pPr>
        <w:keepNext/>
        <w:spacing w:before="120"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Informacje wstępne:</w:t>
      </w:r>
    </w:p>
    <w:p w14:paraId="2515ECCC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  <w:highlight w:val="yellow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Organizacja i zasady działania Starostwa oraz zakresy spraw załatwianych przez wewnętrzne komórki organizacyjne określone zostały </w:t>
      </w:r>
      <w:r w:rsidRPr="00801958">
        <w:rPr>
          <w:rFonts w:eastAsia="Calibri" w:cs="Calibri"/>
          <w:sz w:val="24"/>
          <w:szCs w:val="24"/>
        </w:rPr>
        <w:t>w Regulaminie Organizacyjnym Starostwa Powiatowego w Kwidzynie przyjętym przez Zarząd Powiatu Kwidzyńskiego Uchwałą nr 84/24 z dnia 19 grudnia 2024 r.</w:t>
      </w:r>
      <w:r>
        <w:rPr>
          <w:rFonts w:eastAsia="Calibri" w:cs="Calibri"/>
          <w:sz w:val="24"/>
          <w:szCs w:val="24"/>
          <w:vertAlign w:val="superscript"/>
        </w:rPr>
        <w:footnoteReference w:id="2"/>
      </w:r>
    </w:p>
    <w:p w14:paraId="552A22C7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 xml:space="preserve">Zadania podlegające kontroli zostały przypisane Wydziałowi Geodezji i Gospodarki Nieruchomościami. </w:t>
      </w:r>
      <w:r w:rsidRPr="00801958">
        <w:rPr>
          <w:rFonts w:asciiTheme="minorHAnsi" w:eastAsia="Calibri" w:hAnsiTheme="minorHAnsi" w:cstheme="minorHAnsi"/>
          <w:sz w:val="23"/>
          <w:szCs w:val="23"/>
        </w:rPr>
        <w:t>W okresie objętym kontrolą s</w:t>
      </w:r>
      <w:r w:rsidRPr="00801958">
        <w:rPr>
          <w:rFonts w:eastAsia="Calibri" w:cs="Calibri"/>
          <w:sz w:val="24"/>
          <w:szCs w:val="24"/>
        </w:rPr>
        <w:t xml:space="preserve">prawami objętymi kontrolą zajmowało się łącznie 4 pracowników, podległych służbowo Dyrektorowi Wydziału Geodezji i Gospodarki Nieruchomościami – Geodecie Powiatowemu zatrudnionych w Wydziale Geodezji </w:t>
      </w:r>
      <w:r w:rsidRPr="00801958">
        <w:rPr>
          <w:rFonts w:eastAsia="Calibri" w:cs="Calibri"/>
          <w:sz w:val="24"/>
          <w:szCs w:val="24"/>
        </w:rPr>
        <w:br/>
        <w:t>i Gospodarki Nieruchomościami, zajmujących stanowiska: Pełnomocnika Starosty, Inspektora oraz Specjalisty (jeden były i jeden obecny pracownik)</w:t>
      </w:r>
      <w:r>
        <w:rPr>
          <w:rFonts w:eastAsia="Calibri" w:cs="Calibri"/>
          <w:sz w:val="24"/>
          <w:szCs w:val="24"/>
          <w:vertAlign w:val="superscript"/>
        </w:rPr>
        <w:footnoteReference w:id="3"/>
      </w:r>
      <w:r w:rsidRPr="00801958">
        <w:rPr>
          <w:rFonts w:eastAsia="Calibri" w:cs="Calibri"/>
          <w:sz w:val="24"/>
          <w:szCs w:val="24"/>
        </w:rPr>
        <w:t>.</w:t>
      </w:r>
    </w:p>
    <w:p w14:paraId="4C850FDF" w14:textId="77777777" w:rsidR="00000000" w:rsidRPr="00801958" w:rsidRDefault="00000000" w:rsidP="00801958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7BEC736" w14:textId="77777777" w:rsidR="00000000" w:rsidRPr="00801958" w:rsidRDefault="00000000" w:rsidP="00801958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highlight w:val="yellow"/>
        </w:rPr>
      </w:pPr>
      <w:r w:rsidRPr="00801958">
        <w:rPr>
          <w:rFonts w:asciiTheme="minorHAnsi" w:eastAsia="Calibri" w:hAnsiTheme="minorHAnsi" w:cstheme="minorHAnsi"/>
          <w:b/>
          <w:bCs/>
          <w:sz w:val="24"/>
          <w:szCs w:val="24"/>
        </w:rPr>
        <w:t>W okresie objętym kontrolą Starosta zakończył następującą liczbę spraw</w:t>
      </w:r>
      <w:r>
        <w:rPr>
          <w:rFonts w:asciiTheme="minorHAnsi" w:eastAsia="Calibri" w:hAnsiTheme="minorHAnsi" w:cstheme="minorHAnsi"/>
          <w:b/>
          <w:bCs/>
          <w:sz w:val="24"/>
          <w:szCs w:val="24"/>
          <w:vertAlign w:val="superscript"/>
        </w:rPr>
        <w:footnoteReference w:id="4"/>
      </w:r>
      <w:r w:rsidRPr="00801958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</w:p>
    <w:p w14:paraId="5CED3D5B" w14:textId="77777777" w:rsidR="00000000" w:rsidRPr="00801958" w:rsidRDefault="00000000" w:rsidP="008019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14:ligatures w14:val="standardContextual"/>
        </w:rPr>
      </w:pPr>
      <w:r w:rsidRPr="00801958">
        <w:rPr>
          <w:rFonts w:asciiTheme="minorHAnsi" w:eastAsia="Calibri" w:hAnsiTheme="minorHAnsi" w:cstheme="minorHAnsi"/>
          <w:sz w:val="24"/>
          <w:szCs w:val="24"/>
          <w14:ligatures w14:val="standardContextual"/>
        </w:rPr>
        <w:t>1) ustanowienie prawa użytkowania wieczystego – 2 sprawy;</w:t>
      </w:r>
    </w:p>
    <w:p w14:paraId="1457A4A0" w14:textId="77777777" w:rsidR="00000000" w:rsidRPr="00801958" w:rsidRDefault="00000000" w:rsidP="008019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14:ligatures w14:val="standardContextual"/>
        </w:rPr>
      </w:pPr>
      <w:r w:rsidRPr="00801958">
        <w:rPr>
          <w:rFonts w:asciiTheme="minorHAnsi" w:eastAsia="Calibri" w:hAnsiTheme="minorHAnsi" w:cstheme="minorHAnsi"/>
          <w:sz w:val="24"/>
          <w:szCs w:val="24"/>
          <w14:ligatures w14:val="standardContextual"/>
        </w:rPr>
        <w:t>2) zmiana stawki procentowej opłat rocznych z tytułu użytkowania wieczystego – 0 spraw.</w:t>
      </w:r>
      <w:bookmarkStart w:id="6" w:name="_Hlk210809104"/>
    </w:p>
    <w:p w14:paraId="01535C6E" w14:textId="77777777" w:rsidR="00000000" w:rsidRPr="00801958" w:rsidRDefault="00000000" w:rsidP="008019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14:ligatures w14:val="standardContextual"/>
        </w:rPr>
      </w:pPr>
    </w:p>
    <w:p w14:paraId="760D9451" w14:textId="77777777" w:rsidR="00000000" w:rsidRPr="00801958" w:rsidRDefault="00000000" w:rsidP="008019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14:ligatures w14:val="standardContextual"/>
        </w:rPr>
      </w:pPr>
      <w:r w:rsidRPr="00801958">
        <w:rPr>
          <w:rFonts w:asciiTheme="minorHAnsi" w:eastAsia="Calibri" w:hAnsiTheme="minorHAnsi" w:cstheme="minorHAnsi"/>
          <w:sz w:val="24"/>
          <w:szCs w:val="24"/>
          <w14:ligatures w14:val="standardContextual"/>
        </w:rPr>
        <w:t>Jednocześnie analiza spraw</w:t>
      </w:r>
      <w:r>
        <w:rPr>
          <w:rFonts w:asciiTheme="minorHAnsi" w:eastAsia="Calibri" w:hAnsiTheme="minorHAnsi" w:cstheme="minorHAnsi"/>
          <w:sz w:val="24"/>
          <w:szCs w:val="24"/>
          <w:vertAlign w:val="superscript"/>
          <w14:ligatures w14:val="standardContextual"/>
        </w:rPr>
        <w:footnoteReference w:id="5"/>
      </w:r>
      <w:r w:rsidRPr="00801958">
        <w:rPr>
          <w:rFonts w:asciiTheme="minorHAnsi" w:eastAsia="Calibri" w:hAnsiTheme="minorHAnsi" w:cstheme="minorHAnsi"/>
          <w:sz w:val="24"/>
          <w:szCs w:val="24"/>
          <w14:ligatures w14:val="standardContextual"/>
        </w:rPr>
        <w:t xml:space="preserve"> przedstawionych przez Starostę w zakresie ustanowienia prawa użytkowania wieczystego wykazała, że dotyczą one aktualizacji danych zawartych w ewidencji gruntów i budynków odnośnie podmiotu właściwego, któremu przysługuje prawo własności nieruchomości oddanej w użytkowanie wieczyste, w związku z powyższym zespół kontrolny odstąpił od oceny tych spraw.</w:t>
      </w:r>
    </w:p>
    <w:bookmarkEnd w:id="6"/>
    <w:p w14:paraId="01FFD5A7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8"/>
          <w:szCs w:val="28"/>
          <w:highlight w:val="yellow"/>
          <w:lang w:eastAsia="pl-PL"/>
        </w:rPr>
      </w:pPr>
    </w:p>
    <w:p w14:paraId="4EB407D0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8"/>
          <w:szCs w:val="28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8"/>
          <w:szCs w:val="28"/>
          <w:lang w:eastAsia="pl-PL"/>
        </w:rPr>
        <w:t>Ustalenia:</w:t>
      </w:r>
    </w:p>
    <w:p w14:paraId="6B9C8D7B" w14:textId="77777777" w:rsidR="00000000" w:rsidRPr="00801958" w:rsidRDefault="00000000" w:rsidP="00801958">
      <w:pPr>
        <w:keepNext/>
        <w:spacing w:after="24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eastAsia="Calibri" w:hAnsiTheme="minorHAnsi" w:cstheme="minorHAnsi"/>
          <w:bCs/>
          <w:sz w:val="24"/>
          <w:szCs w:val="24"/>
        </w:rPr>
        <w:t>Ocena działalności Urzędu w zakresie objętym kontrolą została dokonana na podstawie kryteriów legalności, rzetelności i gospodarności. Ocenę uzasadniają następujące ustalenia.</w:t>
      </w:r>
    </w:p>
    <w:p w14:paraId="6FEC8D22" w14:textId="77777777" w:rsidR="00000000" w:rsidRPr="00801958" w:rsidRDefault="00000000" w:rsidP="00801958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Calibri" w:hAnsiTheme="minorHAnsi" w:cstheme="minorHAnsi"/>
          <w:b/>
          <w:bCs/>
          <w:sz w:val="24"/>
          <w:szCs w:val="24"/>
          <w:highlight w:val="yellow"/>
          <w:lang w:eastAsia="pl-PL"/>
        </w:rPr>
      </w:pPr>
      <w:r w:rsidRPr="00801958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 xml:space="preserve">1. Nieruchomości nabyte po podmiotach, które utraciły byt prawny w związku </w:t>
      </w:r>
      <w:r w:rsidRPr="00801958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br/>
        <w:t xml:space="preserve">z nieprzerejestrowaniem do Krajowego Rejestru Sądowego lub wykreślonych </w:t>
      </w:r>
      <w:r w:rsidRPr="00801958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br/>
        <w:t>z Krajowego Rejestru Sądowego</w:t>
      </w:r>
    </w:p>
    <w:p w14:paraId="60EF4F74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highlight w:val="yellow"/>
          <w:lang w:eastAsia="pl-PL"/>
        </w:rPr>
      </w:pPr>
      <w:bookmarkStart w:id="7" w:name="_Hlk199243666"/>
      <w:r w:rsidRPr="00801958">
        <w:rPr>
          <w:rFonts w:eastAsia="Calibri" w:cs="Calibri"/>
          <w:sz w:val="24"/>
          <w:szCs w:val="24"/>
          <w:lang w:eastAsia="pl-PL"/>
        </w:rPr>
        <w:t>Organ kontrolowany pismem z dnia 30 maja 2025 r. nr NSP-II.431.1.2025.KS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6"/>
      </w:r>
      <w:r w:rsidRPr="00801958">
        <w:rPr>
          <w:rFonts w:eastAsia="Calibri" w:cs="Calibri"/>
          <w:sz w:val="24"/>
          <w:szCs w:val="24"/>
          <w:lang w:eastAsia="pl-PL"/>
        </w:rPr>
        <w:t xml:space="preserve"> został zobowiązany do wypełnienia dołączonej do pisma tabeli pn. „rejestr nieruchomości Skarbu Państwa – KRS”. </w:t>
      </w:r>
      <w:bookmarkStart w:id="9" w:name="_Hlk210668676"/>
      <w:r w:rsidRPr="00801958">
        <w:rPr>
          <w:rFonts w:eastAsia="Calibri" w:cs="Calibri"/>
          <w:sz w:val="24"/>
          <w:szCs w:val="24"/>
          <w:lang w:eastAsia="pl-PL"/>
        </w:rPr>
        <w:t>Starosta przekazał ww. zestawienie 23 czerwca 2025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7"/>
      </w:r>
    </w:p>
    <w:bookmarkEnd w:id="7"/>
    <w:bookmarkEnd w:id="9"/>
    <w:p w14:paraId="57C809F4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W przekazanej przez Starostę tabeli znajdowało się 12 działek, które zostały nabyte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do zasobu nieruchomości Skarbu Państwa w określonym trybie: 10 z nich na podstawie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art. 25e ust. 1 ustawy z dnia 20 sierpnia 1997 r. o Krajowym Rejestrze Sądowym (w tym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w 1 przypadku nabyto udział 1/2 w prawie własności nieruchomości oraz w 1 przypadku nabyto nieruchomość lokalową z udziałem w gruncie), zaś 2 z nich na podstawie art. 9 ust. 2b ustawy z dnia 20 sierpnia 1997 r. Przepisy wprowadzające ustawę o Krajowym Rejestrze Sądowym (nabyto prawo użytkowania wieczystego). </w:t>
      </w:r>
    </w:p>
    <w:p w14:paraId="3032B64D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Gospodarowanie nieruchomościami nabytymi po podmiotach, które utraciły byt prawny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w związku z nieprzerejestrowaniem do Krajowego Rejestru Sądowego lub wykreślonych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z Krajowego Rejestru Sądowego, tak jak każdy z kontrolowanych obszarów, oceniany jest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na podstawie ustalonych przed kontrolą zasad i mierników, które zostały ujęte </w:t>
      </w:r>
      <w:r w:rsidRPr="00801958">
        <w:rPr>
          <w:rFonts w:eastAsia="Calibri" w:cs="Calibri"/>
          <w:sz w:val="24"/>
          <w:szCs w:val="24"/>
          <w:lang w:eastAsia="pl-PL"/>
        </w:rPr>
        <w:br/>
        <w:t>i szczegółowo opisane w programie kontroli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8"/>
      </w:r>
      <w:r w:rsidRPr="00801958">
        <w:rPr>
          <w:rFonts w:eastAsia="Calibri" w:cs="Calibri"/>
          <w:sz w:val="24"/>
          <w:szCs w:val="24"/>
          <w:lang w:eastAsia="pl-PL"/>
        </w:rPr>
        <w:t xml:space="preserve">, znajdującym się w aktach sprawy.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W następstwie powyższego każda z przedstawionych w rejestrze działek została oceniona </w:t>
      </w:r>
      <w:r w:rsidRPr="00801958">
        <w:rPr>
          <w:rFonts w:eastAsia="Calibri" w:cs="Calibri"/>
          <w:sz w:val="24"/>
          <w:szCs w:val="24"/>
          <w:lang w:eastAsia="pl-PL"/>
        </w:rPr>
        <w:br/>
        <w:t>w sposób indywidualny.</w:t>
      </w:r>
    </w:p>
    <w:p w14:paraId="24886797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Z opisywanego zestawienia wynika między innymi, że 8 z 12 działek generują koszty związane z ich utrzymaniem. Przy czym 2 z nich zostały umownie wydzierżawione (są zagospodarowanie) i przynoszą dochód przewyższający ponoszone koszty – w związku z czym zostały ocenione pozytywnie (w dalszej części nie będą już omawiane). W przypadku kolejnych 5 działek, pomimo ponoszenia kosztów przez Skarb Państwa, z powodu wystąpienia innych okoliczności uniemożliwiających lub ograniczających możliwość ich zagospodarowania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(hipoteki, postępowania komornicze czy podjęcie długotrwałych czynności w celu zagospodarowania nieruchomości) - działki oceniono również pozytywnie. Natomiast 1 </w:t>
      </w:r>
      <w:r w:rsidRPr="00801958">
        <w:rPr>
          <w:rFonts w:eastAsia="Calibri" w:cs="Calibri"/>
          <w:sz w:val="24"/>
          <w:szCs w:val="24"/>
          <w:lang w:eastAsia="pl-PL"/>
        </w:rPr>
        <w:lastRenderedPageBreak/>
        <w:t>działkę, która generuje koszty i nie została dotychczas zagospodarowana, oceniono negatywnie (co szerzej opisano poniżej).</w:t>
      </w:r>
    </w:p>
    <w:p w14:paraId="1FFAC780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Dodatkowo kolejne 4 z omawianych nieruchomości, które nie generują kosztów ich utrzymania, jednakże jeszcze nie zostały zagospodarowane - oceniono pozytywnie z uwagi </w:t>
      </w:r>
      <w:r w:rsidRPr="00801958">
        <w:rPr>
          <w:rFonts w:eastAsia="Calibri" w:cs="Calibri"/>
          <w:sz w:val="24"/>
          <w:szCs w:val="24"/>
          <w:lang w:eastAsia="pl-PL"/>
        </w:rPr>
        <w:br/>
        <w:t xml:space="preserve">na uwzględnienie takich czynników ograniczających lub uniemożliwiających ich zagospodarowanie (występujących łącznie lub częściowo), takich jak: obciążenie  nieruchomości hipotekami, prowadzona egzekucja komornicza, możliwość gospodarowania jedynie udziałem w prawie własności, prowadzone długotrwałe negocjacje z podmiotami publicznymi, tj. gmina, nadleśnictwo oraz Krajowy Zasób Nieruchomości, które chcą przejąć działki z uwagi na ich charakter (grunt zalesiony, droga wewnętrzna) lub możliwość publicznego i społecznie korzystnego ich wykorzystania (zabudowa mieszkaniowa). </w:t>
      </w:r>
    </w:p>
    <w:p w14:paraId="72C44374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Mając powyższe na uwadze zespół kontrolny pozytywnie ocenił zagospodarowanie </w:t>
      </w:r>
      <w:r w:rsidRPr="00801958">
        <w:rPr>
          <w:rFonts w:eastAsia="Calibri" w:cs="Calibri"/>
          <w:sz w:val="24"/>
          <w:szCs w:val="24"/>
          <w:lang w:eastAsia="pl-PL"/>
        </w:rPr>
        <w:br/>
        <w:t>11 działek.</w:t>
      </w:r>
    </w:p>
    <w:p w14:paraId="6E5C9DB1" w14:textId="48CC0CCB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Jednocześnie zespół kontrolny negatywnie ocenił przedstawiony przez Starostę sposób zagospodarowania 1 działki. 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 przypadku działki nr </w:t>
      </w:r>
      <w:r w:rsidR="000D4C25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położonej w obrębie </w:t>
      </w:r>
      <w:r w:rsidR="000D4C25" w:rsidRPr="000D4C25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miasta Kwidzyn, w stosunku do której Skarb Państwa nabył prawo własności nieruchomości, wskazano, że procedowana jest sprzedaż tej działki na poprawę warunków zagospodarowania działki sąsiedniej. W tym miejscu należy podkreślić, że planowany tryb sprzedaży może okazać się niemożliwy do zrealizowania, z uwagi na niespełnienie ustawowych przesłanek, 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br/>
        <w:t xml:space="preserve">w szczególności wykazanie braku możliwości samodzielnego zagospodarowania z uwagi 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br/>
        <w:t xml:space="preserve">na powierzchnię, położenie i planistyczne przeznaczenie działki. Dodatkowo nie wskazano, 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br/>
        <w:t xml:space="preserve">czy zweryfikowano brak wykorzystywania działki przez osoby trzecie, co powinno zostać umownie unormowane, także w okresie związanym z przygotowaniem nieruchomości 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br/>
        <w:t xml:space="preserve">do sprzedaży. Dlatego mając na uwadze, że nieruchomość generuje koszty dla Skarbu Państwa, od lat nie jest przez Skarb Państwa w żaden sposób zagospodarowana, 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br/>
        <w:t xml:space="preserve">a występujące okoliczności, które ograniczają jej zagospodarowanie (hipoteki), nie stają </w:t>
      </w:r>
      <w:r w:rsidRPr="00801958">
        <w:rPr>
          <w:rFonts w:asciiTheme="minorHAnsi" w:eastAsia="Calibri" w:hAnsiTheme="minorHAnsi" w:cstheme="minorHAnsi"/>
          <w:sz w:val="24"/>
          <w:szCs w:val="24"/>
          <w:lang w:eastAsia="pl-PL"/>
        </w:rPr>
        <w:br/>
        <w:t>na przeszkodzie do jej zagospodarowania (np. wydzierżawienia) – powyższy stan oceniono negatywnie.</w:t>
      </w:r>
    </w:p>
    <w:p w14:paraId="721A8682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 xml:space="preserve">Mając na uwadze, że 1 działka, tj. 8,3% działek znajdujących się w ww. rejestrze, uznana zastała, według przyjętych do kontroli mierników, za nieprawidłowo zagospodarowaną, stwierdzić należało, że pomimo przypadków kiedy brak podejmowanych przez Starostę działań w zakresie zagospodarowania ww. nieruchomości jest od niego niezależny, występują także sytuacje, które wymagają poprawy oraz zintensyfikowania działań. </w:t>
      </w:r>
    </w:p>
    <w:p w14:paraId="7EA72920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801958">
        <w:rPr>
          <w:rFonts w:eastAsia="Calibri" w:cs="Calibri"/>
          <w:sz w:val="24"/>
          <w:szCs w:val="24"/>
          <w:lang w:eastAsia="pl-PL"/>
        </w:rPr>
        <w:t>Jednocześnie powyższy wynik, pozwolił ocenić działalność w przedmiotowym zakresie pozytywnie.</w:t>
      </w:r>
    </w:p>
    <w:p w14:paraId="6DE1B339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</w:p>
    <w:p w14:paraId="06A582A1" w14:textId="77777777" w:rsidR="00000000" w:rsidRPr="00801958" w:rsidRDefault="00000000" w:rsidP="00801958">
      <w:pPr>
        <w:spacing w:before="240" w:after="24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01958">
        <w:rPr>
          <w:rFonts w:asciiTheme="minorHAnsi" w:eastAsia="Calibri" w:hAnsiTheme="minorHAnsi" w:cstheme="minorHAnsi"/>
          <w:b/>
          <w:sz w:val="24"/>
          <w:szCs w:val="24"/>
        </w:rPr>
        <w:lastRenderedPageBreak/>
        <w:t>2. Nieruchomości niezagospodarowane.</w:t>
      </w:r>
    </w:p>
    <w:p w14:paraId="169103C7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  <w:highlight w:val="yellow"/>
        </w:rPr>
      </w:pPr>
      <w:bookmarkStart w:id="11" w:name="_Hlk201902244"/>
      <w:r w:rsidRPr="00801958">
        <w:rPr>
          <w:rFonts w:eastAsia="Calibri"/>
          <w:sz w:val="24"/>
          <w:szCs w:val="24"/>
        </w:rPr>
        <w:t>Organ kontrolowany pismem z dnia 30 maja 2025 r. nr NSP-II.431.1.2025.KS</w:t>
      </w:r>
      <w:r>
        <w:rPr>
          <w:rFonts w:eastAsia="Calibri"/>
          <w:sz w:val="24"/>
          <w:szCs w:val="24"/>
          <w:vertAlign w:val="superscript"/>
        </w:rPr>
        <w:footnoteReference w:id="9"/>
      </w:r>
      <w:r w:rsidRPr="00801958">
        <w:rPr>
          <w:rFonts w:eastAsia="Calibri"/>
          <w:sz w:val="24"/>
          <w:szCs w:val="24"/>
        </w:rPr>
        <w:t xml:space="preserve"> został zobowiązany do wypełnienia dołączonej do pisma tabeli pn. „tabela nieruchomości niezagospodarowane”. Starosta przekazał ww. zestawienie w dniu 1 lipca 2025 r.</w:t>
      </w:r>
      <w:r>
        <w:rPr>
          <w:rFonts w:eastAsia="Calibri"/>
          <w:sz w:val="24"/>
          <w:szCs w:val="24"/>
          <w:vertAlign w:val="superscript"/>
        </w:rPr>
        <w:footnoteReference w:id="10"/>
      </w:r>
      <w:bookmarkStart w:id="12" w:name="_Hlk213315169"/>
      <w:r w:rsidRPr="00801958">
        <w:rPr>
          <w:rFonts w:eastAsia="Calibri"/>
          <w:sz w:val="24"/>
          <w:szCs w:val="24"/>
        </w:rPr>
        <w:t xml:space="preserve"> Dodatkowe wyjaśnienia zostały przekazane przez Starostę pismem z dnia 12 listopada 2025 r.</w:t>
      </w:r>
      <w:r>
        <w:rPr>
          <w:rFonts w:eastAsia="Calibri"/>
          <w:sz w:val="24"/>
          <w:szCs w:val="24"/>
          <w:vertAlign w:val="superscript"/>
        </w:rPr>
        <w:footnoteReference w:id="11"/>
      </w:r>
      <w:bookmarkEnd w:id="12"/>
    </w:p>
    <w:p w14:paraId="544A9FFD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bookmarkStart w:id="13" w:name="_Hlk199248780"/>
      <w:bookmarkEnd w:id="11"/>
      <w:r w:rsidRPr="00801958">
        <w:rPr>
          <w:rFonts w:eastAsia="Calibri"/>
          <w:sz w:val="24"/>
          <w:szCs w:val="24"/>
        </w:rPr>
        <w:t>Planowanie zagospodarowania przedmiotowych nieruchomości oraz koszty generowane przez nieruchomości związane z ich utrzymaniem, podobnie jak każde z kontrolowanych obszarów, oceniane jest na podstawie ustalonych przed kontrolą zasad i mierników, które zostały ujęte i szczegółowo opisane w programie kontroli</w:t>
      </w:r>
      <w:r>
        <w:rPr>
          <w:rFonts w:eastAsia="Calibri"/>
          <w:sz w:val="24"/>
          <w:szCs w:val="24"/>
          <w:vertAlign w:val="superscript"/>
        </w:rPr>
        <w:footnoteReference w:id="12"/>
      </w:r>
      <w:r w:rsidRPr="00801958">
        <w:rPr>
          <w:rFonts w:eastAsia="Calibri"/>
          <w:sz w:val="24"/>
          <w:szCs w:val="24"/>
        </w:rPr>
        <w:t xml:space="preserve">, znajdującym się w aktach sprawy. </w:t>
      </w:r>
      <w:bookmarkEnd w:id="13"/>
    </w:p>
    <w:p w14:paraId="4DE89DAD" w14:textId="77777777" w:rsidR="00000000" w:rsidRPr="00801958" w:rsidRDefault="00000000" w:rsidP="00801958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>2.1. Planowanie zagospodarowania nieruchomości.</w:t>
      </w:r>
    </w:p>
    <w:p w14:paraId="6FF5DDD8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Z przekazanego przez Starostę skorowidza nieruchomości Skarbu Państwa oraz dokonanej analizy</w:t>
      </w:r>
      <w:r>
        <w:rPr>
          <w:rFonts w:eastAsia="Calibri"/>
          <w:sz w:val="24"/>
          <w:szCs w:val="24"/>
          <w:vertAlign w:val="superscript"/>
        </w:rPr>
        <w:footnoteReference w:id="13"/>
      </w:r>
      <w:r w:rsidRPr="00801958">
        <w:rPr>
          <w:rFonts w:eastAsia="Calibri"/>
          <w:sz w:val="24"/>
          <w:szCs w:val="24"/>
        </w:rPr>
        <w:t xml:space="preserve"> wynika, że w zasobie, którym gospodaruje Starosta, jest 371 niezagospodarowanych działek o łącznej powierzchni 2084,4473 ha.  </w:t>
      </w:r>
    </w:p>
    <w:p w14:paraId="464CAC2B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Podczas analizy danych z rejestru, stwierdzono, że dwie działki zostały powielone i uwzględnione dwa razy w ww.  zestawieniu. W związku z tym, do analizy wziętych zostało pod uwagę 369 działek o łącznej powierzchni 2080,8873 ha.</w:t>
      </w:r>
    </w:p>
    <w:p w14:paraId="0675BB7A" w14:textId="77777777" w:rsidR="00000000" w:rsidRPr="00801958" w:rsidRDefault="00000000" w:rsidP="00801958">
      <w:pPr>
        <w:spacing w:after="120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Planowany sposób rozdysponowania ww. działek prezentuje się następująco:</w:t>
      </w:r>
    </w:p>
    <w:p w14:paraId="6DA5E03B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39 działek przeznaczonych jest do oddania w trwały zarząd GDDKiA;</w:t>
      </w:r>
    </w:p>
    <w:p w14:paraId="0F981805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13 działek przeznaczonych jest do przekazania na rzecz gminy;</w:t>
      </w:r>
    </w:p>
    <w:p w14:paraId="58DE3089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6 działek przeznaczonych jest do przekazania na rzecz województwa;</w:t>
      </w:r>
    </w:p>
    <w:p w14:paraId="5EF8E4DD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5 działek przeznaczonych jest do sprzedaży;</w:t>
      </w:r>
    </w:p>
    <w:p w14:paraId="0D70DE1C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3 działki przeznaczone są do przekazania na rzecz nadleśnictwa;</w:t>
      </w:r>
    </w:p>
    <w:p w14:paraId="3E059A42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3 działki przeznaczone są do sprzedaży lub dzierżawy;</w:t>
      </w:r>
    </w:p>
    <w:p w14:paraId="77FBB7C1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2 działki przeznaczone są do przekazania na rzecz KZN lub gminy;</w:t>
      </w:r>
    </w:p>
    <w:p w14:paraId="0EC568E4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52 działki przeznaczone są do przekazania na rzecz jst;</w:t>
      </w:r>
    </w:p>
    <w:p w14:paraId="4655BD62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 xml:space="preserve">44 działki, stanowiące tzw. „rencistówki”, przekazane w zamian za świadczenia emerytalne byłym rolnikom; właścicielom budynków znajdujących się na działce gruntu, która wchodziła w skład gospodarstwa rolnego przekazanego Państwu </w:t>
      </w:r>
      <w:r w:rsidRPr="00801958">
        <w:rPr>
          <w:rFonts w:eastAsia="Calibri"/>
          <w:sz w:val="24"/>
          <w:szCs w:val="24"/>
        </w:rPr>
        <w:br/>
        <w:t xml:space="preserve">na podstawie przepisów obowiązujących przed dniem 1 stycznia 1983 r., przysługuje nieodpłatnie na własność działka gruntu, na której te budynki zostały wzniesione (na podstawie art. 6 ustawy z dnia 24 lutego 1989 roku o zmianie </w:t>
      </w:r>
      <w:r w:rsidRPr="00801958">
        <w:rPr>
          <w:rFonts w:eastAsia="Calibri"/>
          <w:sz w:val="24"/>
          <w:szCs w:val="24"/>
        </w:rPr>
        <w:lastRenderedPageBreak/>
        <w:t>ustawy o ubezpieczeniu społecznym rolników indywidualnych i członków ich rodzin oraz o zmianie ustawy o podatku rolnym);</w:t>
      </w:r>
    </w:p>
    <w:p w14:paraId="624F282C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25 działek, tzw. „dożywotka”, według której osobie, której przysługuje prawo użytkowania działki gruntu z tytułu przekazania gospodarstwa rolnego Państwu, na jej wniosek przyznaje się nieodpłatnie własność tej działki (na podstawie art. 118 ustawy z dnia  20 grudnia 1990 r. o ubezpieczeniu społecznym rolników);</w:t>
      </w:r>
    </w:p>
    <w:p w14:paraId="11C51C72" w14:textId="77777777" w:rsidR="00000000" w:rsidRPr="00801958" w:rsidRDefault="00000000" w:rsidP="00801958">
      <w:pPr>
        <w:numPr>
          <w:ilvl w:val="0"/>
          <w:numId w:val="5"/>
        </w:numPr>
        <w:spacing w:after="0" w:line="240" w:lineRule="auto"/>
        <w:ind w:left="1139" w:hanging="357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 xml:space="preserve">141 przeznaczonych jest do przekazania na rzecz Wód Polskich. </w:t>
      </w:r>
    </w:p>
    <w:p w14:paraId="51E0E993" w14:textId="77777777" w:rsidR="00000000" w:rsidRPr="00801958" w:rsidRDefault="00000000" w:rsidP="00801958">
      <w:pPr>
        <w:spacing w:before="240"/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 xml:space="preserve">Ponadto zgodnie z ww. zestawieniem 32 działki stanowią rowy melioracyjne. W przypadku tych działek Starosta wykazał, że ich zagospodarowanie nie jest możliwe w inny sposób </w:t>
      </w:r>
      <w:r w:rsidRPr="00801958">
        <w:rPr>
          <w:rFonts w:eastAsia="Calibri"/>
          <w:sz w:val="24"/>
          <w:szCs w:val="24"/>
        </w:rPr>
        <w:br/>
        <w:t>i uznaje się to w ramach kontroli jako działanie prawidłowe.</w:t>
      </w:r>
    </w:p>
    <w:p w14:paraId="3C6D9407" w14:textId="467CECFE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 xml:space="preserve">Dodatkowo 4 działki posiadają nieuregulowany stan prawny. W przypadku jednej działki podejmowane są czynności w celu uregulowania zobowiązań przejętych przez Skarb Państwa. Z uwagi na nieskuteczność prowadzonego postepowania egzekucyjnego przez Naczelnika Urzędu Skarbowego w Kwidzynie i w związku z brakiem tytułu wykonawczego uwzgledniającego roszczenie wobec Skarbu Państwa, pokrycie przejętych zobowiązań </w:t>
      </w:r>
      <w:r w:rsidRPr="00801958">
        <w:rPr>
          <w:rFonts w:eastAsia="Calibri"/>
          <w:sz w:val="24"/>
          <w:szCs w:val="24"/>
        </w:rPr>
        <w:br/>
        <w:t xml:space="preserve">do wysokości wartości nieruchomości stało się niemożliwe. Kolejne 3 działki stanowią mienie po zlikwidowanym </w:t>
      </w:r>
      <w:r w:rsidR="00E546A6">
        <w:rPr>
          <w:rFonts w:eastAsia="Calibri"/>
          <w:sz w:val="24"/>
          <w:szCs w:val="24"/>
        </w:rPr>
        <w:t>[……………………………………………………………….]</w:t>
      </w:r>
      <w:r w:rsidRPr="00801958">
        <w:rPr>
          <w:rFonts w:eastAsia="Calibri"/>
          <w:sz w:val="24"/>
          <w:szCs w:val="24"/>
        </w:rPr>
        <w:t xml:space="preserve">, które jednakże nie zostało </w:t>
      </w:r>
      <w:r w:rsidRPr="00801958">
        <w:rPr>
          <w:rFonts w:eastAsia="Calibri"/>
          <w:sz w:val="24"/>
          <w:szCs w:val="24"/>
        </w:rPr>
        <w:br/>
        <w:t>w całości przejęte przez Agencje Własności Rolnej (obecnie KOWR). Z uwagi na nieujawnienie KOWR jako współwłaściciela nieruchomości, powstały realne trudności z zagospodarowaniem nieruchomości. Zespół kontrolny przyjął powyższe wyjaśnienia.</w:t>
      </w:r>
    </w:p>
    <w:p w14:paraId="52D4B266" w14:textId="7472527E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 xml:space="preserve">Jednocześnie wskazać należy, że przypadku 9 działek (nr: </w:t>
      </w:r>
      <w:r w:rsidR="00E546A6">
        <w:rPr>
          <w:rFonts w:eastAsia="Calibri"/>
          <w:sz w:val="24"/>
          <w:szCs w:val="24"/>
        </w:rPr>
        <w:t>[…]</w:t>
      </w:r>
      <w:r w:rsidRPr="00801958">
        <w:rPr>
          <w:rFonts w:eastAsia="Calibri"/>
          <w:sz w:val="24"/>
          <w:szCs w:val="24"/>
        </w:rPr>
        <w:t xml:space="preserve">, </w:t>
      </w:r>
      <w:r w:rsidR="00E546A6" w:rsidRPr="00E546A6">
        <w:rPr>
          <w:rFonts w:eastAsia="Calibri"/>
          <w:sz w:val="24"/>
          <w:szCs w:val="24"/>
        </w:rPr>
        <w:t>[</w:t>
      </w:r>
      <w:r w:rsidR="00E546A6">
        <w:rPr>
          <w:rFonts w:eastAsia="Calibri"/>
          <w:sz w:val="24"/>
          <w:szCs w:val="24"/>
        </w:rPr>
        <w:t>…</w:t>
      </w:r>
      <w:r w:rsidR="00E546A6" w:rsidRPr="00E546A6">
        <w:rPr>
          <w:rFonts w:eastAsia="Calibri"/>
          <w:sz w:val="24"/>
          <w:szCs w:val="24"/>
        </w:rPr>
        <w:t>]</w:t>
      </w:r>
      <w:r w:rsidRPr="00801958">
        <w:rPr>
          <w:rFonts w:eastAsia="Calibri"/>
          <w:sz w:val="24"/>
          <w:szCs w:val="24"/>
        </w:rPr>
        <w:t xml:space="preserve">, </w:t>
      </w:r>
      <w:bookmarkStart w:id="14" w:name="_Hlk219278894"/>
      <w:r w:rsidR="00E546A6" w:rsidRPr="00E546A6">
        <w:rPr>
          <w:rFonts w:eastAsia="Calibri"/>
          <w:sz w:val="24"/>
          <w:szCs w:val="24"/>
        </w:rPr>
        <w:t>[…]</w:t>
      </w:r>
      <w:bookmarkEnd w:id="14"/>
      <w:r w:rsidRPr="00801958">
        <w:rPr>
          <w:rFonts w:eastAsia="Calibri"/>
          <w:sz w:val="24"/>
          <w:szCs w:val="24"/>
        </w:rPr>
        <w:t xml:space="preserve">, </w:t>
      </w:r>
      <w:r w:rsidR="00E546A6" w:rsidRPr="00E546A6">
        <w:rPr>
          <w:rFonts w:eastAsia="Calibri"/>
          <w:sz w:val="24"/>
          <w:szCs w:val="24"/>
        </w:rPr>
        <w:t>[…]</w:t>
      </w:r>
      <w:r w:rsidRPr="00801958">
        <w:rPr>
          <w:rFonts w:eastAsia="Calibri"/>
          <w:sz w:val="24"/>
          <w:szCs w:val="24"/>
        </w:rPr>
        <w:t xml:space="preserve">, </w:t>
      </w:r>
      <w:r w:rsidR="00E546A6" w:rsidRPr="00E546A6">
        <w:rPr>
          <w:rFonts w:eastAsia="Calibri"/>
          <w:sz w:val="24"/>
          <w:szCs w:val="24"/>
        </w:rPr>
        <w:t>[…]</w:t>
      </w:r>
      <w:r w:rsidRPr="00801958">
        <w:rPr>
          <w:rFonts w:eastAsia="Calibri"/>
          <w:sz w:val="24"/>
          <w:szCs w:val="24"/>
        </w:rPr>
        <w:t xml:space="preserve">, </w:t>
      </w:r>
      <w:r w:rsidR="00E546A6" w:rsidRPr="00E546A6">
        <w:rPr>
          <w:rFonts w:eastAsia="Calibri"/>
          <w:sz w:val="24"/>
          <w:szCs w:val="24"/>
        </w:rPr>
        <w:t>[…]</w:t>
      </w:r>
      <w:r w:rsidRPr="00801958">
        <w:rPr>
          <w:rFonts w:eastAsia="Calibri"/>
          <w:sz w:val="24"/>
          <w:szCs w:val="24"/>
        </w:rPr>
        <w:t xml:space="preserve">, </w:t>
      </w:r>
      <w:r w:rsidR="00E546A6" w:rsidRPr="00E546A6">
        <w:rPr>
          <w:rFonts w:eastAsia="Calibri"/>
          <w:sz w:val="24"/>
          <w:szCs w:val="24"/>
        </w:rPr>
        <w:t>[…]</w:t>
      </w:r>
      <w:r w:rsidRPr="00801958">
        <w:rPr>
          <w:rFonts w:eastAsia="Calibri"/>
          <w:sz w:val="24"/>
          <w:szCs w:val="24"/>
        </w:rPr>
        <w:t xml:space="preserve">, </w:t>
      </w:r>
      <w:r w:rsidR="00E546A6" w:rsidRPr="00E546A6">
        <w:rPr>
          <w:rFonts w:eastAsia="Calibri"/>
          <w:sz w:val="24"/>
          <w:szCs w:val="24"/>
        </w:rPr>
        <w:t>[…]</w:t>
      </w:r>
      <w:r w:rsidRPr="00801958">
        <w:rPr>
          <w:rFonts w:eastAsia="Calibri"/>
          <w:sz w:val="24"/>
          <w:szCs w:val="24"/>
        </w:rPr>
        <w:t xml:space="preserve">, </w:t>
      </w:r>
      <w:r w:rsidR="00E546A6" w:rsidRPr="00E546A6">
        <w:rPr>
          <w:rFonts w:eastAsia="Calibri"/>
          <w:sz w:val="24"/>
          <w:szCs w:val="24"/>
        </w:rPr>
        <w:t>[…]</w:t>
      </w:r>
      <w:r w:rsidRPr="00801958">
        <w:rPr>
          <w:rFonts w:eastAsia="Calibri"/>
          <w:sz w:val="24"/>
          <w:szCs w:val="24"/>
        </w:rPr>
        <w:t>) znajdujących się w rejestrze brak jest założonych ksiąg wieczystych. Zgodnie z założonymi przez Starostę planami zagospodarowania tych działek (w</w:t>
      </w:r>
      <w:r w:rsidR="00E546A6">
        <w:rPr>
          <w:rFonts w:eastAsia="Calibri"/>
          <w:sz w:val="24"/>
          <w:szCs w:val="24"/>
        </w:rPr>
        <w:t xml:space="preserve"> </w:t>
      </w:r>
      <w:r w:rsidRPr="00801958">
        <w:rPr>
          <w:rFonts w:eastAsia="Calibri"/>
          <w:sz w:val="24"/>
          <w:szCs w:val="24"/>
        </w:rPr>
        <w:t xml:space="preserve">tym przekazanie ich na rzecz jednostek samorządu terytorialnego oraz Wód Polskich), mimo pozytywnej oceny zagospodarowania, niezbędne jest uregulowanie stanu prawnego tych działek i założenie </w:t>
      </w:r>
      <w:r w:rsidRPr="00801958">
        <w:rPr>
          <w:rFonts w:eastAsia="Calibri"/>
          <w:sz w:val="24"/>
          <w:szCs w:val="24"/>
        </w:rPr>
        <w:br/>
        <w:t>dla nich księgi wieczystej. Dopiero założenie ksiąg wieczystych dla ww. nieruchomości pozwoli bowiem na ich skuteczne zagospodarowanie.</w:t>
      </w:r>
    </w:p>
    <w:p w14:paraId="44CCD570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Biorąc pod uwagę wszystkie działki znajdujące się w ww. rejestrze, tj. 100% działek, uznano zgodnie z przyjętymi do kontroli miernikami za prawidłowo zagospodarowane, zespół kontrolujący ocenił gospodarowanie nieruchomościami w tym zakresie jako pozytywne.</w:t>
      </w:r>
    </w:p>
    <w:p w14:paraId="0124F020" w14:textId="77777777" w:rsidR="00000000" w:rsidRPr="00801958" w:rsidRDefault="00000000" w:rsidP="00801958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>2.2. Koszty generowane przez nieruchomości niezagospodarowane związane z ich utrzymaniem.</w:t>
      </w:r>
    </w:p>
    <w:p w14:paraId="011CA537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W przypadku 11 działek znajdujących się w ww. rejestrze odnotowano generowanie kosztów przez nieruchomość na rzecz Skarbu Państwa. Działki te wygenerowały koszty z tytułu podatku od nieruchomości.</w:t>
      </w:r>
    </w:p>
    <w:p w14:paraId="42FADB31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lastRenderedPageBreak/>
        <w:t xml:space="preserve">Jednocześnie Starosta planuje i podejmuje czynności, w celu zagospodarowania przedmiotowych działek: 5 działek przeznaczonych jest do sprzedaży, a w przypadku 6 działek planowane jest przekazanie ich na rzecz gminy. </w:t>
      </w:r>
    </w:p>
    <w:p w14:paraId="2CB7AC39" w14:textId="77777777" w:rsidR="00000000" w:rsidRPr="00801958" w:rsidRDefault="00000000" w:rsidP="00801958">
      <w:pPr>
        <w:jc w:val="both"/>
        <w:rPr>
          <w:rFonts w:eastAsia="Calibri"/>
          <w:sz w:val="24"/>
          <w:szCs w:val="24"/>
        </w:rPr>
      </w:pPr>
      <w:r w:rsidRPr="00801958">
        <w:rPr>
          <w:rFonts w:eastAsia="Calibri"/>
          <w:sz w:val="24"/>
          <w:szCs w:val="24"/>
        </w:rPr>
        <w:t>W związku z powyższym, zespół kontrolujący ocenił gospodarowanie nieruchomościami w tym zakresie jako pozytywne.</w:t>
      </w:r>
    </w:p>
    <w:p w14:paraId="1D56C187" w14:textId="77777777" w:rsidR="00000000" w:rsidRPr="00801958" w:rsidRDefault="00000000" w:rsidP="00801958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>2.3. Ocena całościowa w zakresie nieruchomości niezagospodarowanych.</w:t>
      </w:r>
    </w:p>
    <w:p w14:paraId="244B2213" w14:textId="77777777" w:rsidR="00000000" w:rsidRPr="00801958" w:rsidRDefault="00000000" w:rsidP="00801958">
      <w:pPr>
        <w:spacing w:after="240"/>
        <w:jc w:val="both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>Biorąc pod uwagę powyższe mierniki, zespół kontrolujący ocenił gospodarowanie nieruchomościami w przedmiotowym zakresie jako pozytywne.</w:t>
      </w:r>
    </w:p>
    <w:p w14:paraId="7166F80F" w14:textId="77777777" w:rsidR="00000000" w:rsidRPr="00801958" w:rsidRDefault="00000000" w:rsidP="00801958">
      <w:pPr>
        <w:spacing w:after="240"/>
        <w:jc w:val="both"/>
        <w:rPr>
          <w:rFonts w:eastAsia="Calibri" w:cs="Calibri"/>
          <w:sz w:val="2"/>
          <w:szCs w:val="2"/>
        </w:rPr>
      </w:pPr>
    </w:p>
    <w:p w14:paraId="16474A64" w14:textId="77777777" w:rsidR="00000000" w:rsidRPr="00801958" w:rsidRDefault="00000000" w:rsidP="00801958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Ustanawianie prawa użytkowania wieczystego oraz prawidłowe ustalanie i stosowanie stawek procentowych opłat rocznych z tytułu użytkowania wieczystego.</w:t>
      </w:r>
    </w:p>
    <w:p w14:paraId="47FDAA61" w14:textId="77777777" w:rsidR="00000000" w:rsidRPr="00801958" w:rsidRDefault="00000000" w:rsidP="00801958">
      <w:pPr>
        <w:numPr>
          <w:ilvl w:val="1"/>
          <w:numId w:val="3"/>
        </w:numPr>
        <w:spacing w:before="240" w:after="240" w:line="240" w:lineRule="auto"/>
        <w:ind w:left="567" w:hanging="567"/>
        <w:jc w:val="both"/>
        <w:rPr>
          <w:rFonts w:eastAsia="Calibri" w:cs="Calibri"/>
          <w:sz w:val="24"/>
          <w:szCs w:val="24"/>
        </w:rPr>
      </w:pPr>
      <w:bookmarkStart w:id="15" w:name="_Hlk211427229"/>
      <w:r w:rsidRPr="00801958">
        <w:rPr>
          <w:rFonts w:eastAsia="Calibri" w:cs="Calibri"/>
          <w:sz w:val="24"/>
          <w:szCs w:val="24"/>
        </w:rPr>
        <w:t>Analiza spraw uwzględniająca błędy formalne prowadzonych postępowań oraz naruszenie przepisów prawa materialnego.</w:t>
      </w:r>
    </w:p>
    <w:p w14:paraId="697E3316" w14:textId="77777777" w:rsidR="00000000" w:rsidRPr="00801958" w:rsidRDefault="00000000" w:rsidP="00801958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801958">
        <w:rPr>
          <w:rFonts w:cs="Calibri"/>
          <w:bCs/>
          <w:sz w:val="24"/>
          <w:szCs w:val="24"/>
          <w:lang w:eastAsia="pl-PL"/>
        </w:rPr>
        <w:t>W okresie objętym kontrolą Starosta nie dokonał</w:t>
      </w:r>
      <w:r w:rsidRPr="008019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01958">
        <w:rPr>
          <w:rFonts w:cs="Calibri"/>
          <w:bCs/>
          <w:sz w:val="24"/>
          <w:szCs w:val="24"/>
          <w:lang w:eastAsia="pl-PL"/>
        </w:rPr>
        <w:t>zmiany stawki procentowej z tytułu użytkowania wieczystego. Wobec powyższego organ kontrolujący nie dokonał oceny tego zagadnienia.</w:t>
      </w:r>
    </w:p>
    <w:p w14:paraId="297AC9C1" w14:textId="77777777" w:rsidR="00000000" w:rsidRPr="00801958" w:rsidRDefault="00000000" w:rsidP="0080195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  <w:lang w:eastAsia="pl-PL"/>
        </w:rPr>
      </w:pPr>
      <w:r w:rsidRPr="00801958">
        <w:rPr>
          <w:rFonts w:cs="Calibri"/>
          <w:bCs/>
          <w:sz w:val="24"/>
          <w:szCs w:val="24"/>
          <w:lang w:eastAsia="pl-PL"/>
        </w:rPr>
        <w:t>Jednocześnie analiza spraw</w:t>
      </w:r>
      <w:r>
        <w:rPr>
          <w:rFonts w:cs="Calibri"/>
          <w:bCs/>
          <w:sz w:val="24"/>
          <w:szCs w:val="24"/>
          <w:vertAlign w:val="superscript"/>
          <w:lang w:eastAsia="pl-PL"/>
        </w:rPr>
        <w:footnoteReference w:id="14"/>
      </w:r>
      <w:r w:rsidRPr="00801958">
        <w:rPr>
          <w:rFonts w:cs="Calibri"/>
          <w:bCs/>
          <w:sz w:val="24"/>
          <w:szCs w:val="24"/>
          <w:lang w:eastAsia="pl-PL"/>
        </w:rPr>
        <w:t xml:space="preserve"> przedstawionych przez Starostę w zakresie ustanowienia prawa użytkowania wieczystego wykazała, że dotyczą one aktualizacji danych zawartych w ewidencji gruntów i budynków odnośnie podmiotu właściwego, któremu przysługuje prawo własności nieruchomości oddanej w użytkowanie wieczyste, nie zaś ustanowienia samego prawa użytkowania wieczystego. W związku z powyższym zespół kontrolny odstąpił od oceny tych spraw oraz nie dokonał oceny tego zagadnienia.</w:t>
      </w:r>
    </w:p>
    <w:p w14:paraId="669AC721" w14:textId="77777777" w:rsidR="00000000" w:rsidRPr="00801958" w:rsidRDefault="00000000" w:rsidP="0080195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  <w:lang w:eastAsia="pl-PL"/>
        </w:rPr>
      </w:pPr>
    </w:p>
    <w:bookmarkEnd w:id="15"/>
    <w:p w14:paraId="5AD62AE8" w14:textId="77777777" w:rsidR="00000000" w:rsidRPr="00801958" w:rsidRDefault="00000000" w:rsidP="00801958">
      <w:pPr>
        <w:numPr>
          <w:ilvl w:val="1"/>
          <w:numId w:val="3"/>
        </w:numPr>
        <w:spacing w:before="240" w:after="240" w:line="240" w:lineRule="auto"/>
        <w:ind w:left="567" w:hanging="567"/>
        <w:jc w:val="both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>Stan nieruchomości oddanych w użytkowanie wieczyste pod kątem prawidłowości zastosowanej stawki procentowej.</w:t>
      </w:r>
    </w:p>
    <w:p w14:paraId="6538F207" w14:textId="77777777" w:rsidR="00000000" w:rsidRPr="00801958" w:rsidRDefault="00000000" w:rsidP="0080195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Organ kontrolowany pismem z dnia 30 maja 2025 r. nr NSP-II.431.1.2025.KS</w:t>
      </w:r>
      <w:r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15"/>
      </w: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 został zobowiązany do wypełnienia dołączonej do pisma tabeli pn. „skorowidz działek Skarbu Państwa oddanych w użytkowanie wieczyste”. Starosta przekazał ww. zestawienie w dniu </w:t>
      </w:r>
      <w:r w:rsidRPr="00801958">
        <w:rPr>
          <w:rFonts w:asciiTheme="minorHAnsi" w:eastAsia="Calibri" w:hAnsiTheme="minorHAnsi" w:cstheme="minorHAnsi"/>
          <w:sz w:val="24"/>
          <w:szCs w:val="24"/>
        </w:rPr>
        <w:br/>
        <w:t>23 czerwca 2025 r.</w:t>
      </w:r>
      <w:r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16"/>
      </w: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 Dodatkowe wyjaśnienia zostały przekazane przez Starostę pismem z dnia 12 listopada 2025 r.</w:t>
      </w:r>
      <w:r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17"/>
      </w:r>
    </w:p>
    <w:p w14:paraId="54A9D806" w14:textId="77777777" w:rsidR="00000000" w:rsidRPr="00801958" w:rsidRDefault="00000000" w:rsidP="00801958">
      <w:pPr>
        <w:suppressAutoHyphens/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lastRenderedPageBreak/>
        <w:t>Z przekazanego przez Starostę skorowidza nieruchomości Skarbu Państwa oraz dokonanej analizy</w:t>
      </w:r>
      <w:r>
        <w:rPr>
          <w:rFonts w:asciiTheme="minorHAnsi" w:eastAsia="Calibri" w:hAnsiTheme="minorHAnsi" w:cstheme="minorHAnsi"/>
          <w:sz w:val="24"/>
          <w:szCs w:val="24"/>
          <w:vertAlign w:val="superscript"/>
          <w:lang w:eastAsia="zh-CN"/>
        </w:rPr>
        <w:footnoteReference w:id="18"/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wynika, że w użytkowaniu wieczystym znajduje się ogółem 896 działek o łącznej powierzchni 895,1079 ha.</w:t>
      </w:r>
    </w:p>
    <w:p w14:paraId="12D14416" w14:textId="77777777" w:rsidR="00000000" w:rsidRPr="00801958" w:rsidRDefault="00000000" w:rsidP="00801958">
      <w:pPr>
        <w:suppressAutoHyphens/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>Prawo użytkowania wieczystego może być ustanowione nieodpłatnie lub odpłatnie. Prawo nieodpłatne użytkowania wieczystego wynika z przepisów szczególnych, natomiast odpłatne prawo użytkowania wieczystego wynika z celu, na który nieruchomość została oddana w użytkowanie wieczyste.</w:t>
      </w:r>
    </w:p>
    <w:p w14:paraId="012DB4AC" w14:textId="25ACB881" w:rsidR="00000000" w:rsidRPr="00801958" w:rsidRDefault="00000000" w:rsidP="00801958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W nieodpłatne użytkowanie wieczyste (stawka 0%) oddanych zostało </w:t>
      </w: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301 działek. 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Zwolnione z wnoszenia opłat rocznych za działki oddane w użytkowanie wieczyste zostały następujące podmioty: 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[……………………………………………..]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(138 działek), 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[……………………………………………….…]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(2 działki), 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[……………………………………………………………………………………………………….]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(118 działek), 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[………………………………………]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(43 działki).</w:t>
      </w:r>
    </w:p>
    <w:p w14:paraId="5178D232" w14:textId="458C5C00" w:rsidR="00000000" w:rsidRPr="00801958" w:rsidRDefault="00000000" w:rsidP="00801958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W przypadku 258 działek będących w użytkowaniu wieczystym 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[…………………………………….]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, 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[……………………………………………………………………………]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, 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[…………………………………………………………]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>, zwolnienie z opłat nastąpiło na podstawie art.</w:t>
      </w:r>
      <w:r w:rsidR="00E546A6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</w:t>
      </w: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>8 w związku z art. 3 ust. 2 i 3 ustawy z dnia 28 marca 2003 r. o transporcie kolejowym (Dz.U. z 2025 r. poz. 1234), gdzie „</w:t>
      </w:r>
      <w:r w:rsidRPr="00801958">
        <w:rPr>
          <w:rFonts w:asciiTheme="minorHAnsi" w:eastAsia="Calibri" w:hAnsiTheme="minorHAnsi" w:cstheme="minorHAnsi"/>
          <w:sz w:val="24"/>
          <w:szCs w:val="24"/>
        </w:rPr>
        <w:t>grunty zajęte pod infrastrukturę kolejową są zwolnione od opłat z tytułu użytkowania wieczystego”.</w:t>
      </w:r>
    </w:p>
    <w:p w14:paraId="2324AC59" w14:textId="1A2874C5" w:rsidR="00000000" w:rsidRPr="00801958" w:rsidRDefault="00E546A6" w:rsidP="00801958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highlight w:val="yellow"/>
          <w:lang w:eastAsia="zh-CN"/>
        </w:rPr>
      </w:pPr>
      <w:r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[………………………………]</w:t>
      </w:r>
      <w:r w:rsidR="00000000"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został zwolniony z opłat za użytkowanie wieczyste na podstawie art. 2 ustawy z dnia 23 czerwca 1995 r. o zmianie ustawy o pracowniczych ogrodach działkowych (Dz.U. Nr 99, poz. 486).</w:t>
      </w:r>
      <w:r w:rsidR="00000000" w:rsidRPr="00801958">
        <w:rPr>
          <w:rFonts w:asciiTheme="minorHAnsi" w:eastAsia="Calibri" w:hAnsiTheme="minorHAnsi" w:cstheme="minorHAnsi"/>
          <w:sz w:val="24"/>
          <w:szCs w:val="24"/>
          <w:highlight w:val="yellow"/>
          <w:lang w:eastAsia="zh-CN"/>
        </w:rPr>
        <w:t xml:space="preserve"> </w:t>
      </w:r>
    </w:p>
    <w:p w14:paraId="50F48BA7" w14:textId="77777777" w:rsidR="00000000" w:rsidRPr="00801958" w:rsidRDefault="00000000" w:rsidP="00801958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Jednocześnie z prawem użytkowania wieczystego związany jest obowiązek wnoszenia przez użytkowania wieczystego opłat rocznych z tego tytułu, stosownie do art. 71 ust. 1 ugn.: </w:t>
      </w:r>
      <w:r w:rsidRPr="00801958">
        <w:rPr>
          <w:rFonts w:asciiTheme="minorHAnsi" w:eastAsia="Calibri" w:hAnsiTheme="minorHAnsi" w:cstheme="minorHAnsi"/>
          <w:sz w:val="24"/>
          <w:szCs w:val="24"/>
        </w:rPr>
        <w:br/>
        <w:t xml:space="preserve">„za oddanie nieruchomości gruntowej w użytkowanie wieczyste pobiera się pierwszą opłatę </w:t>
      </w:r>
      <w:r w:rsidRPr="00801958">
        <w:rPr>
          <w:rFonts w:asciiTheme="minorHAnsi" w:eastAsia="Calibri" w:hAnsiTheme="minorHAnsi" w:cstheme="minorHAnsi"/>
          <w:sz w:val="24"/>
          <w:szCs w:val="24"/>
        </w:rPr>
        <w:br/>
        <w:t xml:space="preserve">i opłaty roczne.” Zgodnie z art. 72 ust. 1 ugn opłaty z tytułu użytkowania wieczystego ustala się według właściwej stawki procentowej od ceny nieruchomości gruntowej. </w:t>
      </w:r>
    </w:p>
    <w:p w14:paraId="509E5DC8" w14:textId="77777777" w:rsidR="00000000" w:rsidRPr="00801958" w:rsidRDefault="00000000" w:rsidP="0080195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 xml:space="preserve">W myśl art. 72 ust. 3 ugn wysokość stawek procentowych opłat rocznych z tytułu użytkowania wieczystego jest uzależniona od określonego w umowie celu, na jaki nieruchomość gruntowa została oddana, i wynosi m.in.: </w:t>
      </w:r>
    </w:p>
    <w:p w14:paraId="6680B2DF" w14:textId="77777777" w:rsidR="00000000" w:rsidRPr="00801958" w:rsidRDefault="00000000" w:rsidP="00801958">
      <w:pPr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16" w:name="mip74469603"/>
      <w:bookmarkEnd w:id="16"/>
      <w:r w:rsidRPr="00801958">
        <w:rPr>
          <w:rFonts w:asciiTheme="minorHAnsi" w:eastAsia="Calibri" w:hAnsiTheme="minorHAnsi" w:cstheme="minorHAnsi"/>
          <w:sz w:val="24"/>
          <w:szCs w:val="24"/>
        </w:rPr>
        <w:t>1) za nieruchomości gruntowe pod budowę obiektów sakralnych wraz z budynkami towarzyszącymi, plebanii w parafiach diecezjalnych i zakonnych, archiwów i muzeów diecezjalnych, seminariów duchownych, domów zakonnych oraz siedzib naczelnych władz kościołów i związków wyznaniowych - 0,3% ceny;</w:t>
      </w:r>
    </w:p>
    <w:p w14:paraId="725B0075" w14:textId="77777777" w:rsidR="00000000" w:rsidRPr="00801958" w:rsidRDefault="00000000" w:rsidP="00801958">
      <w:pPr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17" w:name="mip74469604"/>
      <w:bookmarkEnd w:id="17"/>
      <w:r w:rsidRPr="00801958">
        <w:rPr>
          <w:rFonts w:asciiTheme="minorHAnsi" w:eastAsia="Calibri" w:hAnsiTheme="minorHAnsi" w:cstheme="minorHAnsi"/>
          <w:sz w:val="24"/>
          <w:szCs w:val="24"/>
        </w:rPr>
        <w:t>2) za nieruchomości gruntowe oddane na cele rolne - 1% ceny;</w:t>
      </w:r>
    </w:p>
    <w:p w14:paraId="282D747A" w14:textId="77777777" w:rsidR="00000000" w:rsidRPr="00801958" w:rsidRDefault="00000000" w:rsidP="00801958">
      <w:pPr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lastRenderedPageBreak/>
        <w:t>4) za nieruchomości gruntowe, na których położone są garaże lub stanowiska postojowe niewykorzystywane do prowadzenia działalności gospodarczej albo nieruchomości przeznaczone na te cele - 1% ceny;</w:t>
      </w:r>
    </w:p>
    <w:p w14:paraId="72DA3C6A" w14:textId="77777777" w:rsidR="00000000" w:rsidRPr="00801958" w:rsidRDefault="00000000" w:rsidP="00801958">
      <w:pPr>
        <w:spacing w:after="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5) za nieruchomości gruntowe oddane na cele mieszkaniowe, na realizację urządzeń infrastruktury technicznej i innych celów publicznych oraz działalność sportową - 1% ceny;</w:t>
      </w:r>
    </w:p>
    <w:p w14:paraId="394CB561" w14:textId="77777777" w:rsidR="00000000" w:rsidRPr="00801958" w:rsidRDefault="00000000" w:rsidP="00801958">
      <w:pPr>
        <w:spacing w:after="2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6) za pozostałe nieruchomości gruntowe - 3% ceny.</w:t>
      </w:r>
    </w:p>
    <w:p w14:paraId="4ED72247" w14:textId="77777777" w:rsidR="00000000" w:rsidRPr="00801958" w:rsidRDefault="00000000" w:rsidP="00801958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sz w:val="24"/>
          <w:szCs w:val="24"/>
          <w:lang w:eastAsia="zh-CN"/>
        </w:rPr>
        <w:t>Z przesłanego przez Starostę zestawienia dotyczącego odpłatnego użytkowania wieczystego oraz dokonanej tabelarycznej analizy wynika, że znajduje się w nim 595 działek, gdzie:</w:t>
      </w:r>
    </w:p>
    <w:p w14:paraId="2E4AE80B" w14:textId="77777777" w:rsidR="00000000" w:rsidRPr="00801958" w:rsidRDefault="00000000" w:rsidP="0080195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>8 działek posiada stawkę 0,3% opłaty z  tytułu użytkowania wieczystego i zostały oddane w użytkowanie wieczyste z przeznaczeniem na działalność sakralną i kulturalną, co uzasadnia zastosowanie wskazanej stawki i jest zgodne z przepisami prawa;</w:t>
      </w:r>
    </w:p>
    <w:p w14:paraId="0AB4B734" w14:textId="77777777" w:rsidR="00000000" w:rsidRPr="00801958" w:rsidRDefault="00000000" w:rsidP="0080195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>201 działek posiada stawkę 1% opłaty z tytułu użytkowania wieczystego:</w:t>
      </w:r>
    </w:p>
    <w:p w14:paraId="51E50B20" w14:textId="77777777" w:rsidR="00000000" w:rsidRPr="00801958" w:rsidRDefault="00000000" w:rsidP="00801958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 xml:space="preserve">36 działek zostało oddanych w użytkowanie wieczyste z przeznaczeniem na tereny mieszkaniowe, co uzasadnia zastosowanie wskazanej stawki i jest zgodne </w:t>
      </w: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br/>
        <w:t xml:space="preserve">z przepisami; </w:t>
      </w:r>
    </w:p>
    <w:p w14:paraId="5AE89E2B" w14:textId="77777777" w:rsidR="00000000" w:rsidRPr="00801958" w:rsidRDefault="00000000" w:rsidP="00801958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>113 działek zostało oddanych w użytkowanie wieczyste z przeznaczeniem na tereny infrastruktury technicznej, co uzasadnia zastosowanie wskazanej stawki i jest zgodne z przepisami prawa;</w:t>
      </w:r>
    </w:p>
    <w:p w14:paraId="2908C5C4" w14:textId="77777777" w:rsidR="00000000" w:rsidRPr="00801958" w:rsidRDefault="00000000" w:rsidP="00801958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>9 działek zostało oddane w użytkowanie wieczyste na cele rolne, co uzasadnia zastosowanie wskazanej stawki i jest zgodne z przepisami prawa;</w:t>
      </w:r>
    </w:p>
    <w:p w14:paraId="5097CA7E" w14:textId="77777777" w:rsidR="00000000" w:rsidRPr="00801958" w:rsidRDefault="00000000" w:rsidP="00801958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 xml:space="preserve">43 działki zostały oddane w użytkowanie wieczyste z przeznaczeniem na garaże, </w:t>
      </w: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br/>
        <w:t>co uzasadnia zastosowanie wskazanej stawki i jest zgodne z przepisami prawa;</w:t>
      </w:r>
    </w:p>
    <w:p w14:paraId="6A4018E4" w14:textId="77777777" w:rsidR="00000000" w:rsidRPr="00801958" w:rsidRDefault="00000000" w:rsidP="00801958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>386 działek posiada stawkę 3% od opłaty z  tytułu użytkowania wieczystego</w:t>
      </w:r>
      <w:r w:rsidRPr="00801958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01958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>i zostały oddane z przeznaczeniem pod inne cele, co uzasadnia zastosowanie wskazanej stawki i jest zgodne z przepisami prawa.</w:t>
      </w:r>
    </w:p>
    <w:p w14:paraId="3807C9DB" w14:textId="77777777" w:rsidR="00000000" w:rsidRPr="00801958" w:rsidRDefault="00000000" w:rsidP="00801958">
      <w:pPr>
        <w:widowControl w:val="0"/>
        <w:spacing w:after="0" w:line="240" w:lineRule="auto"/>
        <w:contextualSpacing/>
        <w:jc w:val="both"/>
        <w:rPr>
          <w:rFonts w:eastAsia="Courier New" w:cs="Calibri"/>
          <w:color w:val="000000"/>
          <w:sz w:val="24"/>
          <w:szCs w:val="24"/>
          <w:lang w:eastAsia="zh-CN"/>
        </w:rPr>
      </w:pPr>
    </w:p>
    <w:p w14:paraId="1DD7A709" w14:textId="77777777" w:rsidR="00000000" w:rsidRPr="00801958" w:rsidRDefault="00000000" w:rsidP="00801958">
      <w:pPr>
        <w:widowControl w:val="0"/>
        <w:spacing w:after="0" w:line="240" w:lineRule="auto"/>
        <w:contextualSpacing/>
        <w:jc w:val="both"/>
        <w:rPr>
          <w:rFonts w:eastAsia="Courier New" w:cs="Calibri"/>
          <w:color w:val="000000"/>
          <w:sz w:val="24"/>
          <w:szCs w:val="24"/>
          <w:lang w:eastAsia="zh-CN"/>
        </w:rPr>
      </w:pPr>
      <w:r w:rsidRPr="00801958">
        <w:rPr>
          <w:rFonts w:eastAsia="Courier New" w:cs="Calibri"/>
          <w:color w:val="000000"/>
          <w:sz w:val="24"/>
          <w:szCs w:val="24"/>
          <w:lang w:eastAsia="zh-CN"/>
        </w:rPr>
        <w:t>Biorąc pod uwagę powyższe, organ kontrolujący stwierdził, że na nieruchomościach oddanych w użytkowanie wieczyste i będących własnością Skarbu Państwa prawidłowo naliczone są stawki procentowe opłat rocznych z tytułu użytkowania wieczystego tych nieruchomości (0% błędnych przypadków). Dlatego też organ kontrolujący ocenił działalność Starosty w tym zakresie pozytywnie.</w:t>
      </w:r>
    </w:p>
    <w:p w14:paraId="752FBAE4" w14:textId="77777777" w:rsidR="00000000" w:rsidRPr="00801958" w:rsidRDefault="00000000" w:rsidP="0080195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</w:p>
    <w:p w14:paraId="4321A6A1" w14:textId="77777777" w:rsidR="00000000" w:rsidRPr="00801958" w:rsidRDefault="00000000" w:rsidP="00801958">
      <w:pPr>
        <w:numPr>
          <w:ilvl w:val="1"/>
          <w:numId w:val="3"/>
        </w:numPr>
        <w:spacing w:before="240" w:after="360" w:line="240" w:lineRule="auto"/>
        <w:ind w:left="567" w:hanging="567"/>
        <w:contextualSpacing/>
        <w:jc w:val="both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 xml:space="preserve">Ocena całościowa w zakresie ustanawiania prawa użytkowania wieczystego </w:t>
      </w:r>
      <w:r w:rsidRPr="00801958">
        <w:rPr>
          <w:rFonts w:eastAsia="Calibri" w:cs="Calibri"/>
          <w:sz w:val="24"/>
          <w:szCs w:val="24"/>
        </w:rPr>
        <w:br/>
        <w:t>oraz prawidłowego ustalania i stosowania stawek procentowych opłat rocznych z tytułu użytkowania wieczystego.</w:t>
      </w:r>
    </w:p>
    <w:p w14:paraId="7D02343E" w14:textId="77777777" w:rsidR="00000000" w:rsidRPr="00801958" w:rsidRDefault="00000000" w:rsidP="00801958">
      <w:pPr>
        <w:spacing w:before="240" w:after="360" w:line="240" w:lineRule="auto"/>
        <w:ind w:left="567"/>
        <w:contextualSpacing/>
        <w:jc w:val="both"/>
        <w:rPr>
          <w:rFonts w:eastAsia="Calibri" w:cs="Calibri"/>
          <w:sz w:val="24"/>
          <w:szCs w:val="24"/>
        </w:rPr>
      </w:pPr>
    </w:p>
    <w:p w14:paraId="589B32D8" w14:textId="77777777" w:rsidR="00000000" w:rsidRPr="00801958" w:rsidRDefault="00000000" w:rsidP="00801958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801958">
        <w:rPr>
          <w:rFonts w:eastAsia="Calibri" w:cs="Calibri"/>
          <w:sz w:val="24"/>
          <w:szCs w:val="24"/>
        </w:rPr>
        <w:t>Biorąc pod uwagę powyższe mierniki, zespół kontrolujący ocenił gospodarowanie nieruchomościami w przedmiotowym zakresie pozytywnie.</w:t>
      </w:r>
    </w:p>
    <w:p w14:paraId="54FA8047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lastRenderedPageBreak/>
        <w:t>Stwierdzone nieprawidłowości:</w:t>
      </w:r>
    </w:p>
    <w:p w14:paraId="29180EA4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4"/>
          <w:szCs w:val="24"/>
        </w:rPr>
      </w:pPr>
      <w:r w:rsidRPr="00801958">
        <w:rPr>
          <w:rFonts w:asciiTheme="minorHAnsi" w:eastAsia="Calibri" w:hAnsiTheme="minorHAnsi" w:cstheme="minorHAnsi"/>
          <w:sz w:val="24"/>
          <w:szCs w:val="24"/>
        </w:rPr>
        <w:t>Brak założonych ksiąg wieczystych dla 9 działek występujących w rejestrze nieruchomości niezagospodarowanych oraz brak umownego zagospodarowania działki nabytej przez Skarb Państwa po podmiotach, które utraciły byt prawny w związku z nieprzerejestrowaniem do KRS lub wykreślonych z KRS.</w:t>
      </w:r>
    </w:p>
    <w:p w14:paraId="1AF6842B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color w:val="FF0000"/>
          <w:sz w:val="24"/>
          <w:szCs w:val="24"/>
          <w:highlight w:val="yellow"/>
          <w:lang w:eastAsia="pl-PL"/>
        </w:rPr>
      </w:pPr>
    </w:p>
    <w:p w14:paraId="7E39303F" w14:textId="77777777" w:rsidR="00000000" w:rsidRPr="00801958" w:rsidRDefault="00000000" w:rsidP="00801958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801958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Ocena kontrolowanej działalności:</w:t>
      </w:r>
    </w:p>
    <w:p w14:paraId="72FCDDCA" w14:textId="77777777" w:rsidR="00000000" w:rsidRDefault="00000000" w:rsidP="00801958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801958">
        <w:rPr>
          <w:rFonts w:asciiTheme="minorHAnsi" w:eastAsia="Calibri" w:hAnsiTheme="minorHAnsi" w:cstheme="minorHAnsi"/>
          <w:bCs/>
          <w:sz w:val="24"/>
          <w:szCs w:val="24"/>
        </w:rPr>
        <w:t>Działalność Starostwa w zakresie przeprowadzonej kontroli ocenia się pozytywnie.</w:t>
      </w:r>
    </w:p>
    <w:p w14:paraId="69D586CA" w14:textId="77777777" w:rsidR="00000000" w:rsidRPr="00984523" w:rsidRDefault="00000000" w:rsidP="00801958">
      <w:pPr>
        <w:keepNext/>
        <w:keepLines/>
        <w:spacing w:before="240" w:after="120"/>
        <w:jc w:val="both"/>
        <w:outlineLvl w:val="1"/>
        <w:rPr>
          <w:rFonts w:asciiTheme="minorHAnsi" w:hAnsiTheme="minorHAnsi" w:cstheme="minorHAnsi"/>
          <w:b/>
          <w:i/>
          <w:iCs/>
          <w:sz w:val="24"/>
          <w:szCs w:val="24"/>
          <w:lang w:eastAsia="pl-PL"/>
        </w:rPr>
      </w:pPr>
      <w:r w:rsidRPr="00984523">
        <w:rPr>
          <w:rFonts w:asciiTheme="minorHAnsi" w:hAnsiTheme="minorHAnsi" w:cstheme="minorHAnsi"/>
          <w:b/>
          <w:sz w:val="24"/>
          <w:szCs w:val="24"/>
          <w:lang w:eastAsia="pl-PL"/>
        </w:rPr>
        <w:t>Zalecenia/Wnioski:</w:t>
      </w:r>
    </w:p>
    <w:p w14:paraId="3FA0EFB0" w14:textId="77777777" w:rsidR="00000000" w:rsidRPr="00984523" w:rsidRDefault="00000000" w:rsidP="00801958">
      <w:pPr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>Biorąc pod uwagę powyższe ustalenia, na podstawie art. 46 ust. 3 ustawy o kontroli, zalecam:</w:t>
      </w:r>
    </w:p>
    <w:p w14:paraId="1C1819E4" w14:textId="77777777" w:rsidR="00000000" w:rsidRPr="00984523" w:rsidRDefault="00000000" w:rsidP="00801958">
      <w:pPr>
        <w:numPr>
          <w:ilvl w:val="0"/>
          <w:numId w:val="6"/>
        </w:numPr>
        <w:spacing w:after="120"/>
        <w:ind w:left="425" w:hanging="425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podjęcie czynności w celu założenia ksiąg wieczystych</w:t>
      </w:r>
      <w:r w:rsidRPr="00801958">
        <w:t xml:space="preserve"> </w:t>
      </w:r>
      <w:r w:rsidRPr="00801958">
        <w:rPr>
          <w:rFonts w:asciiTheme="minorHAnsi" w:hAnsiTheme="minorHAnsi" w:cstheme="minorHAnsi"/>
          <w:sz w:val="24"/>
        </w:rPr>
        <w:t xml:space="preserve">dla 9 działek występujących </w:t>
      </w:r>
      <w:r>
        <w:rPr>
          <w:rFonts w:asciiTheme="minorHAnsi" w:hAnsiTheme="minorHAnsi" w:cstheme="minorHAnsi"/>
          <w:sz w:val="24"/>
        </w:rPr>
        <w:br/>
      </w:r>
      <w:r w:rsidRPr="00801958">
        <w:rPr>
          <w:rFonts w:asciiTheme="minorHAnsi" w:hAnsiTheme="minorHAnsi" w:cstheme="minorHAnsi"/>
          <w:sz w:val="24"/>
        </w:rPr>
        <w:t>w rejestrze nieruchomości niezagospodarowanych</w:t>
      </w:r>
      <w:r>
        <w:rPr>
          <w:rFonts w:asciiTheme="minorHAnsi" w:hAnsiTheme="minorHAnsi" w:cstheme="minorHAnsi"/>
          <w:sz w:val="24"/>
        </w:rPr>
        <w:t>;</w:t>
      </w:r>
    </w:p>
    <w:p w14:paraId="63A60955" w14:textId="035BA3ED" w:rsidR="00000000" w:rsidRDefault="00000000" w:rsidP="00801958">
      <w:pPr>
        <w:numPr>
          <w:ilvl w:val="0"/>
          <w:numId w:val="6"/>
        </w:numPr>
        <w:spacing w:after="120"/>
        <w:ind w:left="425" w:hanging="425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podjęcie czynności w celu umownego zagospodarowania działki</w:t>
      </w:r>
      <w:r w:rsidRPr="00801958">
        <w:t xml:space="preserve"> </w:t>
      </w:r>
      <w:r w:rsidRPr="00801958">
        <w:rPr>
          <w:rFonts w:asciiTheme="minorHAnsi" w:hAnsiTheme="minorHAnsi" w:cstheme="minorHAnsi"/>
          <w:sz w:val="24"/>
        </w:rPr>
        <w:t xml:space="preserve">nr </w:t>
      </w:r>
      <w:r w:rsidR="00E546A6">
        <w:rPr>
          <w:rFonts w:asciiTheme="minorHAnsi" w:hAnsiTheme="minorHAnsi" w:cstheme="minorHAnsi"/>
          <w:sz w:val="24"/>
        </w:rPr>
        <w:t>[………]</w:t>
      </w:r>
      <w:r w:rsidRPr="00801958">
        <w:rPr>
          <w:rFonts w:asciiTheme="minorHAnsi" w:hAnsiTheme="minorHAnsi" w:cstheme="minorHAnsi"/>
          <w:sz w:val="24"/>
        </w:rPr>
        <w:t xml:space="preserve"> położonej </w:t>
      </w:r>
      <w:r>
        <w:rPr>
          <w:rFonts w:asciiTheme="minorHAnsi" w:hAnsiTheme="minorHAnsi" w:cstheme="minorHAnsi"/>
          <w:sz w:val="24"/>
        </w:rPr>
        <w:br/>
      </w:r>
      <w:r w:rsidRPr="00801958">
        <w:rPr>
          <w:rFonts w:asciiTheme="minorHAnsi" w:hAnsiTheme="minorHAnsi" w:cstheme="minorHAnsi"/>
          <w:sz w:val="24"/>
        </w:rPr>
        <w:t xml:space="preserve">w obrębie </w:t>
      </w:r>
      <w:r w:rsidR="00E546A6">
        <w:rPr>
          <w:rFonts w:asciiTheme="minorHAnsi" w:hAnsiTheme="minorHAnsi" w:cstheme="minorHAnsi"/>
          <w:sz w:val="24"/>
        </w:rPr>
        <w:t>[…………]</w:t>
      </w:r>
      <w:r w:rsidRPr="00801958">
        <w:rPr>
          <w:rFonts w:asciiTheme="minorHAnsi" w:hAnsiTheme="minorHAnsi" w:cstheme="minorHAnsi"/>
          <w:sz w:val="24"/>
        </w:rPr>
        <w:t xml:space="preserve"> miasta Kwidzyn</w:t>
      </w:r>
      <w:r>
        <w:rPr>
          <w:rFonts w:asciiTheme="minorHAnsi" w:hAnsiTheme="minorHAnsi" w:cstheme="minorHAnsi"/>
          <w:sz w:val="24"/>
        </w:rPr>
        <w:t>,</w:t>
      </w:r>
      <w:r w:rsidRPr="00801958">
        <w:t xml:space="preserve"> </w:t>
      </w:r>
      <w:r w:rsidRPr="00801958">
        <w:rPr>
          <w:rFonts w:asciiTheme="minorHAnsi" w:hAnsiTheme="minorHAnsi" w:cstheme="minorHAnsi"/>
          <w:sz w:val="24"/>
        </w:rPr>
        <w:t>nabytej przez Skarb Państwa po podmiotach, które utraciły byt prawny w związku z nieprzerejestrowaniem do KRS lub wykreślonych z KRS</w:t>
      </w:r>
      <w:r>
        <w:rPr>
          <w:rFonts w:asciiTheme="minorHAnsi" w:hAnsiTheme="minorHAnsi" w:cstheme="minorHAnsi"/>
          <w:sz w:val="24"/>
        </w:rPr>
        <w:t>;</w:t>
      </w:r>
    </w:p>
    <w:p w14:paraId="73C0E2FC" w14:textId="77777777" w:rsidR="00000000" w:rsidRPr="00984523" w:rsidRDefault="00000000" w:rsidP="00801958">
      <w:pPr>
        <w:numPr>
          <w:ilvl w:val="0"/>
          <w:numId w:val="6"/>
        </w:numPr>
        <w:spacing w:after="120"/>
        <w:ind w:left="425" w:hanging="425"/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 xml:space="preserve">podjęcie działań i czynności zmierzających do maksymalnego zmniejszenia </w:t>
      </w:r>
      <w:r>
        <w:rPr>
          <w:rFonts w:asciiTheme="minorHAnsi" w:hAnsiTheme="minorHAnsi" w:cstheme="minorHAnsi"/>
          <w:sz w:val="24"/>
        </w:rPr>
        <w:t>liczby</w:t>
      </w:r>
      <w:r w:rsidRPr="00984523">
        <w:rPr>
          <w:rFonts w:asciiTheme="minorHAnsi" w:hAnsiTheme="minorHAnsi" w:cstheme="minorHAnsi"/>
          <w:sz w:val="24"/>
        </w:rPr>
        <w:t xml:space="preserve"> niezagospodarowanych nieruchomości Skarbu Państwa.</w:t>
      </w:r>
    </w:p>
    <w:p w14:paraId="49D0C6F9" w14:textId="77777777" w:rsidR="00000000" w:rsidRPr="00801958" w:rsidRDefault="00000000" w:rsidP="00801958">
      <w:pPr>
        <w:spacing w:after="600"/>
        <w:jc w:val="both"/>
        <w:rPr>
          <w:rFonts w:asciiTheme="minorHAnsi" w:hAnsiTheme="minorHAnsi" w:cstheme="minorHAnsi"/>
          <w:sz w:val="24"/>
        </w:rPr>
      </w:pPr>
      <w:r w:rsidRPr="00332A6B">
        <w:rPr>
          <w:rFonts w:asciiTheme="minorHAnsi" w:hAnsiTheme="minorHAnsi" w:cstheme="minorHAnsi"/>
          <w:sz w:val="24"/>
        </w:rPr>
        <w:t xml:space="preserve">Na podstawie art. 49 w zw. z art. 46 ust. 3 pkt 3 </w:t>
      </w:r>
      <w:r w:rsidRPr="00332A6B">
        <w:rPr>
          <w:rFonts w:asciiTheme="minorHAnsi" w:hAnsiTheme="minorHAnsi" w:cstheme="minorHAnsi"/>
          <w:iCs/>
          <w:sz w:val="24"/>
        </w:rPr>
        <w:t>ustawy o kontroli</w:t>
      </w:r>
      <w:r w:rsidRPr="00332A6B">
        <w:rPr>
          <w:rFonts w:asciiTheme="minorHAnsi" w:hAnsiTheme="minorHAnsi" w:cstheme="minorHAnsi"/>
          <w:sz w:val="24"/>
        </w:rPr>
        <w:t xml:space="preserve"> proszę </w:t>
      </w:r>
      <w:r w:rsidRPr="00332A6B">
        <w:rPr>
          <w:rFonts w:asciiTheme="minorHAnsi" w:hAnsiTheme="minorHAnsi" w:cstheme="minorHAnsi"/>
          <w:sz w:val="24"/>
        </w:rPr>
        <w:br/>
        <w:t xml:space="preserve">o przedstawienie, w terminie miesiąca od daty otrzymania niniejszego dokumentu: informacji o sposobie wykonania zaleceń, informacji o sposobie wykorzystania uwag i wniosków </w:t>
      </w:r>
      <w:r w:rsidRPr="00332A6B">
        <w:rPr>
          <w:rFonts w:asciiTheme="minorHAnsi" w:hAnsiTheme="minorHAnsi" w:cstheme="minorHAnsi"/>
          <w:sz w:val="24"/>
        </w:rPr>
        <w:br/>
        <w:t>lub o przyczynach ich niewykorzystania</w:t>
      </w:r>
      <w:r>
        <w:rPr>
          <w:rFonts w:asciiTheme="minorHAnsi" w:hAnsiTheme="minorHAnsi" w:cstheme="minorHAnsi"/>
          <w:sz w:val="24"/>
        </w:rPr>
        <w:t>.</w:t>
      </w:r>
    </w:p>
    <w:p w14:paraId="696E07CF" w14:textId="77777777" w:rsidR="00000000" w:rsidRPr="00963F43" w:rsidRDefault="00000000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66D25" w14:paraId="3D66BC9A" w14:textId="77777777" w:rsidTr="00963F43">
        <w:trPr>
          <w:trHeight w:val="400"/>
        </w:trPr>
        <w:tc>
          <w:tcPr>
            <w:tcW w:w="4678" w:type="dxa"/>
          </w:tcPr>
          <w:p w14:paraId="3D2E89BC" w14:textId="77777777" w:rsidR="00000000" w:rsidRPr="00963F43" w:rsidRDefault="00000000" w:rsidP="001E23F5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D25" w14:paraId="54F805B0" w14:textId="77777777" w:rsidTr="00963F43">
        <w:trPr>
          <w:trHeight w:val="1127"/>
        </w:trPr>
        <w:tc>
          <w:tcPr>
            <w:tcW w:w="4678" w:type="dxa"/>
          </w:tcPr>
          <w:p w14:paraId="295E287A" w14:textId="77777777" w:rsidR="00000000" w:rsidRDefault="00000000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8" w:name="ezdPracownikStanowisko"/>
            <w:r>
              <w:rPr>
                <w:rFonts w:asciiTheme="minorHAnsi" w:hAnsiTheme="minorHAnsi"/>
                <w:sz w:val="24"/>
                <w:szCs w:val="24"/>
              </w:rPr>
              <w:t>Wojewoda Pomorski</w:t>
            </w:r>
            <w:bookmarkEnd w:id="18"/>
          </w:p>
          <w:p w14:paraId="1C43A391" w14:textId="77777777" w:rsidR="00000000" w:rsidRPr="00963F43" w:rsidRDefault="00000000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9E6C3F2" w14:textId="77777777" w:rsidR="00000000" w:rsidRPr="00963F43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9" w:name="ezdPracownikNazwa"/>
            <w:r w:rsidRPr="00963F43">
              <w:rPr>
                <w:rFonts w:asciiTheme="minorHAnsi" w:hAnsiTheme="minorHAnsi"/>
                <w:sz w:val="24"/>
                <w:szCs w:val="24"/>
              </w:rPr>
              <w:t>Beata Rutkiewicz</w:t>
            </w:r>
            <w:bookmarkEnd w:id="19"/>
          </w:p>
        </w:tc>
      </w:tr>
      <w:tr w:rsidR="00666D25" w14:paraId="575EB0B3" w14:textId="77777777" w:rsidTr="00963F43">
        <w:trPr>
          <w:trHeight w:val="336"/>
        </w:trPr>
        <w:tc>
          <w:tcPr>
            <w:tcW w:w="4678" w:type="dxa"/>
          </w:tcPr>
          <w:p w14:paraId="49FF048F" w14:textId="77777777" w:rsidR="00000000" w:rsidRPr="00963F43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3F43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66AD9931" w14:textId="77777777" w:rsidR="00000000" w:rsidRDefault="00000000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4B3290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2038" w14:textId="77777777" w:rsidR="00EC76C8" w:rsidRDefault="00EC76C8">
      <w:pPr>
        <w:spacing w:after="0" w:line="240" w:lineRule="auto"/>
      </w:pPr>
      <w:r>
        <w:separator/>
      </w:r>
    </w:p>
  </w:endnote>
  <w:endnote w:type="continuationSeparator" w:id="0">
    <w:p w14:paraId="7064DDE7" w14:textId="77777777" w:rsidR="00EC76C8" w:rsidRDefault="00EC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BF3E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D19CE80">
        <v:rect id="_x0000_i1025" style="width:0;height:1.5pt" o:hralign="center" o:hrstd="t" o:hr="t" fillcolor="#a0a0a0" stroked="f"/>
      </w:pict>
    </w:r>
  </w:p>
  <w:p w14:paraId="48D9B43F" w14:textId="77777777" w:rsidR="00000000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20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20"/>
  </w:p>
  <w:p w14:paraId="62E49F24" w14:textId="77777777" w:rsidR="00000000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77BA0224" w14:textId="77777777" w:rsidR="00000000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21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21"/>
  </w:p>
  <w:p w14:paraId="35F105A8" w14:textId="77777777" w:rsidR="00000000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22" w:name="ezdAutorWydzialAtrybut2_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22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3" w:name="ezdAutorWydzialAtrybut3_2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3"/>
  </w:p>
  <w:p w14:paraId="7A72CB21" w14:textId="77777777" w:rsidR="00000000" w:rsidRPr="00960BC6" w:rsidRDefault="00000000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  <w:p w14:paraId="20E7ADAC" w14:textId="77777777" w:rsidR="00000000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7F2E" w14:textId="77777777" w:rsidR="00000000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A811BEE">
        <v:rect id="_x0000_i1027" style="width:0;height:1.5pt" o:hralign="center" o:hrstd="t" o:hr="t" fillcolor="#a0a0a0" stroked="f"/>
      </w:pict>
    </w:r>
  </w:p>
  <w:p w14:paraId="4380C4C7" w14:textId="77777777" w:rsidR="00000000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24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24"/>
  </w:p>
  <w:p w14:paraId="3E09E18E" w14:textId="77777777" w:rsidR="00000000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1C1EE792" w14:textId="77777777" w:rsidR="00000000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25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25"/>
  </w:p>
  <w:p w14:paraId="68A67D7D" w14:textId="77777777" w:rsidR="00000000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26" w:name="ezdAutorWydzialAtrybut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26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7" w:name="ezdAutorWydzialAtrybut3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7"/>
  </w:p>
  <w:p w14:paraId="5629201E" w14:textId="77777777" w:rsidR="00000000" w:rsidRPr="00960BC6" w:rsidRDefault="00000000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85FE" w14:textId="77777777" w:rsidR="00EC76C8" w:rsidRDefault="00EC76C8">
      <w:pPr>
        <w:spacing w:after="0" w:line="240" w:lineRule="auto"/>
      </w:pPr>
      <w:r>
        <w:separator/>
      </w:r>
    </w:p>
  </w:footnote>
  <w:footnote w:type="continuationSeparator" w:id="0">
    <w:p w14:paraId="07826032" w14:textId="77777777" w:rsidR="00EC76C8" w:rsidRDefault="00EC76C8">
      <w:pPr>
        <w:spacing w:after="0" w:line="240" w:lineRule="auto"/>
      </w:pPr>
      <w:r>
        <w:continuationSeparator/>
      </w:r>
    </w:p>
  </w:footnote>
  <w:footnote w:id="1">
    <w:p w14:paraId="56194DFB" w14:textId="77777777" w:rsidR="00000000" w:rsidRPr="00FA5A0A" w:rsidRDefault="00000000" w:rsidP="00801958">
      <w:pPr>
        <w:pStyle w:val="Tekstprzypisudolnego"/>
        <w:rPr>
          <w:rFonts w:asciiTheme="minorHAnsi" w:hAnsiTheme="minorHAnsi" w:cstheme="minorHAnsi"/>
        </w:rPr>
      </w:pPr>
      <w:r w:rsidRPr="00FA5A0A">
        <w:rPr>
          <w:rStyle w:val="Odwoanieprzypisudolnego"/>
          <w:rFonts w:asciiTheme="minorHAnsi" w:hAnsiTheme="minorHAnsi" w:cstheme="minorHAnsi"/>
        </w:rPr>
        <w:footnoteRef/>
      </w:r>
      <w:r w:rsidRPr="00FA5A0A">
        <w:rPr>
          <w:rFonts w:asciiTheme="minorHAnsi" w:hAnsiTheme="minorHAnsi" w:cstheme="minorHAnsi"/>
        </w:rPr>
        <w:t xml:space="preserve"> Akta kontroli str. 30-31 – pismo Starosty z dnia 30 czerwca 2025 r.</w:t>
      </w:r>
    </w:p>
  </w:footnote>
  <w:footnote w:id="2">
    <w:p w14:paraId="23D16BD4" w14:textId="77777777" w:rsidR="00000000" w:rsidRPr="00FA5A0A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3F0126">
        <w:rPr>
          <w:rStyle w:val="Odwoanieprzypisudolnego"/>
          <w:rFonts w:asciiTheme="minorHAnsi" w:hAnsiTheme="minorHAnsi" w:cstheme="minorHAnsi"/>
        </w:rPr>
        <w:footnoteRef/>
      </w:r>
      <w:r w:rsidRPr="003F0126">
        <w:rPr>
          <w:rFonts w:asciiTheme="minorHAnsi" w:hAnsiTheme="minorHAnsi" w:cstheme="minorHAnsi"/>
        </w:rPr>
        <w:t xml:space="preserve"> </w:t>
      </w:r>
      <w:bookmarkStart w:id="5" w:name="_Hlk211426348"/>
      <w:r w:rsidRPr="003F0126">
        <w:rPr>
          <w:rFonts w:asciiTheme="minorHAnsi" w:hAnsiTheme="minorHAnsi" w:cstheme="minorHAnsi"/>
        </w:rPr>
        <w:t xml:space="preserve">Akta kontroli str. 38-85 – </w:t>
      </w:r>
      <w:bookmarkEnd w:id="5"/>
      <w:r w:rsidRPr="003F0126">
        <w:rPr>
          <w:rFonts w:asciiTheme="minorHAnsi" w:hAnsiTheme="minorHAnsi" w:cstheme="minorHAnsi"/>
        </w:rPr>
        <w:t>Regulamin Organizacyjny Starostwa</w:t>
      </w:r>
    </w:p>
  </w:footnote>
  <w:footnote w:id="3">
    <w:p w14:paraId="34226F18" w14:textId="77777777" w:rsidR="00000000" w:rsidRPr="00FA5A0A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C0787E">
        <w:rPr>
          <w:rStyle w:val="Odwoanieprzypisudolnego"/>
          <w:rFonts w:asciiTheme="minorHAnsi" w:hAnsiTheme="minorHAnsi" w:cstheme="minorHAnsi"/>
        </w:rPr>
        <w:footnoteRef/>
      </w:r>
      <w:r w:rsidRPr="00C0787E">
        <w:rPr>
          <w:rFonts w:asciiTheme="minorHAnsi" w:hAnsiTheme="minorHAnsi" w:cstheme="minorHAnsi"/>
        </w:rPr>
        <w:t xml:space="preserve"> Akta kontroli str. 29 - 107  – zakresy obowiązków</w:t>
      </w:r>
    </w:p>
  </w:footnote>
  <w:footnote w:id="4">
    <w:p w14:paraId="280CC5B6" w14:textId="77777777" w:rsidR="00000000" w:rsidRPr="00331740" w:rsidRDefault="00000000" w:rsidP="00801958">
      <w:pPr>
        <w:pStyle w:val="Tekstprzypisudolnego"/>
        <w:rPr>
          <w:rFonts w:asciiTheme="minorHAnsi" w:hAnsiTheme="minorHAnsi" w:cstheme="minorHAnsi"/>
        </w:rPr>
      </w:pPr>
      <w:r w:rsidRPr="00FA5A0A">
        <w:rPr>
          <w:rStyle w:val="Odwoanieprzypisudolnego"/>
          <w:rFonts w:asciiTheme="minorHAnsi" w:hAnsiTheme="minorHAnsi" w:cstheme="minorHAnsi"/>
        </w:rPr>
        <w:footnoteRef/>
      </w:r>
      <w:r w:rsidRPr="00FA5A0A">
        <w:rPr>
          <w:rFonts w:asciiTheme="minorHAnsi" w:hAnsiTheme="minorHAnsi" w:cstheme="minorHAnsi"/>
        </w:rPr>
        <w:t xml:space="preserve"> Akta kontroli str. 11-13 – zestawienie spraw użytkowania wieczystego</w:t>
      </w:r>
    </w:p>
  </w:footnote>
  <w:footnote w:id="5">
    <w:p w14:paraId="0D09905E" w14:textId="77777777" w:rsidR="00000000" w:rsidRDefault="00000000" w:rsidP="008019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24BE">
        <w:rPr>
          <w:rFonts w:asciiTheme="minorHAnsi" w:hAnsiTheme="minorHAnsi" w:cstheme="minorHAnsi"/>
        </w:rPr>
        <w:t>Akta kontroli str. 109-151 – Akta ze Starostwa</w:t>
      </w:r>
    </w:p>
  </w:footnote>
  <w:footnote w:id="6">
    <w:p w14:paraId="42F410EF" w14:textId="77777777" w:rsidR="00000000" w:rsidRPr="005902BC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F87C23">
        <w:rPr>
          <w:rStyle w:val="Odwoanieprzypisudolnego"/>
          <w:rFonts w:asciiTheme="minorHAnsi" w:hAnsiTheme="minorHAnsi" w:cstheme="minorHAnsi"/>
        </w:rPr>
        <w:footnoteRef/>
      </w:r>
      <w:r w:rsidRPr="00F87C23">
        <w:rPr>
          <w:rFonts w:asciiTheme="minorHAnsi" w:hAnsiTheme="minorHAnsi" w:cstheme="minorHAnsi"/>
        </w:rPr>
        <w:t xml:space="preserve"> </w:t>
      </w:r>
      <w:bookmarkStart w:id="8" w:name="_Hlk214620166"/>
      <w:r w:rsidRPr="00F87C23">
        <w:rPr>
          <w:rFonts w:asciiTheme="minorHAnsi" w:hAnsiTheme="minorHAnsi" w:cstheme="minorHAnsi"/>
        </w:rPr>
        <w:t>Akta kontroli str. 7-8 - Zawiadomienie o kontroli</w:t>
      </w:r>
      <w:bookmarkEnd w:id="8"/>
    </w:p>
  </w:footnote>
  <w:footnote w:id="7">
    <w:p w14:paraId="283A6FCD" w14:textId="77777777" w:rsidR="00000000" w:rsidRPr="005902BC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F87C23">
        <w:rPr>
          <w:rStyle w:val="Odwoanieprzypisudolnego"/>
          <w:rFonts w:asciiTheme="minorHAnsi" w:hAnsiTheme="minorHAnsi" w:cstheme="minorHAnsi"/>
        </w:rPr>
        <w:footnoteRef/>
      </w:r>
      <w:r w:rsidRPr="00F87C23">
        <w:rPr>
          <w:rFonts w:asciiTheme="minorHAnsi" w:hAnsiTheme="minorHAnsi" w:cstheme="minorHAnsi"/>
        </w:rPr>
        <w:t xml:space="preserve"> </w:t>
      </w:r>
      <w:bookmarkStart w:id="10" w:name="_Hlk214621888"/>
      <w:r w:rsidRPr="00F87C23">
        <w:rPr>
          <w:rFonts w:asciiTheme="minorHAnsi" w:hAnsiTheme="minorHAnsi" w:cstheme="minorHAnsi"/>
        </w:rPr>
        <w:t>Akta kontroli str. 11-13 – Tabele przesłane przez Starostę w odp. na zawiadomienie o kontroli</w:t>
      </w:r>
      <w:bookmarkEnd w:id="10"/>
    </w:p>
  </w:footnote>
  <w:footnote w:id="8">
    <w:p w14:paraId="64DFD02E" w14:textId="77777777" w:rsidR="00000000" w:rsidRPr="00471A04" w:rsidRDefault="00000000" w:rsidP="00801958">
      <w:pPr>
        <w:pStyle w:val="Tekstprzypisudolnego"/>
        <w:rPr>
          <w:highlight w:val="yellow"/>
        </w:rPr>
      </w:pPr>
      <w:r w:rsidRPr="00F87C23">
        <w:rPr>
          <w:rStyle w:val="Odwoanieprzypisudolnego"/>
          <w:rFonts w:asciiTheme="minorHAnsi" w:hAnsiTheme="minorHAnsi" w:cstheme="minorHAnsi"/>
        </w:rPr>
        <w:footnoteRef/>
      </w:r>
      <w:r w:rsidRPr="00F87C23">
        <w:rPr>
          <w:rFonts w:asciiTheme="minorHAnsi" w:hAnsiTheme="minorHAnsi" w:cstheme="minorHAnsi"/>
        </w:rPr>
        <w:t xml:space="preserve"> Akta kontroli str. 19-28 – Program kontroli</w:t>
      </w:r>
    </w:p>
  </w:footnote>
  <w:footnote w:id="9">
    <w:p w14:paraId="79426433" w14:textId="77777777" w:rsidR="00000000" w:rsidRPr="00B86F5F" w:rsidRDefault="00000000" w:rsidP="00801958">
      <w:pPr>
        <w:pStyle w:val="Tekstprzypisudolnego"/>
        <w:rPr>
          <w:rFonts w:asciiTheme="minorHAnsi" w:hAnsiTheme="minorHAnsi" w:cstheme="minorHAnsi"/>
        </w:rPr>
      </w:pPr>
      <w:r w:rsidRPr="00B86F5F">
        <w:rPr>
          <w:rStyle w:val="Odwoanieprzypisudolnego"/>
          <w:rFonts w:asciiTheme="minorHAnsi" w:hAnsiTheme="minorHAnsi" w:cstheme="minorHAnsi"/>
        </w:rPr>
        <w:footnoteRef/>
      </w:r>
      <w:r w:rsidRPr="00B86F5F">
        <w:rPr>
          <w:rFonts w:asciiTheme="minorHAnsi" w:hAnsiTheme="minorHAnsi" w:cstheme="minorHAnsi"/>
        </w:rPr>
        <w:t xml:space="preserve"> Akta kontroli str. 7-8 - Zawiadomienie o kontroli</w:t>
      </w:r>
    </w:p>
  </w:footnote>
  <w:footnote w:id="10">
    <w:p w14:paraId="030B0386" w14:textId="77777777" w:rsidR="00000000" w:rsidRPr="00B86F5F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B86F5F">
        <w:rPr>
          <w:rStyle w:val="Odwoanieprzypisudolnego"/>
          <w:rFonts w:asciiTheme="minorHAnsi" w:hAnsiTheme="minorHAnsi" w:cstheme="minorHAnsi"/>
        </w:rPr>
        <w:footnoteRef/>
      </w:r>
      <w:r w:rsidRPr="00B86F5F">
        <w:rPr>
          <w:rFonts w:asciiTheme="minorHAnsi" w:hAnsiTheme="minorHAnsi" w:cstheme="minorHAnsi"/>
        </w:rPr>
        <w:t xml:space="preserve"> Akta kontroli str. 86 – dane przesłane przez Starostę w odp. na zawiadomienie o kontroli</w:t>
      </w:r>
    </w:p>
  </w:footnote>
  <w:footnote w:id="11">
    <w:p w14:paraId="5892DD0E" w14:textId="77777777" w:rsidR="00000000" w:rsidRPr="00B86F5F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B86F5F">
        <w:rPr>
          <w:rStyle w:val="Odwoanieprzypisudolnego"/>
          <w:rFonts w:asciiTheme="minorHAnsi" w:hAnsiTheme="minorHAnsi" w:cstheme="minorHAnsi"/>
        </w:rPr>
        <w:footnoteRef/>
      </w:r>
      <w:r w:rsidRPr="00B86F5F">
        <w:rPr>
          <w:rFonts w:asciiTheme="minorHAnsi" w:hAnsiTheme="minorHAnsi" w:cstheme="minorHAnsi"/>
        </w:rPr>
        <w:t xml:space="preserve"> Akta kontroli str. 155-158 – pismo Starosty uzupełniające dane</w:t>
      </w:r>
    </w:p>
  </w:footnote>
  <w:footnote w:id="12">
    <w:p w14:paraId="153756D4" w14:textId="77777777" w:rsidR="00000000" w:rsidRPr="00B86F5F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B86F5F">
        <w:rPr>
          <w:rStyle w:val="Odwoanieprzypisudolnego"/>
          <w:rFonts w:asciiTheme="minorHAnsi" w:hAnsiTheme="minorHAnsi" w:cstheme="minorHAnsi"/>
        </w:rPr>
        <w:footnoteRef/>
      </w:r>
      <w:r w:rsidRPr="00B86F5F">
        <w:rPr>
          <w:rFonts w:asciiTheme="minorHAnsi" w:hAnsiTheme="minorHAnsi" w:cstheme="minorHAnsi"/>
        </w:rPr>
        <w:t xml:space="preserve"> Akta</w:t>
      </w:r>
      <w:r w:rsidRPr="00F87C23">
        <w:rPr>
          <w:rFonts w:asciiTheme="minorHAnsi" w:hAnsiTheme="minorHAnsi" w:cstheme="minorHAnsi"/>
        </w:rPr>
        <w:t xml:space="preserve"> kontroli str. 19-28 – Program kontroli</w:t>
      </w:r>
    </w:p>
  </w:footnote>
  <w:footnote w:id="13">
    <w:p w14:paraId="070ACD59" w14:textId="77777777" w:rsidR="00000000" w:rsidRDefault="00000000" w:rsidP="00801958">
      <w:pPr>
        <w:pStyle w:val="Tekstprzypisudolnego"/>
      </w:pPr>
      <w:r w:rsidRPr="00B86F5F">
        <w:rPr>
          <w:rStyle w:val="Odwoanieprzypisudolnego"/>
          <w:rFonts w:asciiTheme="minorHAnsi" w:hAnsiTheme="minorHAnsi" w:cstheme="minorHAnsi"/>
        </w:rPr>
        <w:footnoteRef/>
      </w:r>
      <w:r w:rsidRPr="00B86F5F">
        <w:rPr>
          <w:rFonts w:asciiTheme="minorHAnsi" w:hAnsiTheme="minorHAnsi" w:cstheme="minorHAnsi"/>
        </w:rPr>
        <w:t xml:space="preserve"> Akta kontroli str. 167-169  –  analiza skorowidza nieruchomości niezagospodarowanych</w:t>
      </w:r>
    </w:p>
  </w:footnote>
  <w:footnote w:id="14">
    <w:p w14:paraId="44748A00" w14:textId="77777777" w:rsidR="00000000" w:rsidRPr="00FE24BE" w:rsidRDefault="00000000" w:rsidP="00801958">
      <w:pPr>
        <w:pStyle w:val="Tekstprzypisudolnego"/>
        <w:rPr>
          <w:rFonts w:asciiTheme="minorHAnsi" w:hAnsiTheme="minorHAnsi" w:cstheme="minorHAnsi"/>
        </w:rPr>
      </w:pPr>
      <w:r w:rsidRPr="00FE24BE">
        <w:rPr>
          <w:rStyle w:val="Odwoanieprzypisudolnego"/>
          <w:rFonts w:asciiTheme="minorHAnsi" w:hAnsiTheme="minorHAnsi" w:cstheme="minorHAnsi"/>
        </w:rPr>
        <w:footnoteRef/>
      </w:r>
      <w:r w:rsidRPr="00FE24BE">
        <w:rPr>
          <w:rFonts w:asciiTheme="minorHAnsi" w:hAnsiTheme="minorHAnsi" w:cstheme="minorHAnsi"/>
        </w:rPr>
        <w:t xml:space="preserve"> Akta kontroli str. 109-151 – Akta ze Starostwa</w:t>
      </w:r>
    </w:p>
  </w:footnote>
  <w:footnote w:id="15">
    <w:p w14:paraId="45DF0475" w14:textId="77777777" w:rsidR="00000000" w:rsidRPr="00FE24BE" w:rsidRDefault="00000000" w:rsidP="00801958">
      <w:pPr>
        <w:pStyle w:val="Tekstprzypisudolnego"/>
        <w:rPr>
          <w:rFonts w:asciiTheme="minorHAnsi" w:hAnsiTheme="minorHAnsi" w:cstheme="minorHAnsi"/>
        </w:rPr>
      </w:pPr>
      <w:r w:rsidRPr="00FE24BE">
        <w:rPr>
          <w:rStyle w:val="Odwoanieprzypisudolnego"/>
          <w:rFonts w:asciiTheme="minorHAnsi" w:hAnsiTheme="minorHAnsi" w:cstheme="minorHAnsi"/>
        </w:rPr>
        <w:footnoteRef/>
      </w:r>
      <w:r w:rsidRPr="00FE24BE">
        <w:rPr>
          <w:rFonts w:asciiTheme="minorHAnsi" w:hAnsiTheme="minorHAnsi" w:cstheme="minorHAnsi"/>
        </w:rPr>
        <w:t xml:space="preserve"> Akta kontroli str. 7-8 - Zawiadomienie o kontroli</w:t>
      </w:r>
    </w:p>
  </w:footnote>
  <w:footnote w:id="16">
    <w:p w14:paraId="17BAC9E8" w14:textId="77777777" w:rsidR="00000000" w:rsidRPr="00FE24BE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FE24BE">
        <w:rPr>
          <w:rStyle w:val="Odwoanieprzypisudolnego"/>
          <w:rFonts w:asciiTheme="minorHAnsi" w:hAnsiTheme="minorHAnsi" w:cstheme="minorHAnsi"/>
        </w:rPr>
        <w:footnoteRef/>
      </w:r>
      <w:r w:rsidRPr="00FE24BE">
        <w:rPr>
          <w:rFonts w:asciiTheme="minorHAnsi" w:hAnsiTheme="minorHAnsi" w:cstheme="minorHAnsi"/>
        </w:rPr>
        <w:t xml:space="preserve"> Akta kontroli str. 11-13 – Tabele przesłane przez Starostę w odp. na zawiadomienie o kontroli</w:t>
      </w:r>
    </w:p>
  </w:footnote>
  <w:footnote w:id="17">
    <w:p w14:paraId="73E0951B" w14:textId="77777777" w:rsidR="00000000" w:rsidRPr="00FE24BE" w:rsidRDefault="00000000" w:rsidP="00801958">
      <w:pPr>
        <w:pStyle w:val="Tekstprzypisudolnego"/>
        <w:rPr>
          <w:rFonts w:asciiTheme="minorHAnsi" w:hAnsiTheme="minorHAnsi" w:cstheme="minorHAnsi"/>
          <w:highlight w:val="yellow"/>
        </w:rPr>
      </w:pPr>
      <w:r w:rsidRPr="00FE24BE">
        <w:rPr>
          <w:rStyle w:val="Odwoanieprzypisudolnego"/>
          <w:rFonts w:asciiTheme="minorHAnsi" w:hAnsiTheme="minorHAnsi" w:cstheme="minorHAnsi"/>
        </w:rPr>
        <w:footnoteRef/>
      </w:r>
      <w:r w:rsidRPr="00FE24BE">
        <w:rPr>
          <w:rFonts w:asciiTheme="minorHAnsi" w:hAnsiTheme="minorHAnsi" w:cstheme="minorHAnsi"/>
        </w:rPr>
        <w:t xml:space="preserve"> Akta kontroli str. 155-158 – pismo Starosty uzupełniające dane</w:t>
      </w:r>
    </w:p>
  </w:footnote>
  <w:footnote w:id="18">
    <w:p w14:paraId="09C5261F" w14:textId="77777777" w:rsidR="00000000" w:rsidRDefault="00000000" w:rsidP="00801958">
      <w:pPr>
        <w:pStyle w:val="Tekstprzypisudolnego"/>
      </w:pPr>
      <w:r w:rsidRPr="00DA5A5A">
        <w:rPr>
          <w:rStyle w:val="Odwoanieprzypisudolnego"/>
          <w:rFonts w:asciiTheme="minorHAnsi" w:hAnsiTheme="minorHAnsi" w:cstheme="minorHAnsi"/>
        </w:rPr>
        <w:footnoteRef/>
      </w:r>
      <w:r w:rsidRPr="00DA5A5A">
        <w:rPr>
          <w:rFonts w:asciiTheme="minorHAnsi" w:hAnsiTheme="minorHAnsi" w:cstheme="minorHAnsi"/>
        </w:rPr>
        <w:t xml:space="preserve"> Akta kontroli str. 162-166 - analiza skorowidza działek Skarbu Państwa oddanych w użytkowanie wieczyste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1256" w14:textId="77777777" w:rsidR="00000000" w:rsidRDefault="00000000">
    <w:pPr>
      <w:pStyle w:val="Nagwek"/>
    </w:pPr>
  </w:p>
  <w:p w14:paraId="7BE91CA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687D" w14:textId="77777777" w:rsidR="00000000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1213FABD" wp14:editId="2386F06A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2402D" w14:textId="77777777" w:rsidR="00000000" w:rsidRPr="0009348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54E4E419" w14:textId="77777777" w:rsidR="00000000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0AC1DE7D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35E"/>
    <w:multiLevelType w:val="hybridMultilevel"/>
    <w:tmpl w:val="9D4CDA56"/>
    <w:lvl w:ilvl="0" w:tplc="64349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4701F46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AE50E0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2AC1C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5D16903A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984C08FA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BECAE970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D30CDD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C408DA4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0752D2E"/>
    <w:multiLevelType w:val="hybridMultilevel"/>
    <w:tmpl w:val="14E62920"/>
    <w:lvl w:ilvl="0" w:tplc="91B698F2">
      <w:start w:val="1"/>
      <w:numFmt w:val="decimal"/>
      <w:lvlText w:val="%1."/>
      <w:lvlJc w:val="left"/>
      <w:pPr>
        <w:ind w:left="785" w:hanging="360"/>
      </w:pPr>
    </w:lvl>
    <w:lvl w:ilvl="1" w:tplc="F6FE28DE" w:tentative="1">
      <w:start w:val="1"/>
      <w:numFmt w:val="lowerLetter"/>
      <w:lvlText w:val="%2."/>
      <w:lvlJc w:val="left"/>
      <w:pPr>
        <w:ind w:left="1505" w:hanging="360"/>
      </w:pPr>
    </w:lvl>
    <w:lvl w:ilvl="2" w:tplc="54D00B0A" w:tentative="1">
      <w:start w:val="1"/>
      <w:numFmt w:val="lowerRoman"/>
      <w:lvlText w:val="%3."/>
      <w:lvlJc w:val="right"/>
      <w:pPr>
        <w:ind w:left="2225" w:hanging="180"/>
      </w:pPr>
    </w:lvl>
    <w:lvl w:ilvl="3" w:tplc="FB187064" w:tentative="1">
      <w:start w:val="1"/>
      <w:numFmt w:val="decimal"/>
      <w:lvlText w:val="%4."/>
      <w:lvlJc w:val="left"/>
      <w:pPr>
        <w:ind w:left="2945" w:hanging="360"/>
      </w:pPr>
    </w:lvl>
    <w:lvl w:ilvl="4" w:tplc="069E3436" w:tentative="1">
      <w:start w:val="1"/>
      <w:numFmt w:val="lowerLetter"/>
      <w:lvlText w:val="%5."/>
      <w:lvlJc w:val="left"/>
      <w:pPr>
        <w:ind w:left="3665" w:hanging="360"/>
      </w:pPr>
    </w:lvl>
    <w:lvl w:ilvl="5" w:tplc="59BC1690" w:tentative="1">
      <w:start w:val="1"/>
      <w:numFmt w:val="lowerRoman"/>
      <w:lvlText w:val="%6."/>
      <w:lvlJc w:val="right"/>
      <w:pPr>
        <w:ind w:left="4385" w:hanging="180"/>
      </w:pPr>
    </w:lvl>
    <w:lvl w:ilvl="6" w:tplc="DCA8B382" w:tentative="1">
      <w:start w:val="1"/>
      <w:numFmt w:val="decimal"/>
      <w:lvlText w:val="%7."/>
      <w:lvlJc w:val="left"/>
      <w:pPr>
        <w:ind w:left="5105" w:hanging="360"/>
      </w:pPr>
    </w:lvl>
    <w:lvl w:ilvl="7" w:tplc="25B8786E" w:tentative="1">
      <w:start w:val="1"/>
      <w:numFmt w:val="lowerLetter"/>
      <w:lvlText w:val="%8."/>
      <w:lvlJc w:val="left"/>
      <w:pPr>
        <w:ind w:left="5825" w:hanging="360"/>
      </w:pPr>
    </w:lvl>
    <w:lvl w:ilvl="8" w:tplc="75DA880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5436C9"/>
    <w:multiLevelType w:val="hybridMultilevel"/>
    <w:tmpl w:val="FDD8075A"/>
    <w:lvl w:ilvl="0" w:tplc="6DDA9D54">
      <w:start w:val="1"/>
      <w:numFmt w:val="decimal"/>
      <w:lvlText w:val="%1)"/>
      <w:lvlJc w:val="left"/>
      <w:pPr>
        <w:ind w:left="720" w:hanging="360"/>
      </w:pPr>
    </w:lvl>
    <w:lvl w:ilvl="1" w:tplc="46E08818" w:tentative="1">
      <w:start w:val="1"/>
      <w:numFmt w:val="lowerLetter"/>
      <w:lvlText w:val="%2."/>
      <w:lvlJc w:val="left"/>
      <w:pPr>
        <w:ind w:left="1440" w:hanging="360"/>
      </w:pPr>
    </w:lvl>
    <w:lvl w:ilvl="2" w:tplc="A9E898CC" w:tentative="1">
      <w:start w:val="1"/>
      <w:numFmt w:val="lowerRoman"/>
      <w:lvlText w:val="%3."/>
      <w:lvlJc w:val="right"/>
      <w:pPr>
        <w:ind w:left="2160" w:hanging="180"/>
      </w:pPr>
    </w:lvl>
    <w:lvl w:ilvl="3" w:tplc="47E20852" w:tentative="1">
      <w:start w:val="1"/>
      <w:numFmt w:val="decimal"/>
      <w:lvlText w:val="%4."/>
      <w:lvlJc w:val="left"/>
      <w:pPr>
        <w:ind w:left="2880" w:hanging="360"/>
      </w:pPr>
    </w:lvl>
    <w:lvl w:ilvl="4" w:tplc="871A564A" w:tentative="1">
      <w:start w:val="1"/>
      <w:numFmt w:val="lowerLetter"/>
      <w:lvlText w:val="%5."/>
      <w:lvlJc w:val="left"/>
      <w:pPr>
        <w:ind w:left="3600" w:hanging="360"/>
      </w:pPr>
    </w:lvl>
    <w:lvl w:ilvl="5" w:tplc="D2E682B6" w:tentative="1">
      <w:start w:val="1"/>
      <w:numFmt w:val="lowerRoman"/>
      <w:lvlText w:val="%6."/>
      <w:lvlJc w:val="right"/>
      <w:pPr>
        <w:ind w:left="4320" w:hanging="180"/>
      </w:pPr>
    </w:lvl>
    <w:lvl w:ilvl="6" w:tplc="121C2672" w:tentative="1">
      <w:start w:val="1"/>
      <w:numFmt w:val="decimal"/>
      <w:lvlText w:val="%7."/>
      <w:lvlJc w:val="left"/>
      <w:pPr>
        <w:ind w:left="5040" w:hanging="360"/>
      </w:pPr>
    </w:lvl>
    <w:lvl w:ilvl="7" w:tplc="425AC95E" w:tentative="1">
      <w:start w:val="1"/>
      <w:numFmt w:val="lowerLetter"/>
      <w:lvlText w:val="%8."/>
      <w:lvlJc w:val="left"/>
      <w:pPr>
        <w:ind w:left="5760" w:hanging="360"/>
      </w:pPr>
    </w:lvl>
    <w:lvl w:ilvl="8" w:tplc="ACBC3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97E7B"/>
    <w:multiLevelType w:val="hybridMultilevel"/>
    <w:tmpl w:val="CE4CF848"/>
    <w:lvl w:ilvl="0" w:tplc="967C9E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AE21A8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6B82A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6B49C3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04A75C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3A8E4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DE8F7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D56B51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DE5B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6949FE"/>
    <w:multiLevelType w:val="hybridMultilevel"/>
    <w:tmpl w:val="BCE8BAD0"/>
    <w:lvl w:ilvl="0" w:tplc="0CF8E528">
      <w:start w:val="1"/>
      <w:numFmt w:val="decimal"/>
      <w:lvlText w:val="%1)"/>
      <w:lvlJc w:val="left"/>
      <w:pPr>
        <w:ind w:left="720" w:hanging="360"/>
      </w:pPr>
    </w:lvl>
    <w:lvl w:ilvl="1" w:tplc="CF14EC7C" w:tentative="1">
      <w:start w:val="1"/>
      <w:numFmt w:val="lowerLetter"/>
      <w:lvlText w:val="%2."/>
      <w:lvlJc w:val="left"/>
      <w:pPr>
        <w:ind w:left="1440" w:hanging="360"/>
      </w:pPr>
    </w:lvl>
    <w:lvl w:ilvl="2" w:tplc="178CB6BE" w:tentative="1">
      <w:start w:val="1"/>
      <w:numFmt w:val="lowerRoman"/>
      <w:lvlText w:val="%3."/>
      <w:lvlJc w:val="right"/>
      <w:pPr>
        <w:ind w:left="2160" w:hanging="180"/>
      </w:pPr>
    </w:lvl>
    <w:lvl w:ilvl="3" w:tplc="2988C7F8" w:tentative="1">
      <w:start w:val="1"/>
      <w:numFmt w:val="decimal"/>
      <w:lvlText w:val="%4."/>
      <w:lvlJc w:val="left"/>
      <w:pPr>
        <w:ind w:left="2880" w:hanging="360"/>
      </w:pPr>
    </w:lvl>
    <w:lvl w:ilvl="4" w:tplc="1BCA6C54" w:tentative="1">
      <w:start w:val="1"/>
      <w:numFmt w:val="lowerLetter"/>
      <w:lvlText w:val="%5."/>
      <w:lvlJc w:val="left"/>
      <w:pPr>
        <w:ind w:left="3600" w:hanging="360"/>
      </w:pPr>
    </w:lvl>
    <w:lvl w:ilvl="5" w:tplc="634A9568" w:tentative="1">
      <w:start w:val="1"/>
      <w:numFmt w:val="lowerRoman"/>
      <w:lvlText w:val="%6."/>
      <w:lvlJc w:val="right"/>
      <w:pPr>
        <w:ind w:left="4320" w:hanging="180"/>
      </w:pPr>
    </w:lvl>
    <w:lvl w:ilvl="6" w:tplc="39F26CDA" w:tentative="1">
      <w:start w:val="1"/>
      <w:numFmt w:val="decimal"/>
      <w:lvlText w:val="%7."/>
      <w:lvlJc w:val="left"/>
      <w:pPr>
        <w:ind w:left="5040" w:hanging="360"/>
      </w:pPr>
    </w:lvl>
    <w:lvl w:ilvl="7" w:tplc="60BA3658" w:tentative="1">
      <w:start w:val="1"/>
      <w:numFmt w:val="lowerLetter"/>
      <w:lvlText w:val="%8."/>
      <w:lvlJc w:val="left"/>
      <w:pPr>
        <w:ind w:left="5760" w:hanging="360"/>
      </w:pPr>
    </w:lvl>
    <w:lvl w:ilvl="8" w:tplc="3B1CF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85646"/>
    <w:multiLevelType w:val="multilevel"/>
    <w:tmpl w:val="0B18D31C"/>
    <w:lvl w:ilvl="0">
      <w:start w:val="3"/>
      <w:numFmt w:val="decimal"/>
      <w:lvlText w:val="%1."/>
      <w:lvlJc w:val="left"/>
      <w:pPr>
        <w:ind w:left="6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96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8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4" w:hanging="2160"/>
      </w:pPr>
      <w:rPr>
        <w:rFonts w:eastAsia="Times New Roman" w:hint="default"/>
      </w:rPr>
    </w:lvl>
  </w:abstractNum>
  <w:num w:numId="1" w16cid:durableId="198515996">
    <w:abstractNumId w:val="2"/>
  </w:num>
  <w:num w:numId="2" w16cid:durableId="1127510884">
    <w:abstractNumId w:val="4"/>
  </w:num>
  <w:num w:numId="3" w16cid:durableId="1503622832">
    <w:abstractNumId w:val="5"/>
  </w:num>
  <w:num w:numId="4" w16cid:durableId="1749116054">
    <w:abstractNumId w:val="3"/>
  </w:num>
  <w:num w:numId="5" w16cid:durableId="451100578">
    <w:abstractNumId w:val="0"/>
  </w:num>
  <w:num w:numId="6" w16cid:durableId="78056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25"/>
    <w:rsid w:val="00081694"/>
    <w:rsid w:val="000D4C25"/>
    <w:rsid w:val="00666D25"/>
    <w:rsid w:val="0084194C"/>
    <w:rsid w:val="00E546A6"/>
    <w:rsid w:val="00E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40C0C"/>
  <w15:docId w15:val="{CF43178D-5C15-48C0-B8D3-9B07F960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80195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195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8019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3131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Karolina Szulgo</cp:lastModifiedBy>
  <cp:revision>3</cp:revision>
  <dcterms:created xsi:type="dcterms:W3CDTF">2026-01-14T09:13:00Z</dcterms:created>
  <dcterms:modified xsi:type="dcterms:W3CDTF">2026-01-14T09:33:00Z</dcterms:modified>
</cp:coreProperties>
</file>