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FCAF" w14:textId="25E6654F" w:rsidR="007F531C" w:rsidRPr="007F531C" w:rsidRDefault="007F531C" w:rsidP="007F531C">
      <w:pPr>
        <w:pStyle w:val="intro"/>
        <w:shd w:val="clear" w:color="auto" w:fill="FFFFFF"/>
        <w:spacing w:before="0" w:beforeAutospacing="0" w:after="240" w:afterAutospacing="0"/>
        <w:textAlignment w:val="baseline"/>
        <w:rPr>
          <w:b/>
          <w:bCs/>
          <w:color w:val="1B1B1B"/>
        </w:rPr>
      </w:pPr>
      <w:r w:rsidRPr="007F531C">
        <w:rPr>
          <w:b/>
          <w:bCs/>
          <w:color w:val="1B1B1B"/>
        </w:rPr>
        <w:t>Korpus Wsparcia Seniorów na rok 2025</w:t>
      </w:r>
    </w:p>
    <w:p w14:paraId="74390C3C" w14:textId="161D1F8A" w:rsidR="007F531C" w:rsidRPr="007F531C" w:rsidRDefault="007F531C" w:rsidP="007F531C">
      <w:pPr>
        <w:pStyle w:val="intro"/>
        <w:shd w:val="clear" w:color="auto" w:fill="FFFFFF"/>
        <w:spacing w:before="0" w:beforeAutospacing="0" w:after="240" w:afterAutospacing="0" w:line="360" w:lineRule="auto"/>
        <w:jc w:val="both"/>
        <w:textAlignment w:val="baseline"/>
        <w:rPr>
          <w:b/>
          <w:bCs/>
          <w:color w:val="1B1B1B"/>
        </w:rPr>
      </w:pPr>
      <w:r w:rsidRPr="007F531C">
        <w:rPr>
          <w:b/>
          <w:bCs/>
          <w:color w:val="1B1B1B"/>
        </w:rPr>
        <w:t xml:space="preserve">9 stycznia br. Minister Rodziny, Pracy i Polityki Społecznej, Pani Agnieszka </w:t>
      </w:r>
      <w:proofErr w:type="spellStart"/>
      <w:r w:rsidRPr="007F531C">
        <w:rPr>
          <w:b/>
          <w:bCs/>
          <w:color w:val="1B1B1B"/>
        </w:rPr>
        <w:t>Dziemianowicz</w:t>
      </w:r>
      <w:proofErr w:type="spellEnd"/>
      <w:r w:rsidRPr="007F531C">
        <w:rPr>
          <w:b/>
          <w:bCs/>
          <w:color w:val="1B1B1B"/>
        </w:rPr>
        <w:t xml:space="preserve"> - Bąk, podpisała program „Korpus Wsparcia Seniorów” na rok 2025. W</w:t>
      </w:r>
      <w:r>
        <w:rPr>
          <w:b/>
          <w:bCs/>
          <w:color w:val="1B1B1B"/>
        </w:rPr>
        <w:t> </w:t>
      </w:r>
      <w:r w:rsidRPr="007F531C">
        <w:rPr>
          <w:b/>
          <w:bCs/>
          <w:color w:val="1B1B1B"/>
        </w:rPr>
        <w:t>bieżącym roku na realizację programu przeznaczono ogółem kwotę 65 mln zł.</w:t>
      </w:r>
    </w:p>
    <w:p w14:paraId="4B97555A" w14:textId="77777777"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color w:val="1B1B1B"/>
        </w:rPr>
        <w:t>Program będzie realizowany w terminie od dnia </w:t>
      </w:r>
      <w:r w:rsidRPr="007F531C">
        <w:rPr>
          <w:rStyle w:val="Pogrubienie"/>
          <w:rFonts w:eastAsiaTheme="majorEastAsia"/>
          <w:color w:val="1B1B1B"/>
        </w:rPr>
        <w:t>1 stycznia 2025 r. do dnia 31 grudnia 2025 r.</w:t>
      </w:r>
      <w:r w:rsidRPr="007F531C">
        <w:rPr>
          <w:color w:val="1B1B1B"/>
        </w:rPr>
        <w:t> i jest adresowany do wszystkich gmin w Polsce, zarówno miejskich, wiejskich, jak i miejsko – wiejskich.</w:t>
      </w:r>
    </w:p>
    <w:p w14:paraId="07B24BC5" w14:textId="77777777"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color w:val="1B1B1B"/>
        </w:rPr>
        <w:t>Gminy, które przystąpią do realizacji programu uzyskają finansowe wsparcie do 80% przewidywanych kosztów całkowitych realizacji zadania.</w:t>
      </w:r>
    </w:p>
    <w:p w14:paraId="5E117186" w14:textId="1E03DF02"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color w:val="1B1B1B"/>
        </w:rPr>
        <w:t>Adresatami pośrednimi programu będą osoby w wieku 60 lat i więcej, mający problemy z</w:t>
      </w:r>
      <w:r>
        <w:rPr>
          <w:color w:val="1B1B1B"/>
        </w:rPr>
        <w:t> </w:t>
      </w:r>
      <w:r w:rsidRPr="007F531C">
        <w:rPr>
          <w:color w:val="1B1B1B"/>
        </w:rPr>
        <w:t>samodzielnym funkcjonowaniem ze względu na stan zdrowia, prowadzący samodzielne gospodarstwa domowe lub mieszkający z osobami bliskimi, które nie są w stanie zapewnić im wystarczającego wsparcia.</w:t>
      </w:r>
    </w:p>
    <w:p w14:paraId="5E3CFAEB" w14:textId="77777777"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color w:val="1B1B1B"/>
        </w:rPr>
        <w:t>Program zakłada realizację dwóch Modułów:</w:t>
      </w:r>
    </w:p>
    <w:p w14:paraId="6472F005" w14:textId="77777777"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rStyle w:val="Pogrubienie"/>
          <w:rFonts w:eastAsiaTheme="majorEastAsia"/>
          <w:color w:val="1B1B1B"/>
        </w:rPr>
        <w:t>Moduł I</w:t>
      </w:r>
      <w:r w:rsidRPr="007F531C">
        <w:rPr>
          <w:color w:val="1B1B1B"/>
        </w:rPr>
        <w:t>, którego celem jest wsparcie finansowe gmin w zakresie organizowania usług opiekuńczych świadczonych w formie usług sąsiedzkich dla osób  w wieku 60 lat i więcej.</w:t>
      </w:r>
    </w:p>
    <w:p w14:paraId="286EEA2D" w14:textId="7622F694"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color w:val="1B1B1B"/>
        </w:rPr>
        <w:t>Usługi sąsiedzkie świadczone w ramach Modułu I obejmą swoim zakresem pomoc w</w:t>
      </w:r>
      <w:r>
        <w:rPr>
          <w:color w:val="1B1B1B"/>
        </w:rPr>
        <w:t> </w:t>
      </w:r>
      <w:r w:rsidRPr="007F531C">
        <w:rPr>
          <w:color w:val="1B1B1B"/>
        </w:rPr>
        <w:t>zaspokajaniu podstawowych potrzeb życiowych, podstawową opiekę higieniczno-pielęgnacyjną, przez którą należy rozumieć formy wsparcia niewymagające specjalistycznej wiedzy i kompetencji, oraz, w miarę potrzeb i możliwości, zapewnienie kontaktów z</w:t>
      </w:r>
      <w:r>
        <w:rPr>
          <w:color w:val="1B1B1B"/>
        </w:rPr>
        <w:t> </w:t>
      </w:r>
      <w:r w:rsidRPr="007F531C">
        <w:rPr>
          <w:color w:val="1B1B1B"/>
        </w:rPr>
        <w:t>otoczeniem.</w:t>
      </w:r>
    </w:p>
    <w:p w14:paraId="421A8B93" w14:textId="77777777" w:rsidR="007F531C" w:rsidRPr="007F531C" w:rsidRDefault="007F531C" w:rsidP="007F531C">
      <w:pPr>
        <w:pStyle w:val="NormalnyWeb"/>
        <w:shd w:val="clear" w:color="auto" w:fill="FFFFFF"/>
        <w:spacing w:before="0" w:beforeAutospacing="0" w:after="0" w:afterAutospacing="0" w:line="360" w:lineRule="auto"/>
        <w:jc w:val="both"/>
        <w:textAlignment w:val="baseline"/>
        <w:rPr>
          <w:color w:val="1B1B1B"/>
        </w:rPr>
      </w:pPr>
      <w:r w:rsidRPr="007F531C">
        <w:rPr>
          <w:rStyle w:val="Pogrubienie"/>
          <w:rFonts w:eastAsiaTheme="majorEastAsia"/>
          <w:color w:val="1B1B1B"/>
        </w:rPr>
        <w:t>Moduł II, </w:t>
      </w:r>
      <w:r w:rsidRPr="007F531C">
        <w:rPr>
          <w:color w:val="1B1B1B"/>
        </w:rPr>
        <w:t>którego celem jest Wsparcie finansowe gmin w realizacji usług opiekuńczych poprzez dostęp do tzw. „opieki na odległość” mającej na celu poprawę bezpieczeństwa oraz możliwości samodzielnego funkcjonowania w miejscu zamieszkania osób starszych.</w:t>
      </w:r>
    </w:p>
    <w:p w14:paraId="0F696E55" w14:textId="77777777" w:rsidR="007F531C" w:rsidRDefault="007F531C" w:rsidP="007F531C">
      <w:pPr>
        <w:pStyle w:val="NormalnyWeb"/>
        <w:shd w:val="clear" w:color="auto" w:fill="FFFFFF"/>
        <w:spacing w:before="0" w:beforeAutospacing="0" w:after="240" w:afterAutospacing="0" w:line="360" w:lineRule="auto"/>
        <w:jc w:val="both"/>
        <w:textAlignment w:val="baseline"/>
        <w:rPr>
          <w:color w:val="1B1B1B"/>
        </w:rPr>
      </w:pPr>
      <w:r w:rsidRPr="007F531C">
        <w:rPr>
          <w:color w:val="1B1B1B"/>
        </w:rPr>
        <w:t>W ramach Modułu II gminy będą mogły uzyskać wsparcie finansowe na dofinansowanie zakupu, jak również kosztów użytkowania tzw. opasek lub innych urządzeń bezpieczeństwa oraz na dofinansowanie kosztów użytkowania opasek lub innych urządzeń bezpieczeństwa zakupionych w ramach programu Korpus Wsparcia Seniorów w latach 2022 – 2024.</w:t>
      </w:r>
    </w:p>
    <w:p w14:paraId="2EE40307" w14:textId="4986238E" w:rsidR="007F531C" w:rsidRPr="007F531C" w:rsidRDefault="007F531C" w:rsidP="007F531C">
      <w:pPr>
        <w:pStyle w:val="NormalnyWeb"/>
        <w:shd w:val="clear" w:color="auto" w:fill="FFFFFF"/>
        <w:spacing w:before="0" w:beforeAutospacing="0" w:after="240" w:afterAutospacing="0" w:line="360" w:lineRule="auto"/>
        <w:jc w:val="both"/>
        <w:textAlignment w:val="baseline"/>
        <w:rPr>
          <w:b/>
          <w:bCs/>
          <w:color w:val="1B1B1B"/>
        </w:rPr>
      </w:pPr>
      <w:r>
        <w:rPr>
          <w:color w:val="1B1B1B"/>
        </w:rPr>
        <w:t xml:space="preserve">Gminy ubiegające się o dofinansowanie w ramach ww. programu zobowiązane są do złożenia zapotrzebowania na środki finansowe w terminie </w:t>
      </w:r>
      <w:r w:rsidRPr="007F531C">
        <w:rPr>
          <w:b/>
          <w:bCs/>
          <w:color w:val="1B1B1B"/>
        </w:rPr>
        <w:t>do dnia 7 lutego 2025 r. za pośrednictwem Centralnej Aplikacji Statystycznej.</w:t>
      </w:r>
    </w:p>
    <w:p w14:paraId="12E7608C" w14:textId="07240F99" w:rsidR="007F531C" w:rsidRPr="007F531C" w:rsidRDefault="007F531C" w:rsidP="007F531C">
      <w:pPr>
        <w:spacing w:line="360" w:lineRule="auto"/>
        <w:jc w:val="both"/>
        <w:rPr>
          <w:rFonts w:ascii="Times New Roman" w:hAnsi="Times New Roman" w:cs="Times New Roman"/>
          <w:sz w:val="24"/>
          <w:szCs w:val="24"/>
        </w:rPr>
      </w:pPr>
      <w:r w:rsidRPr="007F531C">
        <w:rPr>
          <w:rFonts w:ascii="Times New Roman" w:hAnsi="Times New Roman" w:cs="Times New Roman"/>
          <w:sz w:val="24"/>
          <w:szCs w:val="24"/>
        </w:rPr>
        <w:lastRenderedPageBreak/>
        <w:t>Szczegółowe wytyczne/wskazówki dostępne są na stronie internetowej Ministerstwa Rodziny, Pracy i Polityki Społecznej</w:t>
      </w:r>
      <w:r>
        <w:rPr>
          <w:rFonts w:ascii="Times New Roman" w:hAnsi="Times New Roman" w:cs="Times New Roman"/>
          <w:sz w:val="24"/>
          <w:szCs w:val="24"/>
        </w:rPr>
        <w:t>, pod adresem:</w:t>
      </w:r>
    </w:p>
    <w:p w14:paraId="516F99F3" w14:textId="77777777" w:rsidR="007F531C" w:rsidRPr="007F531C" w:rsidRDefault="007F531C" w:rsidP="007F531C">
      <w:pPr>
        <w:spacing w:line="360" w:lineRule="auto"/>
        <w:jc w:val="both"/>
        <w:rPr>
          <w:rFonts w:ascii="Times New Roman" w:hAnsi="Times New Roman" w:cs="Times New Roman"/>
        </w:rPr>
      </w:pPr>
      <w:r w:rsidRPr="007F531C">
        <w:rPr>
          <w:rFonts w:ascii="Times New Roman" w:hAnsi="Times New Roman" w:cs="Times New Roman"/>
        </w:rPr>
        <w:t xml:space="preserve">Link: </w:t>
      </w:r>
      <w:hyperlink r:id="rId4" w:history="1">
        <w:r w:rsidRPr="007F531C">
          <w:rPr>
            <w:rStyle w:val="Hipercze"/>
            <w:rFonts w:ascii="Times New Roman" w:hAnsi="Times New Roman" w:cs="Times New Roman"/>
          </w:rPr>
          <w:t>https://www.gov.pl/web/rodzina/program-korpus-wsparcia-seniorow-na-2025-rok</w:t>
        </w:r>
      </w:hyperlink>
    </w:p>
    <w:p w14:paraId="54482519" w14:textId="42444D36" w:rsidR="00702B4D" w:rsidRDefault="00702B4D"/>
    <w:p w14:paraId="1B28B3D4" w14:textId="77777777" w:rsidR="007F531C" w:rsidRDefault="007F531C" w:rsidP="007F531C">
      <w:pPr>
        <w:spacing w:after="0" w:line="240" w:lineRule="auto"/>
        <w:ind w:left="4956"/>
        <w:jc w:val="both"/>
        <w:rPr>
          <w:rFonts w:ascii="Times New Roman" w:hAnsi="Times New Roman" w:cs="Times New Roman"/>
          <w:b/>
          <w:color w:val="000000" w:themeColor="text1"/>
          <w:sz w:val="24"/>
          <w:szCs w:val="24"/>
          <w:shd w:val="clear" w:color="auto" w:fill="FFFFFF"/>
        </w:rPr>
      </w:pPr>
      <w:r>
        <w:tab/>
      </w:r>
      <w:r>
        <w:tab/>
      </w:r>
      <w:r>
        <w:tab/>
      </w:r>
      <w:r>
        <w:tab/>
      </w:r>
      <w:r>
        <w:tab/>
      </w:r>
      <w:r>
        <w:tab/>
      </w:r>
      <w:r>
        <w:tab/>
      </w:r>
      <w:r>
        <w:tab/>
      </w:r>
      <w:r>
        <w:tab/>
      </w:r>
      <w:r>
        <w:rPr>
          <w:rFonts w:ascii="Times New Roman" w:hAnsi="Times New Roman" w:cs="Times New Roman"/>
          <w:b/>
          <w:color w:val="000000" w:themeColor="text1"/>
          <w:sz w:val="24"/>
          <w:szCs w:val="24"/>
          <w:shd w:val="clear" w:color="auto" w:fill="FFFFFF"/>
        </w:rPr>
        <w:t xml:space="preserve">                   </w:t>
      </w:r>
    </w:p>
    <w:p w14:paraId="6B1A7417" w14:textId="127B5FA0" w:rsidR="007F531C" w:rsidRPr="00497775" w:rsidRDefault="007F531C" w:rsidP="007F531C">
      <w:pPr>
        <w:spacing w:after="0" w:line="240" w:lineRule="auto"/>
        <w:ind w:left="4956"/>
        <w:jc w:val="both"/>
        <w:rPr>
          <w:rFonts w:ascii="Times New Roman" w:hAnsi="Times New Roman" w:cs="Times New Roman"/>
          <w:b/>
          <w:color w:val="000000" w:themeColor="text1"/>
          <w:spacing w:val="-10"/>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71014">
        <w:rPr>
          <w:rFonts w:ascii="Times New Roman" w:hAnsi="Times New Roman" w:cs="Times New Roman"/>
          <w:b/>
          <w:color w:val="000000" w:themeColor="text1"/>
          <w:sz w:val="24"/>
          <w:szCs w:val="24"/>
          <w:shd w:val="clear" w:color="auto" w:fill="FFFFFF"/>
        </w:rPr>
        <w:t xml:space="preserve"> </w:t>
      </w:r>
      <w:r w:rsidRPr="00497775">
        <w:rPr>
          <w:rFonts w:ascii="Times New Roman" w:hAnsi="Times New Roman" w:cs="Times New Roman"/>
          <w:b/>
          <w:color w:val="000000" w:themeColor="text1"/>
          <w:spacing w:val="-10"/>
          <w:sz w:val="24"/>
          <w:szCs w:val="24"/>
          <w:shd w:val="clear" w:color="auto" w:fill="FFFFFF"/>
        </w:rPr>
        <w:t xml:space="preserve">DYREKTOR </w:t>
      </w:r>
    </w:p>
    <w:p w14:paraId="70E47BA8" w14:textId="77777777" w:rsidR="007F531C" w:rsidRDefault="007F531C" w:rsidP="007F531C">
      <w:pPr>
        <w:spacing w:after="0" w:line="240" w:lineRule="auto"/>
        <w:ind w:left="4248"/>
        <w:jc w:val="both"/>
        <w:rPr>
          <w:rFonts w:ascii="Times New Roman" w:hAnsi="Times New Roman" w:cs="Times New Roman"/>
          <w:b/>
          <w:color w:val="000000" w:themeColor="text1"/>
          <w:spacing w:val="-10"/>
          <w:sz w:val="24"/>
          <w:szCs w:val="24"/>
          <w:shd w:val="clear" w:color="auto" w:fill="FFFFFF"/>
        </w:rPr>
      </w:pPr>
      <w:r w:rsidRPr="00497775">
        <w:rPr>
          <w:rFonts w:ascii="Times New Roman" w:hAnsi="Times New Roman" w:cs="Times New Roman"/>
          <w:b/>
          <w:color w:val="000000" w:themeColor="text1"/>
          <w:spacing w:val="-10"/>
          <w:sz w:val="24"/>
          <w:szCs w:val="24"/>
          <w:shd w:val="clear" w:color="auto" w:fill="FFFFFF"/>
        </w:rPr>
        <w:t>WYDZIAŁU</w:t>
      </w:r>
      <w:r>
        <w:rPr>
          <w:rFonts w:ascii="Times New Roman" w:hAnsi="Times New Roman" w:cs="Times New Roman"/>
          <w:b/>
          <w:color w:val="000000" w:themeColor="text1"/>
          <w:spacing w:val="-10"/>
          <w:sz w:val="24"/>
          <w:szCs w:val="24"/>
          <w:shd w:val="clear" w:color="auto" w:fill="FFFFFF"/>
        </w:rPr>
        <w:t xml:space="preserve"> PROGRAMÓW RZĄDOWYCH</w:t>
      </w:r>
    </w:p>
    <w:p w14:paraId="0868CC0E" w14:textId="77777777" w:rsidR="007F531C" w:rsidRDefault="007F531C" w:rsidP="007F531C">
      <w:pPr>
        <w:spacing w:after="0" w:line="240" w:lineRule="auto"/>
        <w:ind w:left="424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pacing w:val="-10"/>
          <w:sz w:val="24"/>
          <w:szCs w:val="24"/>
          <w:shd w:val="clear" w:color="auto" w:fill="FFFFFF"/>
        </w:rPr>
        <w:t xml:space="preserve">          I FUNDUSZY EUROPEJSKICH</w:t>
      </w:r>
      <w:r w:rsidRPr="00497775">
        <w:rPr>
          <w:rFonts w:ascii="Times New Roman" w:hAnsi="Times New Roman" w:cs="Times New Roman"/>
          <w:b/>
          <w:color w:val="000000" w:themeColor="text1"/>
          <w:spacing w:val="-10"/>
          <w:sz w:val="24"/>
          <w:szCs w:val="24"/>
          <w:shd w:val="clear" w:color="auto" w:fill="FFFFFF"/>
        </w:rPr>
        <w:tab/>
      </w:r>
    </w:p>
    <w:p w14:paraId="3768D77B" w14:textId="29800A7D" w:rsidR="007F531C" w:rsidRPr="00E550DA" w:rsidRDefault="007F531C" w:rsidP="007F531C">
      <w:pPr>
        <w:spacing w:after="0" w:line="240" w:lineRule="auto"/>
        <w:ind w:left="4248"/>
        <w:jc w:val="both"/>
        <w:rPr>
          <w:rFonts w:ascii="Times New Roman" w:hAnsi="Times New Roman" w:cs="Times New Roman"/>
          <w:b/>
          <w:sz w:val="24"/>
          <w:szCs w:val="24"/>
          <w:shd w:val="clear" w:color="auto" w:fill="FFFFFF"/>
        </w:rPr>
      </w:pPr>
      <w:r w:rsidRPr="00C149A8">
        <w:rPr>
          <w:rFonts w:ascii="Times New Roman" w:hAnsi="Times New Roman" w:cs="Times New Roman"/>
          <w:b/>
          <w:color w:val="000000" w:themeColor="text1"/>
          <w:sz w:val="24"/>
          <w:szCs w:val="24"/>
          <w:shd w:val="clear" w:color="auto" w:fill="FFFFFF"/>
        </w:rPr>
        <w:tab/>
      </w:r>
      <w:r w:rsidRPr="00C149A8">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 xml:space="preserve">       </w:t>
      </w:r>
      <w:r w:rsidR="00437602">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 xml:space="preserve">  </w:t>
      </w:r>
    </w:p>
    <w:p w14:paraId="4C1F4B78" w14:textId="476FA94D" w:rsidR="007F531C" w:rsidRPr="00C149A8" w:rsidRDefault="007F531C" w:rsidP="007F531C">
      <w:pPr>
        <w:spacing w:after="0" w:line="240" w:lineRule="auto"/>
        <w:ind w:left="424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437602">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 xml:space="preserve">Anna Szydełko </w:t>
      </w:r>
    </w:p>
    <w:p w14:paraId="679F26DD" w14:textId="77777777" w:rsidR="007F531C" w:rsidRPr="00C149A8" w:rsidRDefault="007F531C" w:rsidP="007F531C">
      <w:pPr>
        <w:spacing w:after="0" w:line="240" w:lineRule="auto"/>
        <w:ind w:left="3540" w:firstLine="70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p>
    <w:p w14:paraId="1E5DF031" w14:textId="5FA2D82E" w:rsidR="007F531C" w:rsidRDefault="007F531C"/>
    <w:p w14:paraId="25A40DE8" w14:textId="77777777" w:rsidR="00271014" w:rsidRDefault="00271014"/>
    <w:p w14:paraId="68446776" w14:textId="77777777" w:rsidR="00271014" w:rsidRDefault="00271014"/>
    <w:p w14:paraId="34C79193" w14:textId="77777777" w:rsidR="00271014" w:rsidRDefault="00271014"/>
    <w:sectPr w:rsidR="00271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E0"/>
    <w:rsid w:val="00271014"/>
    <w:rsid w:val="002C37E0"/>
    <w:rsid w:val="00437602"/>
    <w:rsid w:val="00702B4D"/>
    <w:rsid w:val="007F531C"/>
    <w:rsid w:val="00892FE1"/>
    <w:rsid w:val="009E36DC"/>
    <w:rsid w:val="00C77FBF"/>
    <w:rsid w:val="00DD064F"/>
    <w:rsid w:val="00F30A4F"/>
    <w:rsid w:val="00FD1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6E13"/>
  <w15:chartTrackingRefBased/>
  <w15:docId w15:val="{10824EB1-E474-4C27-B7D4-18955DD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3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3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37E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37E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37E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37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37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37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37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37E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37E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37E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37E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37E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37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37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37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37E0"/>
    <w:rPr>
      <w:rFonts w:eastAsiaTheme="majorEastAsia" w:cstheme="majorBidi"/>
      <w:color w:val="272727" w:themeColor="text1" w:themeTint="D8"/>
    </w:rPr>
  </w:style>
  <w:style w:type="paragraph" w:styleId="Tytu">
    <w:name w:val="Title"/>
    <w:basedOn w:val="Normalny"/>
    <w:next w:val="Normalny"/>
    <w:link w:val="TytuZnak"/>
    <w:uiPriority w:val="10"/>
    <w:qFormat/>
    <w:rsid w:val="002C3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37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37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37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37E0"/>
    <w:pPr>
      <w:spacing w:before="160"/>
      <w:jc w:val="center"/>
    </w:pPr>
    <w:rPr>
      <w:i/>
      <w:iCs/>
      <w:color w:val="404040" w:themeColor="text1" w:themeTint="BF"/>
    </w:rPr>
  </w:style>
  <w:style w:type="character" w:customStyle="1" w:styleId="CytatZnak">
    <w:name w:val="Cytat Znak"/>
    <w:basedOn w:val="Domylnaczcionkaakapitu"/>
    <w:link w:val="Cytat"/>
    <w:uiPriority w:val="29"/>
    <w:rsid w:val="002C37E0"/>
    <w:rPr>
      <w:i/>
      <w:iCs/>
      <w:color w:val="404040" w:themeColor="text1" w:themeTint="BF"/>
    </w:rPr>
  </w:style>
  <w:style w:type="paragraph" w:styleId="Akapitzlist">
    <w:name w:val="List Paragraph"/>
    <w:basedOn w:val="Normalny"/>
    <w:uiPriority w:val="34"/>
    <w:qFormat/>
    <w:rsid w:val="002C37E0"/>
    <w:pPr>
      <w:ind w:left="720"/>
      <w:contextualSpacing/>
    </w:pPr>
  </w:style>
  <w:style w:type="character" w:styleId="Wyrnienieintensywne">
    <w:name w:val="Intense Emphasis"/>
    <w:basedOn w:val="Domylnaczcionkaakapitu"/>
    <w:uiPriority w:val="21"/>
    <w:qFormat/>
    <w:rsid w:val="002C37E0"/>
    <w:rPr>
      <w:i/>
      <w:iCs/>
      <w:color w:val="2F5496" w:themeColor="accent1" w:themeShade="BF"/>
    </w:rPr>
  </w:style>
  <w:style w:type="paragraph" w:styleId="Cytatintensywny">
    <w:name w:val="Intense Quote"/>
    <w:basedOn w:val="Normalny"/>
    <w:next w:val="Normalny"/>
    <w:link w:val="CytatintensywnyZnak"/>
    <w:uiPriority w:val="30"/>
    <w:qFormat/>
    <w:rsid w:val="002C3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37E0"/>
    <w:rPr>
      <w:i/>
      <w:iCs/>
      <w:color w:val="2F5496" w:themeColor="accent1" w:themeShade="BF"/>
    </w:rPr>
  </w:style>
  <w:style w:type="character" w:styleId="Odwoanieintensywne">
    <w:name w:val="Intense Reference"/>
    <w:basedOn w:val="Domylnaczcionkaakapitu"/>
    <w:uiPriority w:val="32"/>
    <w:qFormat/>
    <w:rsid w:val="002C37E0"/>
    <w:rPr>
      <w:b/>
      <w:bCs/>
      <w:smallCaps/>
      <w:color w:val="2F5496" w:themeColor="accent1" w:themeShade="BF"/>
      <w:spacing w:val="5"/>
    </w:rPr>
  </w:style>
  <w:style w:type="paragraph" w:customStyle="1" w:styleId="intro">
    <w:name w:val="intro"/>
    <w:basedOn w:val="Normalny"/>
    <w:rsid w:val="007F531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7F531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7F531C"/>
    <w:rPr>
      <w:b/>
      <w:bCs/>
    </w:rPr>
  </w:style>
  <w:style w:type="character" w:styleId="Hipercze">
    <w:name w:val="Hyperlink"/>
    <w:basedOn w:val="Domylnaczcionkaakapitu"/>
    <w:uiPriority w:val="99"/>
    <w:unhideWhenUsed/>
    <w:rsid w:val="007F5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38936">
      <w:bodyDiv w:val="1"/>
      <w:marLeft w:val="0"/>
      <w:marRight w:val="0"/>
      <w:marTop w:val="0"/>
      <w:marBottom w:val="0"/>
      <w:divBdr>
        <w:top w:val="none" w:sz="0" w:space="0" w:color="auto"/>
        <w:left w:val="none" w:sz="0" w:space="0" w:color="auto"/>
        <w:bottom w:val="none" w:sz="0" w:space="0" w:color="auto"/>
        <w:right w:val="none" w:sz="0" w:space="0" w:color="auto"/>
      </w:divBdr>
      <w:divsChild>
        <w:div w:id="1131243499">
          <w:marLeft w:val="0"/>
          <w:marRight w:val="0"/>
          <w:marTop w:val="0"/>
          <w:marBottom w:val="0"/>
          <w:divBdr>
            <w:top w:val="none" w:sz="0" w:space="0" w:color="auto"/>
            <w:left w:val="none" w:sz="0" w:space="0" w:color="auto"/>
            <w:bottom w:val="none" w:sz="0" w:space="0" w:color="auto"/>
            <w:right w:val="none" w:sz="0" w:space="0" w:color="auto"/>
          </w:divBdr>
          <w:divsChild>
            <w:div w:id="13085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pl/web/rodzina/program-korpus-wsparcia-seniorow-na-2025-ro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2325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Zakrzewska</dc:creator>
  <cp:keywords/>
  <dc:description/>
  <cp:lastModifiedBy>Katarzyna Nalepa</cp:lastModifiedBy>
  <cp:revision>2</cp:revision>
  <cp:lastPrinted>2025-01-30T12:31:00Z</cp:lastPrinted>
  <dcterms:created xsi:type="dcterms:W3CDTF">2025-01-30T13:40:00Z</dcterms:created>
  <dcterms:modified xsi:type="dcterms:W3CDTF">2025-01-30T13:40:00Z</dcterms:modified>
</cp:coreProperties>
</file>