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0B99" w14:textId="0653D643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    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września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2023 r.</w:t>
      </w:r>
    </w:p>
    <w:p w14:paraId="301599FD" w14:textId="77777777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C15B99" w14:textId="2DD75BF0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34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.AJ.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</w:p>
    <w:p w14:paraId="5FE3CA81" w14:textId="77777777" w:rsidR="00C21875" w:rsidRPr="001E2103" w:rsidRDefault="00C21875" w:rsidP="00BC7E30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BC7E30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BC7E30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77C232A1" w:rsidR="00C21875" w:rsidRPr="001E2103" w:rsidRDefault="00C21875" w:rsidP="00BC7E30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t. j. Dz. U. z 2023 r., poz. 775 ze zm.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 związku z 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(t. j. Dz. U. z 2023 r., poz. 1094 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Start w:id="1" w:name="_Hlk95390889"/>
      <w:bookmarkEnd w:id="0"/>
      <w:r w:rsidRPr="00C21875">
        <w:rPr>
          <w:rFonts w:ascii="Arial" w:eastAsia="Calibri" w:hAnsi="Arial" w:cs="Arial"/>
          <w:kern w:val="0"/>
          <w14:ligatures w14:val="none"/>
        </w:rPr>
        <w:t xml:space="preserve">PGE Baltica Sp. z o. o., 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reprezentowanego przez pełnomocnika: p. Mieczysława Korzeńskiego (WUPROHYD Sp. z o. o. Biuro Projektów), znak WH-094/TH/05/2023, z dnia 18.05.2023 r.</w:t>
      </w:r>
      <w:bookmarkEnd w:id="1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o wydanie decyzji o środowiskowych uwarunkowaniach dla przedsięwzięcia pod nazwą: </w:t>
      </w:r>
    </w:p>
    <w:p w14:paraId="1A360D47" w14:textId="77777777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310807" w14:textId="63B8F017" w:rsidR="00C21875" w:rsidRPr="00C21875" w:rsidRDefault="00C21875" w:rsidP="00BC7E30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45523445"/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Pr="00C2187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Baza operacyjno - serwisowa w Porcie Ustka</w:t>
      </w:r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bookmarkEnd w:id="2"/>
      <w:r w:rsidRPr="00C21875">
        <w:rPr>
          <w:rFonts w:ascii="Arial" w:eastAsia="Times New Roman" w:hAnsi="Arial" w:cs="Arial"/>
          <w:kern w:val="0"/>
          <w:lang w:eastAsia="pl-PL"/>
          <w14:ligatures w14:val="none"/>
        </w:rPr>
        <w:t xml:space="preserve">, realizowanego na działkach o numerach ewidencyjnych: </w:t>
      </w:r>
      <w:r w:rsidRPr="00C21875">
        <w:rPr>
          <w:rFonts w:ascii="Arial" w:hAnsi="Arial" w:cs="Arial"/>
        </w:rPr>
        <w:t>1560/30, 1560/38, 1560/39, 1560/40, 1560/41, 1560/42 1560/48, 1560/49, 1560/50, 1560/51, 1560/52, 1560/53, 1560/54, 1560/55, 1560/56, 1560/57, 1560/58, 1560/60, 1560/81 (</w:t>
      </w:r>
      <w:proofErr w:type="spellStart"/>
      <w:r w:rsidRPr="00C21875">
        <w:rPr>
          <w:rFonts w:ascii="Arial" w:hAnsi="Arial" w:cs="Arial"/>
        </w:rPr>
        <w:t>Wm</w:t>
      </w:r>
      <w:proofErr w:type="spellEnd"/>
      <w:r w:rsidRPr="00C21875">
        <w:rPr>
          <w:rFonts w:ascii="Arial" w:hAnsi="Arial" w:cs="Arial"/>
        </w:rPr>
        <w:t>), 1560/114, 1560/125, 1560/126 obręb ewidencyjny 221201_1.0001 Ustka, powiat słupski, województwo pomorskie</w:t>
      </w:r>
      <w:r>
        <w:rPr>
          <w:rFonts w:ascii="Arial" w:hAnsi="Arial" w:cs="Arial"/>
        </w:rPr>
        <w:t>;</w:t>
      </w:r>
    </w:p>
    <w:p w14:paraId="650DAE3C" w14:textId="77777777" w:rsidR="00C21875" w:rsidRPr="00C21875" w:rsidRDefault="00C21875" w:rsidP="00BC7E30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E88B294" w14:textId="44B44D68" w:rsidR="00C21875" w:rsidRPr="00C919BA" w:rsidRDefault="00C21875" w:rsidP="00BC7E3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>Dyrektor Urzędu Morskiego w Gdyni w piśmie znak INZ.</w:t>
      </w:r>
      <w:r w:rsidRPr="00C21875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>9202.86.2023.MG</w:t>
      </w: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 z dnia </w:t>
      </w:r>
      <w:r w:rsidRPr="00C21875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>19.07.2023</w:t>
      </w: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 r., 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zaopiniował przedsięwzięcie objęte wnioskiem jako niewymagające przeprowadzenia oceny oddziaływania na środowisko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7D37AADC" w14:textId="30CC315F" w:rsidR="00C21875" w:rsidRPr="00C919BA" w:rsidRDefault="00C21875" w:rsidP="00BC7E3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Państwowy Graniczny Inspektor Sanitarny w Gdyni w piśmie znak SE.ZNS.80.491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0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.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23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.2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3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z dnia 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28.06.2023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r., 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wyraził opinię iż nie istnieje konieczność przeprowadzenia oceny oddziaływania na środowisko dla przedmiotowego przedsięwzięcia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5BA2A49E" w14:textId="6C9143E8" w:rsidR="00C21875" w:rsidRPr="00C919BA" w:rsidRDefault="00C21875" w:rsidP="00BC7E3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Dyrektor 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Państwowego Gospodarstwa Wodnego Wody Polskie, </w:t>
      </w:r>
      <w:r w:rsidRPr="00C21875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>Regionalny Zarząd Gospodarki Wodnej w Gdańsku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 </w:t>
      </w:r>
      <w:r w:rsidRPr="00C21875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w piśmie znak GD.RZŚ.4901.52.2023.JS z 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dnia </w:t>
      </w:r>
      <w:r w:rsidRPr="00C21875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>01.09.2023 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r. 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wyraził opinię o</w:t>
      </w:r>
      <w:r w:rsidR="006E6B99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braku potrzeby przeprowadzenia </w:t>
      </w:r>
      <w:r w:rsidRPr="00C919BA">
        <w:rPr>
          <w:rFonts w:ascii="Arial" w:eastAsia="Times New Roman" w:hAnsi="Arial" w:cs="Arial"/>
          <w:kern w:val="0"/>
          <w:lang w:eastAsia="pl-PL"/>
          <w14:ligatures w14:val="none"/>
        </w:rPr>
        <w:t>oceny oddziaływania przedsięwzięcia na środowisko</w:t>
      </w:r>
      <w:r w:rsidR="006E6B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E6B99"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dla przedmiotowego przedsięwzięcia</w:t>
      </w:r>
      <w:r w:rsidRPr="00C919B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0F19B84" w14:textId="77777777" w:rsidR="00C21875" w:rsidRPr="001E2103" w:rsidRDefault="00C21875" w:rsidP="00BC7E30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BC7E30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7D707B63" w14:textId="77777777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5F3A83F7" w14:textId="77777777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2E5966F" w14:textId="77777777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77777777" w:rsidR="00C21875" w:rsidRPr="001E2103" w:rsidRDefault="00C21875" w:rsidP="00BC7E3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Upubliczniono w dniach: ……….………………………………….</w:t>
      </w:r>
    </w:p>
    <w:p w14:paraId="6ECB7AAD" w14:textId="77777777" w:rsidR="00C21875" w:rsidRPr="001E2103" w:rsidRDefault="00C21875" w:rsidP="00BC7E30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BC7E30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6EADE3A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B5C5254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CF32B7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BC7E30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BC7E3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23AB047" w14:textId="77777777" w:rsidR="00C21875" w:rsidRPr="001E2103" w:rsidRDefault="00C21875" w:rsidP="00BC7E3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08962B2" w14:textId="77777777" w:rsidR="00C21875" w:rsidRPr="001E2103" w:rsidRDefault="00C21875" w:rsidP="00BC7E3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1E2103" w:rsidRDefault="00C21875" w:rsidP="00BC7E3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Przekazuje się do upublicznienia:</w:t>
      </w:r>
    </w:p>
    <w:p w14:paraId="69174D66" w14:textId="77777777" w:rsidR="00C21875" w:rsidRPr="006E6B99" w:rsidRDefault="00C21875" w:rsidP="00BC7E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E6B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strona internetowa RDOŚ: </w:t>
      </w:r>
      <w:r w:rsidRPr="006E6B9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https://www.gov.pl/web/rdos-gdansk/obwieszczenia-i-zawiadomienia</w:t>
      </w:r>
    </w:p>
    <w:p w14:paraId="3E01293B" w14:textId="77777777" w:rsidR="00C21875" w:rsidRPr="006E6B99" w:rsidRDefault="00C21875" w:rsidP="00BC7E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E6B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tablica ogłoszeń RDOŚ</w:t>
      </w:r>
    </w:p>
    <w:p w14:paraId="4D979AD8" w14:textId="77777777" w:rsidR="00C21875" w:rsidRPr="006E6B99" w:rsidRDefault="00C21875" w:rsidP="00BC7E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E6B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Miasto Ustka</w:t>
      </w:r>
    </w:p>
    <w:p w14:paraId="4C1C2536" w14:textId="25975745" w:rsidR="00C21875" w:rsidRPr="006E6B99" w:rsidRDefault="00C21875" w:rsidP="00BC7E30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6E6B9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Aa, sprawę prowadzi Agnieszka Jędraszek</w:t>
      </w:r>
      <w:r w:rsidR="006E6B99" w:rsidRPr="006E6B9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, tel.: 58 68 36 812</w:t>
      </w:r>
    </w:p>
    <w:p w14:paraId="38B8EB12" w14:textId="77777777" w:rsidR="00C21875" w:rsidRPr="001E2103" w:rsidRDefault="00C21875" w:rsidP="00BC7E30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5B78BFD" w14:textId="77777777" w:rsidR="00D35F97" w:rsidRDefault="00D35F97" w:rsidP="00BC7E30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436092D" w14:textId="53FBC4B2" w:rsidR="00C21875" w:rsidRPr="00B96309" w:rsidRDefault="00C21875" w:rsidP="00C21875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5FC23E65" w14:textId="77777777" w:rsidR="00C21875" w:rsidRDefault="00C21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69B1E9E" w:rsidR="000F38F9" w:rsidRDefault="00C51898" w:rsidP="000736F1">
    <w:pPr>
      <w:pStyle w:val="Nagwek"/>
      <w:ind w:hanging="426"/>
    </w:pPr>
    <w:r>
      <w:rPr>
        <w:noProof/>
      </w:rPr>
      <w:drawing>
        <wp:inline distT="0" distB="0" distL="0" distR="0" wp14:anchorId="11FD38EC" wp14:editId="07F2563D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C7E30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1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Agnieszka Jędraszek</cp:lastModifiedBy>
  <cp:revision>2</cp:revision>
  <cp:lastPrinted>2021-02-09T12:38:00Z</cp:lastPrinted>
  <dcterms:created xsi:type="dcterms:W3CDTF">2023-09-11T12:24:00Z</dcterms:created>
  <dcterms:modified xsi:type="dcterms:W3CDTF">2023-09-11T12:24:00Z</dcterms:modified>
</cp:coreProperties>
</file>