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DA721A" w:rsidRDefault="00B9600D">
      <w:pPr>
        <w:tabs>
          <w:tab w:val="center" w:pos="1418"/>
        </w:tabs>
      </w:pPr>
      <w:r>
        <w:rPr>
          <w:sz w:val="24"/>
          <w:szCs w:val="24"/>
        </w:rPr>
        <w:tab/>
      </w:r>
      <w:bookmarkStart w:id="0" w:name="ezdSprawaZnak"/>
      <w:bookmarkStart w:id="1" w:name="_GoBack"/>
      <w:bookmarkEnd w:id="1"/>
      <w:r>
        <w:rPr>
          <w:sz w:val="24"/>
          <w:szCs w:val="24"/>
        </w:rPr>
        <w:t>GPB-II.7840.109.2022</w:t>
      </w:r>
      <w:bookmarkEnd w:id="0"/>
      <w:r>
        <w:rPr>
          <w:sz w:val="24"/>
          <w:szCs w:val="24"/>
        </w:rPr>
        <w:t>.IK/HJ</w:t>
      </w:r>
    </w:p>
    <w:p w:rsidR="00DA721A" w:rsidRDefault="00DA721A">
      <w:pPr>
        <w:jc w:val="center"/>
        <w:rPr>
          <w:b/>
          <w:sz w:val="22"/>
          <w:szCs w:val="22"/>
        </w:rPr>
      </w:pPr>
    </w:p>
    <w:p w:rsidR="00DA721A" w:rsidRDefault="00B9600D">
      <w:pPr>
        <w:jc w:val="center"/>
      </w:pPr>
      <w:r>
        <w:rPr>
          <w:b/>
          <w:sz w:val="22"/>
          <w:szCs w:val="22"/>
        </w:rPr>
        <w:t xml:space="preserve">OBWIESZCZENIE   WOJEWODY   ŁÓDZKIEGO </w:t>
      </w:r>
    </w:p>
    <w:p w:rsidR="00DA721A" w:rsidRDefault="00B9600D">
      <w:pPr>
        <w:jc w:val="center"/>
      </w:pPr>
      <w:r>
        <w:rPr>
          <w:b/>
          <w:sz w:val="22"/>
          <w:szCs w:val="22"/>
        </w:rPr>
        <w:t xml:space="preserve">o wydaniu decyzji o pozwoleniu na budowę </w:t>
      </w:r>
    </w:p>
    <w:p w:rsidR="00DA721A" w:rsidRDefault="00B9600D">
      <w:pPr>
        <w:jc w:val="center"/>
      </w:pPr>
      <w:r>
        <w:rPr>
          <w:b/>
          <w:sz w:val="22"/>
          <w:szCs w:val="22"/>
        </w:rPr>
        <w:t xml:space="preserve">inwestycji towarzyszącej inwestycjom w zakresie terminalu </w:t>
      </w:r>
    </w:p>
    <w:p w:rsidR="00DA721A" w:rsidRDefault="00DA721A">
      <w:pPr>
        <w:rPr>
          <w:b/>
          <w:sz w:val="22"/>
          <w:szCs w:val="22"/>
        </w:rPr>
      </w:pPr>
    </w:p>
    <w:p w:rsidR="00DA721A" w:rsidRDefault="00B9600D" w:rsidP="00C32217">
      <w:pPr>
        <w:jc w:val="both"/>
      </w:pPr>
      <w:r>
        <w:rPr>
          <w:sz w:val="22"/>
          <w:szCs w:val="22"/>
        </w:rPr>
        <w:tab/>
        <w:t xml:space="preserve">Na podstawie art. 12 ust. 1 w związku z art. 15 ust. 4 ustawy z dnia </w:t>
      </w:r>
      <w:r>
        <w:rPr>
          <w:color w:val="000000"/>
          <w:sz w:val="22"/>
          <w:szCs w:val="22"/>
        </w:rPr>
        <w:t xml:space="preserve">24 </w:t>
      </w:r>
      <w:r>
        <w:rPr>
          <w:sz w:val="22"/>
          <w:szCs w:val="22"/>
        </w:rPr>
        <w:t>kwietnia 2009</w:t>
      </w:r>
      <w:r>
        <w:rPr>
          <w:sz w:val="22"/>
          <w:szCs w:val="22"/>
        </w:rPr>
        <w:t xml:space="preserve"> r. o inwestycjach w zakresie terminalu </w:t>
      </w:r>
      <w:proofErr w:type="spellStart"/>
      <w:r>
        <w:rPr>
          <w:sz w:val="22"/>
          <w:szCs w:val="22"/>
        </w:rPr>
        <w:t>regazyfikacyjnego</w:t>
      </w:r>
      <w:proofErr w:type="spellEnd"/>
      <w:r>
        <w:rPr>
          <w:sz w:val="22"/>
          <w:szCs w:val="22"/>
        </w:rPr>
        <w:t xml:space="preserve"> skroplonego gazu ziemnego w</w:t>
      </w:r>
      <w:r>
        <w:rPr>
          <w:color w:val="000000"/>
          <w:sz w:val="22"/>
          <w:szCs w:val="22"/>
        </w:rPr>
        <w:t xml:space="preserve"> </w:t>
      </w:r>
      <w:r>
        <w:rPr>
          <w:sz w:val="22"/>
          <w:szCs w:val="22"/>
        </w:rPr>
        <w:t xml:space="preserve">Świnoujściu, zwanej dalej </w:t>
      </w:r>
      <w:r>
        <w:rPr>
          <w:i/>
          <w:sz w:val="22"/>
          <w:szCs w:val="22"/>
        </w:rPr>
        <w:t>Ustawą</w:t>
      </w:r>
      <w:r>
        <w:rPr>
          <w:sz w:val="22"/>
          <w:szCs w:val="22"/>
        </w:rPr>
        <w:t>, oraz na podstawie art. 72 ust. 6 w związku z art. 3 ust. 1 pkt 11 ustawy z dnia 3 października 2008 r. o udostępnianiu informacji o środ</w:t>
      </w:r>
      <w:r>
        <w:rPr>
          <w:sz w:val="22"/>
          <w:szCs w:val="22"/>
        </w:rPr>
        <w:t>owisku i jego ochronie, udziale społeczeństwa w ochronie środowiska oraz o ocenach oddziaływania na środowisko i w związku z art. 26 ust. 1 pkt 1 ustawy z dnia 30 marca 2021 r. o zmianie ustawy o udostępnianiu informacji o środowisku i jego ochronie, udzia</w:t>
      </w:r>
      <w:r>
        <w:rPr>
          <w:sz w:val="22"/>
          <w:szCs w:val="22"/>
        </w:rPr>
        <w:t xml:space="preserve">le społeczeństwa w ochronie środowiska oraz o ocenach oddziaływania na środowisko oraz niektórych innych ustaw, oraz art. 49 ustawy z dnia 14 czerwca 1960 r. – Kodeks postępowania administracyjnego, dalej </w:t>
      </w:r>
      <w:r>
        <w:rPr>
          <w:i/>
          <w:iCs/>
          <w:sz w:val="22"/>
          <w:szCs w:val="22"/>
        </w:rPr>
        <w:t>Kpa</w:t>
      </w:r>
      <w:r>
        <w:rPr>
          <w:sz w:val="22"/>
          <w:szCs w:val="22"/>
        </w:rPr>
        <w:t>, zawiadamia się strony postępowania i społeczeń</w:t>
      </w:r>
      <w:r>
        <w:rPr>
          <w:sz w:val="22"/>
          <w:szCs w:val="22"/>
        </w:rPr>
        <w:t>stwo, że 28.07.2022 r. została wydana decyzja Wojewody Łódzkiego Nr 169/22 na rzecz Polskiej Spółki Gazownictwa Sp. z o.o. z siedzibą w Tarnowie, ul. Bandrowskiego 16, 33-100 Tarnów, o pozwoleniu na budowę zamierzenia budowlanego pn. „Budowa gazociągu wyso</w:t>
      </w:r>
      <w:r>
        <w:rPr>
          <w:sz w:val="22"/>
          <w:szCs w:val="22"/>
        </w:rPr>
        <w:t>kiego ciśnienia DN500 MOP 5,5MPa na terenie miasta Łodzi w ramach budowy gazociągu Łyszkowice - Koluszki - Brzeziny - Łódź wraz z infrastrukturą niezbędną do jego obsługi na terenie województwa łódzkiego oraz gazociągu Łódź - Konstantynów Łódzki - Pabianic</w:t>
      </w:r>
      <w:r>
        <w:rPr>
          <w:sz w:val="22"/>
          <w:szCs w:val="22"/>
        </w:rPr>
        <w:t>e - Rzgów - Konstantyna - Łódź wraz z infrastrukturą niezbędną do jego obsługi na terenie województwa łódzkiego. Obiekt: Przebudowa stacji gazowej wysokiego ciśnienia Q=25000 m</w:t>
      </w:r>
      <w:r>
        <w:rPr>
          <w:sz w:val="22"/>
          <w:szCs w:val="22"/>
          <w:vertAlign w:val="superscript"/>
        </w:rPr>
        <w:t>3</w:t>
      </w:r>
      <w:r>
        <w:rPr>
          <w:sz w:val="22"/>
          <w:szCs w:val="22"/>
        </w:rPr>
        <w:t>/h oraz budowa systemowej stacji gazowej wysokiego ciśnienia Q=50000 m</w:t>
      </w:r>
      <w:r>
        <w:rPr>
          <w:sz w:val="22"/>
          <w:szCs w:val="22"/>
          <w:vertAlign w:val="superscript"/>
        </w:rPr>
        <w:t>3</w:t>
      </w:r>
      <w:r>
        <w:rPr>
          <w:sz w:val="22"/>
          <w:szCs w:val="22"/>
        </w:rPr>
        <w:t>/h w m. </w:t>
      </w:r>
      <w:r>
        <w:rPr>
          <w:sz w:val="22"/>
          <w:szCs w:val="22"/>
        </w:rPr>
        <w:t>Konstantyna”, na nieruchomościach lub ich częściach, położonych w województwie łódzkim, pow. M. Łódź, gminie M. Łódź oraz w pow. łódzkim wschodnim, gm. Rzgów</w:t>
      </w:r>
      <w:r>
        <w:rPr>
          <w:color w:val="000000"/>
          <w:sz w:val="22"/>
          <w:szCs w:val="22"/>
        </w:rPr>
        <w:t>.</w:t>
      </w:r>
      <w:r w:rsidR="00C32217">
        <w:rPr>
          <w:color w:val="000000"/>
          <w:sz w:val="22"/>
          <w:szCs w:val="22"/>
        </w:rPr>
        <w:t xml:space="preserve"> </w:t>
      </w:r>
      <w:r>
        <w:rPr>
          <w:sz w:val="22"/>
          <w:szCs w:val="22"/>
        </w:rPr>
        <w:t xml:space="preserve">Zgodnie z art. 34 ust. 1 </w:t>
      </w:r>
      <w:r>
        <w:rPr>
          <w:i/>
          <w:sz w:val="22"/>
          <w:szCs w:val="22"/>
        </w:rPr>
        <w:t>Ustawy</w:t>
      </w:r>
      <w:r>
        <w:rPr>
          <w:sz w:val="22"/>
          <w:szCs w:val="22"/>
        </w:rPr>
        <w:t xml:space="preserve"> ww. decyzja podlega natychmiastowemu wykonaniu. </w:t>
      </w:r>
    </w:p>
    <w:p w:rsidR="00DA721A" w:rsidRDefault="00B9600D">
      <w:pPr>
        <w:jc w:val="both"/>
      </w:pPr>
      <w:r>
        <w:rPr>
          <w:sz w:val="22"/>
          <w:szCs w:val="22"/>
        </w:rPr>
        <w:tab/>
        <w:t xml:space="preserve">Od ww. decyzji </w:t>
      </w:r>
      <w:r>
        <w:rPr>
          <w:sz w:val="22"/>
          <w:szCs w:val="22"/>
        </w:rPr>
        <w:t>służy odwołanie do Głównego Inspektora Nadzoru Budowlanego za</w:t>
      </w:r>
      <w:r>
        <w:rPr>
          <w:color w:val="000000"/>
          <w:sz w:val="22"/>
          <w:szCs w:val="22"/>
        </w:rPr>
        <w:t> </w:t>
      </w:r>
      <w:r>
        <w:rPr>
          <w:sz w:val="22"/>
          <w:szCs w:val="22"/>
        </w:rPr>
        <w:t xml:space="preserve">pośrednictwem Wojewody Łódzkiego, w terminie 14 dni od dnia, w którym zawiadomienie o jej wydaniu w drodze obwieszczenia uważa się za dokonane. </w:t>
      </w:r>
    </w:p>
    <w:p w:rsidR="00DA721A" w:rsidRDefault="00B9600D">
      <w:pPr>
        <w:ind w:firstLine="708"/>
        <w:jc w:val="both"/>
      </w:pPr>
      <w:r>
        <w:rPr>
          <w:sz w:val="22"/>
          <w:szCs w:val="22"/>
        </w:rPr>
        <w:t xml:space="preserve">Zgodnie z art. 12 ust. 2a </w:t>
      </w:r>
      <w:r>
        <w:rPr>
          <w:i/>
          <w:sz w:val="22"/>
          <w:szCs w:val="22"/>
        </w:rPr>
        <w:t>Ustawy</w:t>
      </w:r>
      <w:r>
        <w:rPr>
          <w:sz w:val="22"/>
          <w:szCs w:val="22"/>
        </w:rPr>
        <w:t>, w związku z art</w:t>
      </w:r>
      <w:r>
        <w:rPr>
          <w:sz w:val="22"/>
          <w:szCs w:val="22"/>
        </w:rPr>
        <w:t xml:space="preserve">. 49 </w:t>
      </w:r>
      <w:r>
        <w:rPr>
          <w:i/>
          <w:iCs/>
          <w:sz w:val="22"/>
          <w:szCs w:val="22"/>
        </w:rPr>
        <w:t>Kpa</w:t>
      </w:r>
      <w:r>
        <w:rPr>
          <w:sz w:val="22"/>
          <w:szCs w:val="22"/>
        </w:rPr>
        <w:t>, zawiadomienie stron postępowania w drodze obwieszczenia uważa się za dokonane po upływie 14 dni od dnia, w którym nastąpiło obwieszczenie o wydaniu decyzji w Łódzkim Urzędzie Wojewódzkim w Łodzi. Data zamieszczenia obwieszczenia w ŁUW:  19.08.202</w:t>
      </w:r>
      <w:r>
        <w:rPr>
          <w:sz w:val="22"/>
          <w:szCs w:val="22"/>
        </w:rPr>
        <w:t>2 r. – 02.09.2022 r.</w:t>
      </w:r>
    </w:p>
    <w:p w:rsidR="00DA721A" w:rsidRDefault="00B9600D">
      <w:pPr>
        <w:ind w:firstLine="708"/>
        <w:jc w:val="both"/>
      </w:pPr>
      <w:r>
        <w:rPr>
          <w:sz w:val="22"/>
          <w:szCs w:val="22"/>
        </w:rPr>
        <w:t>Odwołanie od decyzji powinno zawierać zarzuty odnoszące się do decyzji, określać istotę i zakres żądania będącego przedmiotem odwołania oraz wskazywać dowody uzasadniające to żądanie. W trakcie biegu terminu do wniesienia odwołania str</w:t>
      </w:r>
      <w:r>
        <w:rPr>
          <w:sz w:val="22"/>
          <w:szCs w:val="22"/>
        </w:rPr>
        <w:t>onom przysługuje prawo do zrzeczenia się odwołania. Z dniem doręczenia Wojewodzie Łódzkiemu oświadczenia o zrzeczeniu się prawa do</w:t>
      </w:r>
      <w:r>
        <w:rPr>
          <w:color w:val="000000"/>
          <w:sz w:val="22"/>
          <w:szCs w:val="22"/>
        </w:rPr>
        <w:t> </w:t>
      </w:r>
      <w:r>
        <w:rPr>
          <w:sz w:val="22"/>
          <w:szCs w:val="22"/>
        </w:rPr>
        <w:t>wniesienia odwołania przez ostatnią ze stron postępowania, decyzja staje się ostateczna i</w:t>
      </w:r>
      <w:r>
        <w:rPr>
          <w:color w:val="000000"/>
          <w:sz w:val="22"/>
          <w:szCs w:val="22"/>
        </w:rPr>
        <w:t> </w:t>
      </w:r>
      <w:r>
        <w:rPr>
          <w:sz w:val="22"/>
          <w:szCs w:val="22"/>
        </w:rPr>
        <w:t>prawomocna. Zrzeczenie się prawa do</w:t>
      </w:r>
      <w:r>
        <w:rPr>
          <w:sz w:val="22"/>
          <w:szCs w:val="22"/>
        </w:rPr>
        <w:t xml:space="preserve"> wniesienia odwołania skutkuje brakiem możliwości odwołania od decyzji oraz jej zaskarżenia do wojewódzkiego sądu administracyjnego. </w:t>
      </w:r>
    </w:p>
    <w:p w:rsidR="00DA721A" w:rsidRDefault="00B9600D">
      <w:pPr>
        <w:jc w:val="both"/>
      </w:pPr>
      <w:r>
        <w:rPr>
          <w:sz w:val="22"/>
          <w:szCs w:val="22"/>
        </w:rPr>
        <w:tab/>
        <w:t>Z treścią decyzji oraz z dokumentacją sprawy, można się zapoznać, po wcześniejszym telefonicznym umówieniu wizyty (tel. 4</w:t>
      </w:r>
      <w:r>
        <w:rPr>
          <w:sz w:val="22"/>
          <w:szCs w:val="22"/>
        </w:rPr>
        <w:t>2 664-14-98) w Wydziale Gospodarki Przestrzennej i Budownictwa Łódzkiego Urzędu Wojewódzkiego w Łodzi, ul.</w:t>
      </w:r>
      <w:r>
        <w:rPr>
          <w:color w:val="000000"/>
          <w:sz w:val="22"/>
          <w:szCs w:val="22"/>
        </w:rPr>
        <w:t> </w:t>
      </w:r>
      <w:r>
        <w:rPr>
          <w:sz w:val="22"/>
          <w:szCs w:val="22"/>
        </w:rPr>
        <w:t>Piotrkowska 104. Treść decyzji udostępniono w dniu 19.08.2022 r., na okres 14 dni, na stronie Biuletynu Informacji Publicznej ŁUW pod adresem:</w:t>
      </w:r>
      <w:r>
        <w:rPr>
          <w:rStyle w:val="czeinternetowe"/>
          <w:sz w:val="22"/>
          <w:szCs w:val="22"/>
        </w:rPr>
        <w:t>https:/</w:t>
      </w:r>
      <w:r>
        <w:rPr>
          <w:rStyle w:val="czeinternetowe"/>
          <w:sz w:val="22"/>
          <w:szCs w:val="22"/>
        </w:rPr>
        <w:t>/www.gov.pl/web/uw-lodzki/wykaz-decyzji-wojewody-lodzkiego.</w:t>
      </w:r>
    </w:p>
    <w:p w:rsidR="00DA721A" w:rsidRDefault="00DA721A">
      <w:pPr>
        <w:jc w:val="both"/>
        <w:rPr>
          <w:sz w:val="22"/>
          <w:szCs w:val="22"/>
        </w:rPr>
      </w:pPr>
    </w:p>
    <w:p w:rsidR="00DA721A" w:rsidRDefault="00B9600D">
      <w:pPr>
        <w:tabs>
          <w:tab w:val="center" w:pos="6345"/>
        </w:tabs>
        <w:snapToGrid w:val="0"/>
        <w:ind w:left="4965"/>
        <w:jc w:val="center"/>
      </w:pPr>
      <w:r>
        <w:rPr>
          <w:b/>
          <w:bCs/>
          <w:color w:val="000000"/>
          <w:lang w:eastAsia="pl-PL"/>
        </w:rPr>
        <w:t>Z up. WOJEWODY ŁÓDZKIEGO</w:t>
      </w:r>
      <w:r>
        <w:rPr>
          <w:b/>
          <w:bCs/>
          <w:color w:val="000000"/>
          <w:lang w:eastAsia="pl-PL"/>
        </w:rPr>
        <w:br/>
      </w:r>
      <w:r>
        <w:rPr>
          <w:b/>
          <w:bCs/>
          <w:color w:val="000000"/>
          <w:lang w:eastAsia="pl-PL"/>
        </w:rPr>
        <w:br/>
      </w:r>
      <w:r>
        <w:rPr>
          <w:b/>
          <w:bCs/>
          <w:i/>
          <w:iCs/>
          <w:color w:val="000000"/>
          <w:lang w:eastAsia="pl-PL"/>
        </w:rPr>
        <w:t>Magdalena Nurczyńska</w:t>
      </w:r>
      <w:r>
        <w:rPr>
          <w:b/>
          <w:bCs/>
          <w:i/>
          <w:iCs/>
          <w:color w:val="000000"/>
          <w:lang w:eastAsia="pl-PL"/>
        </w:rPr>
        <w:br/>
      </w:r>
      <w:r>
        <w:rPr>
          <w:b/>
          <w:bCs/>
          <w:color w:val="000000"/>
          <w:lang w:eastAsia="pl-PL"/>
        </w:rPr>
        <w:t>Kierownik Oddziału Administracji</w:t>
      </w:r>
    </w:p>
    <w:p w:rsidR="00DA721A" w:rsidRDefault="00B9600D">
      <w:pPr>
        <w:tabs>
          <w:tab w:val="center" w:pos="6345"/>
        </w:tabs>
        <w:snapToGrid w:val="0"/>
        <w:ind w:left="4965"/>
        <w:jc w:val="center"/>
      </w:pPr>
      <w:r>
        <w:rPr>
          <w:b/>
          <w:bCs/>
          <w:color w:val="000000"/>
          <w:lang w:eastAsia="pl-PL"/>
        </w:rPr>
        <w:t>Architektoniczno-Budowlanej</w:t>
      </w:r>
    </w:p>
    <w:p w:rsidR="00DA721A" w:rsidRDefault="00B9600D">
      <w:pPr>
        <w:tabs>
          <w:tab w:val="center" w:pos="6345"/>
        </w:tabs>
        <w:snapToGrid w:val="0"/>
        <w:ind w:left="4965"/>
        <w:jc w:val="center"/>
      </w:pPr>
      <w:r>
        <w:rPr>
          <w:b/>
          <w:bCs/>
          <w:iCs/>
          <w:color w:val="000000"/>
          <w:lang w:eastAsia="pl-PL"/>
        </w:rPr>
        <w:t>w Wydziale Gospodarki Przestrzennej i Budownictwa</w:t>
      </w:r>
    </w:p>
    <w:p w:rsidR="00DA721A" w:rsidRDefault="00B9600D">
      <w:pPr>
        <w:tabs>
          <w:tab w:val="center" w:pos="6345"/>
        </w:tabs>
        <w:snapToGrid w:val="0"/>
        <w:ind w:left="4965"/>
        <w:jc w:val="center"/>
      </w:pPr>
      <w:r>
        <w:rPr>
          <w:b/>
          <w:bCs/>
          <w:iCs/>
          <w:color w:val="000000"/>
          <w:sz w:val="18"/>
          <w:szCs w:val="18"/>
          <w:lang w:eastAsia="pl-PL"/>
        </w:rPr>
        <w:t>/</w:t>
      </w:r>
      <w:r>
        <w:rPr>
          <w:bCs/>
          <w:iCs/>
          <w:color w:val="000000"/>
          <w:sz w:val="18"/>
          <w:szCs w:val="18"/>
          <w:lang w:eastAsia="pl-PL"/>
        </w:rPr>
        <w:t xml:space="preserve">dokument podpisano kwalifikowanym podpisem </w:t>
      </w:r>
    </w:p>
    <w:p w:rsidR="00DA721A" w:rsidRDefault="00B9600D">
      <w:pPr>
        <w:tabs>
          <w:tab w:val="center" w:pos="6345"/>
        </w:tabs>
        <w:suppressAutoHyphens w:val="0"/>
        <w:snapToGrid w:val="0"/>
        <w:spacing w:line="360" w:lineRule="auto"/>
        <w:ind w:left="4967"/>
        <w:jc w:val="center"/>
      </w:pPr>
      <w:bookmarkStart w:id="2" w:name="_GoBack1"/>
      <w:bookmarkEnd w:id="2"/>
      <w:r>
        <w:rPr>
          <w:iCs/>
          <w:color w:val="000000"/>
          <w:sz w:val="18"/>
          <w:szCs w:val="18"/>
          <w:lang w:eastAsia="pl-PL"/>
        </w:rPr>
        <w:t>elektronicznym</w:t>
      </w:r>
      <w:r>
        <w:rPr>
          <w:b/>
          <w:bCs/>
          <w:iCs/>
          <w:color w:val="000000"/>
          <w:sz w:val="18"/>
          <w:szCs w:val="18"/>
          <w:lang w:eastAsia="pl-PL"/>
        </w:rPr>
        <w:t xml:space="preserve">/ </w:t>
      </w:r>
    </w:p>
    <w:sectPr w:rsidR="00DA721A" w:rsidSect="00C32217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135" w:right="1398" w:bottom="949" w:left="1418" w:header="707" w:footer="460" w:gutter="0"/>
      <w:pgNumType w:start="1"/>
      <w:cols w:space="708"/>
      <w:formProt w:val="0"/>
      <w:titlePg/>
      <w:docGrid w:linePitch="360" w:charSpace="1638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9600D" w:rsidRDefault="00B9600D">
      <w:r>
        <w:separator/>
      </w:r>
    </w:p>
  </w:endnote>
  <w:endnote w:type="continuationSeparator" w:id="0">
    <w:p w:rsidR="00B9600D" w:rsidRDefault="00B960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Gentium Basic"/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A721A" w:rsidRDefault="00B9600D">
    <w:pPr>
      <w:pStyle w:val="Stopka"/>
    </w:pPr>
    <w:r>
      <w:t xml:space="preserve">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A721A" w:rsidRDefault="00B9600D">
    <w:pPr>
      <w:pStyle w:val="Stopka"/>
      <w:jc w:val="center"/>
    </w:pPr>
    <w:r>
      <w:rPr>
        <w:b/>
        <w:sz w:val="14"/>
      </w:rPr>
      <w:t>ŁÓDZKI URZĄD WOJEWÓDZKI W ŁODZI</w:t>
    </w:r>
  </w:p>
  <w:p w:rsidR="00DA721A" w:rsidRDefault="00B9600D">
    <w:pPr>
      <w:pStyle w:val="Stopka"/>
      <w:jc w:val="center"/>
    </w:pPr>
    <w:r>
      <w:rPr>
        <w:sz w:val="14"/>
      </w:rPr>
      <w:t xml:space="preserve">90-926 Łódź, ul. Piotrkowska 104, tel.: (+48) 42 664 10 00, fax: (+48) 42 664 10 </w:t>
    </w:r>
    <w:r>
      <w:rPr>
        <w:sz w:val="14"/>
      </w:rPr>
      <w:t xml:space="preserve">40Elektroniczna Skrzynka Podawcza </w:t>
    </w:r>
    <w:proofErr w:type="spellStart"/>
    <w:r>
      <w:rPr>
        <w:sz w:val="14"/>
      </w:rPr>
      <w:t>ePUAP</w:t>
    </w:r>
    <w:proofErr w:type="spellEnd"/>
    <w:r>
      <w:rPr>
        <w:sz w:val="14"/>
      </w:rPr>
      <w:t>: /</w:t>
    </w:r>
    <w:proofErr w:type="spellStart"/>
    <w:r>
      <w:rPr>
        <w:sz w:val="14"/>
      </w:rPr>
      <w:t>lodzuw</w:t>
    </w:r>
    <w:proofErr w:type="spellEnd"/>
    <w:r>
      <w:rPr>
        <w:sz w:val="14"/>
      </w:rPr>
      <w:t>/</w:t>
    </w:r>
    <w:proofErr w:type="spellStart"/>
    <w:r>
      <w:rPr>
        <w:sz w:val="14"/>
      </w:rPr>
      <w:t>SkrytkaESP</w:t>
    </w:r>
    <w:proofErr w:type="spellEnd"/>
  </w:p>
  <w:p w:rsidR="00DA721A" w:rsidRDefault="00B9600D">
    <w:pPr>
      <w:pStyle w:val="Stopka"/>
      <w:jc w:val="center"/>
    </w:pPr>
    <w:hyperlink r:id="rId1">
      <w:r>
        <w:rPr>
          <w:rStyle w:val="czeinternetowe"/>
          <w:sz w:val="14"/>
          <w:szCs w:val="14"/>
        </w:rPr>
        <w:t>https://www.gov.pl/web/uw-lodzki</w:t>
      </w:r>
    </w:hyperlink>
  </w:p>
  <w:p w:rsidR="00DA721A" w:rsidRDefault="00B9600D">
    <w:pPr>
      <w:pStyle w:val="Stopka"/>
      <w:jc w:val="center"/>
    </w:pPr>
    <w:r>
      <w:rPr>
        <w:sz w:val="14"/>
      </w:rPr>
      <w:t xml:space="preserve">Administratorem danych osobowych jest Wojewoda Łódzki. Dane przetwarzane są w celu realizacji czynności urzędowych. Masz </w:t>
    </w:r>
    <w:r>
      <w:rPr>
        <w:sz w:val="14"/>
      </w:rPr>
      <w:t xml:space="preserve">prawo do dostępu, sprostowania, ograniczenia przetwarzania danych. Więcej informacji znajdziesz na stronie </w:t>
    </w:r>
    <w:hyperlink r:id="rId2">
      <w:r>
        <w:rPr>
          <w:rStyle w:val="czeinternetowe"/>
          <w:sz w:val="14"/>
          <w:szCs w:val="14"/>
        </w:rPr>
        <w:t>https://www.gov.pl/web/uw-lodzki</w:t>
      </w:r>
    </w:hyperlink>
    <w:r>
      <w:rPr>
        <w:sz w:val="14"/>
      </w:rPr>
      <w:t xml:space="preserve"> w zakładce ochrona danych osobowych.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9600D" w:rsidRDefault="00B9600D">
      <w:r>
        <w:separator/>
      </w:r>
    </w:p>
  </w:footnote>
  <w:footnote w:type="continuationSeparator" w:id="0">
    <w:p w:rsidR="00B9600D" w:rsidRDefault="00B9600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A721A" w:rsidRDefault="00DA721A">
    <w:pPr>
      <w:spacing w:line="360" w:lineRule="auto"/>
      <w:ind w:right="11"/>
      <w:rPr>
        <w:b/>
        <w:bCs/>
        <w:sz w:val="24"/>
        <w:szCs w:val="24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A721A" w:rsidRDefault="00DA721A">
    <w:pPr>
      <w:ind w:right="5160"/>
      <w:jc w:val="center"/>
      <w:rPr>
        <w:b/>
        <w:bCs/>
        <w:sz w:val="24"/>
        <w:szCs w:val="24"/>
        <w:lang w:eastAsia="pl-PL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922024"/>
    <w:multiLevelType w:val="multilevel"/>
    <w:tmpl w:val="9FF040AA"/>
    <w:lvl w:ilvl="0">
      <w:start w:val="1"/>
      <w:numFmt w:val="none"/>
      <w:pStyle w:val="Nagwek1"/>
      <w:suff w:val="nothing"/>
      <w:lvlText w:val=""/>
      <w:lvlJc w:val="left"/>
      <w:pPr>
        <w:ind w:left="0" w:firstLine="0"/>
      </w:pPr>
    </w:lvl>
    <w:lvl w:ilvl="1">
      <w:start w:val="1"/>
      <w:numFmt w:val="none"/>
      <w:pStyle w:val="Nagwek2"/>
      <w:suff w:val="nothing"/>
      <w:lvlText w:val=""/>
      <w:lvlJc w:val="left"/>
      <w:pPr>
        <w:ind w:left="0" w:firstLine="0"/>
      </w:pPr>
    </w:lvl>
    <w:lvl w:ilvl="2">
      <w:start w:val="1"/>
      <w:numFmt w:val="none"/>
      <w:pStyle w:val="Nagwek3"/>
      <w:suff w:val="nothing"/>
      <w:lvlText w:val=""/>
      <w:lvlJc w:val="left"/>
      <w:pPr>
        <w:ind w:left="0" w:firstLine="0"/>
      </w:pPr>
    </w:lvl>
    <w:lvl w:ilvl="3">
      <w:start w:val="1"/>
      <w:numFmt w:val="none"/>
      <w:pStyle w:val="Nagwek4"/>
      <w:suff w:val="nothing"/>
      <w:lvlText w:val=""/>
      <w:lvlJc w:val="left"/>
      <w:pPr>
        <w:ind w:left="0" w:firstLine="0"/>
      </w:pPr>
    </w:lvl>
    <w:lvl w:ilvl="4">
      <w:start w:val="1"/>
      <w:numFmt w:val="none"/>
      <w:pStyle w:val="Nagwek5"/>
      <w:suff w:val="nothing"/>
      <w:lvlText w:val=""/>
      <w:lvlJc w:val="left"/>
      <w:pPr>
        <w:ind w:left="0" w:firstLine="0"/>
      </w:pPr>
    </w:lvl>
    <w:lvl w:ilvl="5">
      <w:start w:val="1"/>
      <w:numFmt w:val="none"/>
      <w:pStyle w:val="Nagwek6"/>
      <w:suff w:val="nothing"/>
      <w:lvlText w:val=""/>
      <w:lvlJc w:val="left"/>
      <w:pPr>
        <w:ind w:left="0" w:firstLine="0"/>
      </w:pPr>
    </w:lvl>
    <w:lvl w:ilvl="6">
      <w:start w:val="1"/>
      <w:numFmt w:val="none"/>
      <w:pStyle w:val="Nagwek7"/>
      <w:suff w:val="nothing"/>
      <w:lvlText w:val=""/>
      <w:lvlJc w:val="left"/>
      <w:pPr>
        <w:ind w:left="0" w:firstLine="0"/>
      </w:pPr>
    </w:lvl>
    <w:lvl w:ilvl="7">
      <w:start w:val="1"/>
      <w:numFmt w:val="none"/>
      <w:pStyle w:val="Nagwek8"/>
      <w:suff w:val="nothing"/>
      <w:lvlText w:val=""/>
      <w:lvlJc w:val="left"/>
      <w:pPr>
        <w:ind w:left="0" w:firstLine="0"/>
      </w:pPr>
    </w:lvl>
    <w:lvl w:ilvl="8">
      <w:start w:val="1"/>
      <w:numFmt w:val="none"/>
      <w:pStyle w:val="Nagwek9"/>
      <w:suff w:val="nothing"/>
      <w:lvlText w:val=""/>
      <w:lvlJc w:val="left"/>
      <w:pPr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displayBackgroundShape/>
  <w:embedSystemFonts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721A"/>
    <w:rsid w:val="00B9600D"/>
    <w:rsid w:val="00C32217"/>
    <w:rsid w:val="00DA72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10BA563-ECDF-49F3-B6C7-0C798A598F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pPr>
      <w:suppressAutoHyphens/>
    </w:pPr>
    <w:rPr>
      <w:kern w:val="2"/>
      <w:lang w:eastAsia="zh-CN"/>
    </w:rPr>
  </w:style>
  <w:style w:type="paragraph" w:styleId="Nagwek1">
    <w:name w:val="heading 1"/>
    <w:basedOn w:val="Normalny"/>
    <w:next w:val="Normalny"/>
    <w:qFormat/>
    <w:pPr>
      <w:keepNext/>
      <w:widowControl w:val="0"/>
      <w:numPr>
        <w:numId w:val="1"/>
      </w:numPr>
      <w:tabs>
        <w:tab w:val="center" w:pos="1588"/>
      </w:tabs>
      <w:ind w:left="4536"/>
      <w:jc w:val="center"/>
      <w:outlineLvl w:val="0"/>
    </w:pPr>
    <w:rPr>
      <w:rFonts w:ascii="Georgia" w:hAnsi="Georgia" w:cs="Georgia"/>
      <w:sz w:val="28"/>
    </w:rPr>
  </w:style>
  <w:style w:type="paragraph" w:styleId="Nagwek2">
    <w:name w:val="heading 2"/>
    <w:basedOn w:val="Normalny"/>
    <w:next w:val="Normalny"/>
    <w:qFormat/>
    <w:pPr>
      <w:keepNext/>
      <w:numPr>
        <w:ilvl w:val="1"/>
        <w:numId w:val="1"/>
      </w:numPr>
      <w:outlineLvl w:val="1"/>
    </w:pPr>
    <w:rPr>
      <w:b/>
      <w:sz w:val="28"/>
    </w:rPr>
  </w:style>
  <w:style w:type="paragraph" w:styleId="Nagwek3">
    <w:name w:val="heading 3"/>
    <w:basedOn w:val="Normalny"/>
    <w:next w:val="Normalny"/>
    <w:qFormat/>
    <w:pPr>
      <w:keepNext/>
      <w:numPr>
        <w:ilvl w:val="2"/>
        <w:numId w:val="1"/>
      </w:numPr>
      <w:ind w:left="3969"/>
      <w:outlineLvl w:val="2"/>
    </w:pPr>
    <w:rPr>
      <w:b/>
      <w:sz w:val="28"/>
    </w:rPr>
  </w:style>
  <w:style w:type="paragraph" w:styleId="Nagwek4">
    <w:name w:val="heading 4"/>
    <w:basedOn w:val="Normalny"/>
    <w:next w:val="Normalny"/>
    <w:qFormat/>
    <w:pPr>
      <w:keepNext/>
      <w:numPr>
        <w:ilvl w:val="3"/>
        <w:numId w:val="1"/>
      </w:numPr>
      <w:ind w:left="3969"/>
      <w:outlineLvl w:val="3"/>
    </w:pPr>
    <w:rPr>
      <w:rFonts w:ascii="Georgia" w:hAnsi="Georgia" w:cs="Georgia"/>
      <w:b/>
      <w:i/>
      <w:sz w:val="28"/>
    </w:rPr>
  </w:style>
  <w:style w:type="paragraph" w:styleId="Nagwek5">
    <w:name w:val="heading 5"/>
    <w:basedOn w:val="Normalny"/>
    <w:next w:val="Normalny"/>
    <w:qFormat/>
    <w:pPr>
      <w:keepNext/>
      <w:numPr>
        <w:ilvl w:val="4"/>
        <w:numId w:val="1"/>
      </w:numPr>
      <w:jc w:val="both"/>
      <w:outlineLvl w:val="4"/>
    </w:pPr>
    <w:rPr>
      <w:rFonts w:ascii="Georgia" w:hAnsi="Georgia" w:cs="Georgia"/>
      <w:sz w:val="30"/>
    </w:rPr>
  </w:style>
  <w:style w:type="paragraph" w:styleId="Nagwek6">
    <w:name w:val="heading 6"/>
    <w:basedOn w:val="Normalny"/>
    <w:next w:val="Normalny"/>
    <w:qFormat/>
    <w:pPr>
      <w:keepNext/>
      <w:numPr>
        <w:ilvl w:val="5"/>
        <w:numId w:val="1"/>
      </w:numPr>
      <w:jc w:val="both"/>
      <w:outlineLvl w:val="5"/>
    </w:pPr>
    <w:rPr>
      <w:rFonts w:ascii="Georgia" w:hAnsi="Georgia" w:cs="Georgia"/>
      <w:b/>
      <w:sz w:val="30"/>
    </w:rPr>
  </w:style>
  <w:style w:type="paragraph" w:styleId="Nagwek7">
    <w:name w:val="heading 7"/>
    <w:basedOn w:val="Normalny"/>
    <w:next w:val="Normalny"/>
    <w:qFormat/>
    <w:pPr>
      <w:keepNext/>
      <w:numPr>
        <w:ilvl w:val="6"/>
        <w:numId w:val="1"/>
      </w:numPr>
      <w:jc w:val="both"/>
      <w:outlineLvl w:val="6"/>
    </w:pPr>
    <w:rPr>
      <w:rFonts w:ascii="Georgia" w:hAnsi="Georgia" w:cs="Georgia"/>
      <w:b/>
      <w:i/>
      <w:sz w:val="30"/>
    </w:rPr>
  </w:style>
  <w:style w:type="paragraph" w:styleId="Nagwek8">
    <w:name w:val="heading 8"/>
    <w:basedOn w:val="Normalny"/>
    <w:next w:val="Normalny"/>
    <w:qFormat/>
    <w:pPr>
      <w:keepNext/>
      <w:numPr>
        <w:ilvl w:val="7"/>
        <w:numId w:val="1"/>
      </w:numPr>
      <w:ind w:left="5664"/>
      <w:outlineLvl w:val="7"/>
    </w:pPr>
    <w:rPr>
      <w:sz w:val="24"/>
    </w:rPr>
  </w:style>
  <w:style w:type="paragraph" w:styleId="Nagwek9">
    <w:name w:val="heading 9"/>
    <w:basedOn w:val="Normalny"/>
    <w:next w:val="Normalny"/>
    <w:qFormat/>
    <w:pPr>
      <w:keepNext/>
      <w:numPr>
        <w:ilvl w:val="8"/>
        <w:numId w:val="1"/>
      </w:numPr>
      <w:ind w:left="2694"/>
      <w:jc w:val="both"/>
      <w:outlineLvl w:val="8"/>
    </w:pPr>
    <w:rPr>
      <w:rFonts w:ascii="Georgia" w:hAnsi="Georgia" w:cs="Georgia"/>
      <w:b/>
      <w:sz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Domylnaczcionkaakapitu5">
    <w:name w:val="Domyślna czcionka akapitu5"/>
    <w:qFormat/>
  </w:style>
  <w:style w:type="character" w:customStyle="1" w:styleId="Domylnaczcionkaakapitu4">
    <w:name w:val="Domyślna czcionka akapitu4"/>
    <w:qFormat/>
  </w:style>
  <w:style w:type="character" w:customStyle="1" w:styleId="Domylnaczcionkaakapitu3">
    <w:name w:val="Domyślna czcionka akapitu3"/>
    <w:qFormat/>
  </w:style>
  <w:style w:type="character" w:customStyle="1" w:styleId="Domylnaczcionkaakapitu2">
    <w:name w:val="Domyślna czcionka akapitu2"/>
    <w:qFormat/>
  </w:style>
  <w:style w:type="character" w:customStyle="1" w:styleId="Absatz-Standardschriftart">
    <w:name w:val="Absatz-Standardschriftart"/>
    <w:qFormat/>
  </w:style>
  <w:style w:type="character" w:customStyle="1" w:styleId="WW-Absatz-Standardschriftart">
    <w:name w:val="WW-Absatz-Standardschriftart"/>
    <w:qFormat/>
  </w:style>
  <w:style w:type="character" w:customStyle="1" w:styleId="WW-Absatz-Standardschriftart1">
    <w:name w:val="WW-Absatz-Standardschriftart1"/>
    <w:qFormat/>
  </w:style>
  <w:style w:type="character" w:customStyle="1" w:styleId="WW-Absatz-Standardschriftart11">
    <w:name w:val="WW-Absatz-Standardschriftart11"/>
    <w:qFormat/>
  </w:style>
  <w:style w:type="character" w:customStyle="1" w:styleId="WW-Absatz-Standardschriftart111">
    <w:name w:val="WW-Absatz-Standardschriftart111"/>
    <w:qFormat/>
  </w:style>
  <w:style w:type="character" w:customStyle="1" w:styleId="WW-Absatz-Standardschriftart1111">
    <w:name w:val="WW-Absatz-Standardschriftart1111"/>
    <w:qFormat/>
  </w:style>
  <w:style w:type="character" w:customStyle="1" w:styleId="WW-Absatz-Standardschriftart11111">
    <w:name w:val="WW-Absatz-Standardschriftart11111"/>
    <w:qFormat/>
  </w:style>
  <w:style w:type="character" w:customStyle="1" w:styleId="WW-Absatz-Standardschriftart111111">
    <w:name w:val="WW-Absatz-Standardschriftart111111"/>
    <w:qFormat/>
  </w:style>
  <w:style w:type="character" w:customStyle="1" w:styleId="Domylnaczcionkaakapitu1">
    <w:name w:val="Domyślna czcionka akapitu1"/>
    <w:qFormat/>
  </w:style>
  <w:style w:type="character" w:customStyle="1" w:styleId="czeinternetowe">
    <w:name w:val="Łącze internetowe"/>
    <w:rsid w:val="007C03CE"/>
    <w:rPr>
      <w:color w:val="000080"/>
      <w:u w:val="single"/>
    </w:rPr>
  </w:style>
  <w:style w:type="character" w:customStyle="1" w:styleId="NagwekZnak">
    <w:name w:val="Nagłówek Znak"/>
    <w:qFormat/>
    <w:rPr>
      <w:rFonts w:ascii="Arial" w:eastAsia="Lucida Sans Unicode" w:hAnsi="Arial" w:cs="Tahoma"/>
      <w:kern w:val="2"/>
      <w:sz w:val="28"/>
      <w:szCs w:val="28"/>
    </w:rPr>
  </w:style>
  <w:style w:type="character" w:customStyle="1" w:styleId="TekstpodstawowyZnak">
    <w:name w:val="Tekst podstawowy Znak"/>
    <w:qFormat/>
    <w:rPr>
      <w:rFonts w:ascii="Georgia" w:hAnsi="Georgia" w:cs="Georgia"/>
      <w:i/>
      <w:kern w:val="2"/>
      <w:sz w:val="28"/>
    </w:rPr>
  </w:style>
  <w:style w:type="character" w:customStyle="1" w:styleId="StopkaZnak">
    <w:name w:val="Stopka Znak"/>
    <w:qFormat/>
    <w:rPr>
      <w:kern w:val="2"/>
    </w:rPr>
  </w:style>
  <w:style w:type="character" w:customStyle="1" w:styleId="ListLabel1">
    <w:name w:val="ListLabel 1"/>
    <w:qFormat/>
    <w:rPr>
      <w:sz w:val="14"/>
      <w:szCs w:val="14"/>
    </w:rPr>
  </w:style>
  <w:style w:type="character" w:customStyle="1" w:styleId="ListLabel2">
    <w:name w:val="ListLabel 2"/>
    <w:qFormat/>
    <w:rPr>
      <w:sz w:val="22"/>
      <w:szCs w:val="22"/>
    </w:rPr>
  </w:style>
  <w:style w:type="character" w:customStyle="1" w:styleId="ListLabel3">
    <w:name w:val="ListLabel 3"/>
    <w:qFormat/>
    <w:rPr>
      <w:sz w:val="22"/>
      <w:szCs w:val="22"/>
    </w:rPr>
  </w:style>
  <w:style w:type="character" w:customStyle="1" w:styleId="ListLabel4">
    <w:name w:val="ListLabel 4"/>
    <w:qFormat/>
    <w:rPr>
      <w:sz w:val="14"/>
      <w:szCs w:val="14"/>
    </w:rPr>
  </w:style>
  <w:style w:type="character" w:customStyle="1" w:styleId="ListLabel5">
    <w:name w:val="ListLabel 5"/>
    <w:qFormat/>
    <w:rPr>
      <w:sz w:val="22"/>
      <w:szCs w:val="22"/>
    </w:rPr>
  </w:style>
  <w:style w:type="character" w:customStyle="1" w:styleId="ListLabel6">
    <w:name w:val="ListLabel 6"/>
    <w:qFormat/>
    <w:rPr>
      <w:sz w:val="14"/>
      <w:szCs w:val="14"/>
    </w:rPr>
  </w:style>
  <w:style w:type="character" w:customStyle="1" w:styleId="ListLabel7">
    <w:name w:val="ListLabel 7"/>
    <w:qFormat/>
    <w:rPr>
      <w:sz w:val="14"/>
      <w:szCs w:val="14"/>
    </w:rPr>
  </w:style>
  <w:style w:type="paragraph" w:styleId="Nagwek">
    <w:name w:val="header"/>
    <w:basedOn w:val="Normalny"/>
    <w:next w:val="Tekstpodstawowy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Tekstpodstawowy">
    <w:name w:val="Body Text"/>
    <w:basedOn w:val="Normalny"/>
    <w:rPr>
      <w:rFonts w:ascii="Georgia" w:hAnsi="Georgia" w:cs="Georgia"/>
      <w:i/>
      <w:sz w:val="28"/>
    </w:rPr>
  </w:style>
  <w:style w:type="paragraph" w:styleId="Lista">
    <w:name w:val="List"/>
    <w:basedOn w:val="Tekstpodstawowy"/>
    <w:rPr>
      <w:rFonts w:cs="Tahoma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Tahoma"/>
    </w:rPr>
  </w:style>
  <w:style w:type="paragraph" w:customStyle="1" w:styleId="Nagwek50">
    <w:name w:val="Nagłówek5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Nagwek40">
    <w:name w:val="Nagłówek4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Legenda3">
    <w:name w:val="Legenda3"/>
    <w:basedOn w:val="Normalny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agwek30">
    <w:name w:val="Nagłówek3"/>
    <w:basedOn w:val="Normalny"/>
    <w:next w:val="Tekstpodstawowy"/>
    <w:qFormat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Legenda2">
    <w:name w:val="Legenda2"/>
    <w:basedOn w:val="Normalny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agwek20">
    <w:name w:val="Nagłówek2"/>
    <w:basedOn w:val="Normalny"/>
    <w:next w:val="Tekstpodstawowy"/>
    <w:qFormat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Legenda1">
    <w:name w:val="Legenda1"/>
    <w:basedOn w:val="Normalny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Gwkaistopka">
    <w:name w:val="Główka i stopka"/>
    <w:basedOn w:val="Normalny"/>
    <w:qFormat/>
  </w:style>
  <w:style w:type="paragraph" w:customStyle="1" w:styleId="Podpis1">
    <w:name w:val="Podpis1"/>
    <w:basedOn w:val="Normalny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Nagwek10">
    <w:name w:val="Nagłówek1"/>
    <w:basedOn w:val="Normalny"/>
    <w:next w:val="Tekstpodstawowy"/>
    <w:qFormat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wcity">
    <w:name w:val="Body Text Indent"/>
    <w:basedOn w:val="Normalny"/>
    <w:pPr>
      <w:ind w:left="4536"/>
    </w:pPr>
    <w:rPr>
      <w:b/>
      <w:sz w:val="28"/>
    </w:rPr>
  </w:style>
  <w:style w:type="paragraph" w:customStyle="1" w:styleId="Tekstpodstawowy21">
    <w:name w:val="Tekst podstawowy 21"/>
    <w:basedOn w:val="Normalny"/>
    <w:qFormat/>
    <w:rPr>
      <w:rFonts w:ascii="Trebuchet MS" w:hAnsi="Trebuchet MS" w:cs="Trebuchet MS"/>
      <w:sz w:val="28"/>
    </w:rPr>
  </w:style>
  <w:style w:type="paragraph" w:customStyle="1" w:styleId="Tekstpodstawowywcity21">
    <w:name w:val="Tekst podstawowy wcięty 21"/>
    <w:basedOn w:val="Normalny"/>
    <w:qFormat/>
    <w:pPr>
      <w:ind w:firstLine="708"/>
      <w:jc w:val="both"/>
    </w:pPr>
    <w:rPr>
      <w:rFonts w:ascii="Georgia" w:hAnsi="Georgia" w:cs="Georgia"/>
      <w:i/>
      <w:sz w:val="28"/>
    </w:rPr>
  </w:style>
  <w:style w:type="paragraph" w:customStyle="1" w:styleId="Tekstpodstawowy22">
    <w:name w:val="Tekst podstawowy 22"/>
    <w:basedOn w:val="Normalny"/>
    <w:qFormat/>
    <w:pPr>
      <w:widowControl w:val="0"/>
      <w:ind w:right="-1"/>
      <w:jc w:val="both"/>
    </w:pPr>
    <w:rPr>
      <w:sz w:val="28"/>
    </w:rPr>
  </w:style>
  <w:style w:type="paragraph" w:customStyle="1" w:styleId="Tekstpodstawowy31">
    <w:name w:val="Tekst podstawowy 31"/>
    <w:basedOn w:val="Normalny"/>
    <w:qFormat/>
    <w:pPr>
      <w:jc w:val="both"/>
    </w:pPr>
    <w:rPr>
      <w:b/>
      <w:i/>
      <w:sz w:val="28"/>
    </w:rPr>
  </w:style>
  <w:style w:type="paragraph" w:customStyle="1" w:styleId="Tekstpodstawowywcity31">
    <w:name w:val="Tekst podstawowy wcięty 31"/>
    <w:basedOn w:val="Normalny"/>
    <w:qFormat/>
    <w:pPr>
      <w:ind w:left="4536"/>
    </w:pPr>
    <w:rPr>
      <w:rFonts w:ascii="Arial" w:hAnsi="Arial" w:cs="Arial"/>
      <w:sz w:val="24"/>
    </w:rPr>
  </w:style>
  <w:style w:type="paragraph" w:customStyle="1" w:styleId="Tekstdymka1">
    <w:name w:val="Tekst dymka1"/>
    <w:basedOn w:val="Normalny"/>
    <w:qFormat/>
    <w:rPr>
      <w:rFonts w:ascii="Tahoma" w:hAnsi="Tahoma" w:cs="Tahoma"/>
      <w:sz w:val="16"/>
      <w:szCs w:val="16"/>
    </w:rPr>
  </w:style>
  <w:style w:type="paragraph" w:customStyle="1" w:styleId="Zawartoramki">
    <w:name w:val="Zawartość ramki"/>
    <w:basedOn w:val="Tekstpodstawowy"/>
    <w:qFormat/>
  </w:style>
  <w:style w:type="paragraph" w:customStyle="1" w:styleId="Zawartotabeli">
    <w:name w:val="Zawartość tabeli"/>
    <w:basedOn w:val="Normalny"/>
    <w:qFormat/>
    <w:pPr>
      <w:suppressLineNumbers/>
    </w:pPr>
  </w:style>
  <w:style w:type="paragraph" w:customStyle="1" w:styleId="Nagwektabeli">
    <w:name w:val="Nagłówek tabeli"/>
    <w:basedOn w:val="Zawartotabeli"/>
    <w:qFormat/>
    <w:pPr>
      <w:jc w:val="center"/>
    </w:pPr>
    <w:rPr>
      <w:b/>
      <w:bCs/>
    </w:rPr>
  </w:style>
  <w:style w:type="paragraph" w:customStyle="1" w:styleId="Cytaty">
    <w:name w:val="Cytaty"/>
    <w:basedOn w:val="Normalny"/>
    <w:qFormat/>
    <w:pPr>
      <w:spacing w:after="283"/>
      <w:ind w:left="567" w:right="567"/>
    </w:pPr>
  </w:style>
  <w:style w:type="paragraph" w:styleId="Tytu">
    <w:name w:val="Title"/>
    <w:basedOn w:val="Nagwek50"/>
    <w:next w:val="Tekstpodstawowy"/>
    <w:qFormat/>
    <w:pPr>
      <w:jc w:val="center"/>
    </w:pPr>
    <w:rPr>
      <w:b/>
      <w:bCs/>
      <w:sz w:val="56"/>
      <w:szCs w:val="56"/>
    </w:rPr>
  </w:style>
  <w:style w:type="paragraph" w:styleId="Podtytu">
    <w:name w:val="Subtitle"/>
    <w:basedOn w:val="Nagwek50"/>
    <w:next w:val="Tekstpodstawowy"/>
    <w:qFormat/>
    <w:pPr>
      <w:spacing w:before="60"/>
      <w:jc w:val="center"/>
    </w:pPr>
    <w:rPr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lodzkie.eu/" TargetMode="External"/><Relationship Id="rId1" Type="http://schemas.openxmlformats.org/officeDocument/2006/relationships/hyperlink" Target="http://www.lodzkie.eu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552</Words>
  <Characters>3312</Characters>
  <Application>Microsoft Office Word</Application>
  <DocSecurity>0</DocSecurity>
  <Lines>27</Lines>
  <Paragraphs>7</Paragraphs>
  <ScaleCrop>false</ScaleCrop>
  <Company>Hewlett-Packard Company</Company>
  <LinksUpToDate>false</LinksUpToDate>
  <CharactersWithSpaces>3857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Łódź, dnia 2001 r</dc:title>
  <dc:subject/>
  <dc:creator>wanna</dc:creator>
  <dc:description/>
  <cp:lastModifiedBy>Magdalena Nurczyńska</cp:lastModifiedBy>
  <cp:revision>13</cp:revision>
  <cp:lastPrinted>2022-08-01T11:18:00Z</cp:lastPrinted>
  <dcterms:created xsi:type="dcterms:W3CDTF">2020-01-08T11:12:00Z</dcterms:created>
  <dcterms:modified xsi:type="dcterms:W3CDTF">2022-08-17T10:21:00Z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