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69D79" w14:textId="77777777" w:rsidR="00F13AAC" w:rsidRDefault="00994479" w:rsidP="00994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4479">
        <w:rPr>
          <w:rFonts w:ascii="Times New Roman" w:hAnsi="Times New Roman" w:cs="Times New Roman"/>
          <w:b/>
          <w:sz w:val="28"/>
          <w:szCs w:val="28"/>
        </w:rPr>
        <w:t xml:space="preserve">Informacja na temat spełniania zobowiązań w ramach mechanizmu </w:t>
      </w:r>
      <w:r w:rsidR="002670EA">
        <w:rPr>
          <w:rFonts w:ascii="Times New Roman" w:hAnsi="Times New Roman" w:cs="Times New Roman"/>
          <w:b/>
          <w:sz w:val="28"/>
          <w:szCs w:val="28"/>
        </w:rPr>
        <w:t>„</w:t>
      </w:r>
      <w:r w:rsidRPr="00994479">
        <w:rPr>
          <w:rFonts w:ascii="Times New Roman" w:hAnsi="Times New Roman" w:cs="Times New Roman"/>
          <w:b/>
          <w:sz w:val="28"/>
          <w:szCs w:val="28"/>
        </w:rPr>
        <w:t>Pomoc w formie refundacji kosztów zakupu jałówek hodowlanych ras mlecznych</w:t>
      </w:r>
      <w:r w:rsidR="002670EA">
        <w:rPr>
          <w:rFonts w:ascii="Times New Roman" w:hAnsi="Times New Roman" w:cs="Times New Roman"/>
          <w:b/>
          <w:sz w:val="28"/>
          <w:szCs w:val="28"/>
        </w:rPr>
        <w:t>”</w:t>
      </w:r>
    </w:p>
    <w:p w14:paraId="61141594" w14:textId="77777777" w:rsidR="00994479" w:rsidRPr="00C54919" w:rsidRDefault="00BC68D4" w:rsidP="00BE7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919">
        <w:rPr>
          <w:rFonts w:ascii="Times New Roman" w:hAnsi="Times New Roman" w:cs="Times New Roman"/>
          <w:b/>
          <w:sz w:val="24"/>
          <w:szCs w:val="24"/>
        </w:rPr>
        <w:t>Producent mleka</w:t>
      </w:r>
      <w:r w:rsidR="00BE7903" w:rsidRPr="00C54919">
        <w:rPr>
          <w:rFonts w:ascii="Times New Roman" w:hAnsi="Times New Roman" w:cs="Times New Roman"/>
          <w:b/>
          <w:sz w:val="24"/>
          <w:szCs w:val="24"/>
        </w:rPr>
        <w:t>, który otrzymał pomoc w formie refundacji kosztów zakupu jałówek hodowlanych ras mlecznych</w:t>
      </w:r>
      <w:r w:rsidRPr="00C54919">
        <w:rPr>
          <w:rFonts w:ascii="Times New Roman" w:hAnsi="Times New Roman" w:cs="Times New Roman"/>
          <w:b/>
          <w:sz w:val="24"/>
          <w:szCs w:val="24"/>
        </w:rPr>
        <w:t xml:space="preserve"> zobowiązany</w:t>
      </w:r>
      <w:r w:rsidR="00BE7903" w:rsidRPr="00C54919">
        <w:rPr>
          <w:rFonts w:ascii="Times New Roman" w:hAnsi="Times New Roman" w:cs="Times New Roman"/>
          <w:b/>
          <w:sz w:val="24"/>
          <w:szCs w:val="24"/>
        </w:rPr>
        <w:t xml:space="preserve"> jest</w:t>
      </w:r>
      <w:r w:rsidRPr="00C54919">
        <w:rPr>
          <w:rFonts w:ascii="Times New Roman" w:hAnsi="Times New Roman" w:cs="Times New Roman"/>
          <w:b/>
          <w:sz w:val="24"/>
          <w:szCs w:val="24"/>
        </w:rPr>
        <w:t xml:space="preserve"> do utrzymywania jałówek hodowlanych ras mlecznych, do których udzielono pomocy; nie krócej niż do dnia 31 lipca 2020 r.</w:t>
      </w:r>
    </w:p>
    <w:p w14:paraId="5A8CBAD0" w14:textId="77777777" w:rsidR="00994479" w:rsidRPr="00982C84" w:rsidRDefault="00994479" w:rsidP="009F408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Weryfikacja zobowiązań</w:t>
      </w:r>
    </w:p>
    <w:p w14:paraId="63E7948D" w14:textId="77777777" w:rsidR="00C54919" w:rsidRPr="009F408E" w:rsidRDefault="00994479" w:rsidP="009F408E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ARiMR przeprowadzać będzie kontrole administracyjne oraz kontrole na miejscu </w:t>
      </w:r>
      <w:r w:rsidR="005E1406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u producenta mleka w celu potwierdzenia spełnienia warunków niezbędnych do udzielenia pomocy</w:t>
      </w:r>
      <w:r w:rsidRPr="009F4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zakresie wywiązania się producenta z zobowiązań</w:t>
      </w:r>
    </w:p>
    <w:p w14:paraId="463AE101" w14:textId="6DA47982" w:rsidR="00C54919" w:rsidRPr="00982C84" w:rsidRDefault="00C54919" w:rsidP="009F408E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7403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</w:t>
      </w:r>
      <w:r w:rsidR="002670EA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lekarz weterynarii stwierdził niepłodność jałówki hodowlanej</w:t>
      </w:r>
      <w:r w:rsidR="009A3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rasy mlecznej</w:t>
      </w:r>
      <w:r w:rsidR="00CC6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670EA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mającej nie mniej niż 24 miesiące, do której udzielono pomocy producent mleka może sprzedać tę jałówkę, przy czym w celu spełnienia zobowiązań, jest on obowiązany do zakupu nowej jałówki hodowlanej</w:t>
      </w:r>
      <w:r w:rsidR="009A3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rasy mlecznej</w:t>
      </w:r>
      <w:r w:rsidR="002670EA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60 dni od dnia sprzedaży jałówki</w:t>
      </w:r>
      <w:r w:rsidR="00CC6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hodowlanej rasy mlecznej</w:t>
      </w:r>
      <w:r w:rsidR="002670EA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 której stwierdzono niepłodność. </w:t>
      </w:r>
    </w:p>
    <w:p w14:paraId="5BD6BFE6" w14:textId="1A0D7941" w:rsidR="00475136" w:rsidRPr="00982C84" w:rsidRDefault="00B84FAA" w:rsidP="00D94AAB">
      <w:pPr>
        <w:pStyle w:val="Akapitzlist"/>
        <w:numPr>
          <w:ilvl w:val="1"/>
          <w:numId w:val="1"/>
        </w:numPr>
        <w:tabs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A66D15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</w:t>
      </w:r>
      <w:r w:rsidR="00A66D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 </w:t>
      </w:r>
      <w:r w:rsidR="00A66D15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</w:t>
      </w:r>
      <w:r w:rsidR="00A66D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A66D15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mowa w pkt 1.</w:t>
      </w:r>
      <w:r w:rsidR="00475136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producent mleka jest obowiązany </w:t>
      </w:r>
      <w:r w:rsidR="005E1406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0F459B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przechowywania do dnia </w:t>
      </w:r>
      <w:r w:rsidRPr="00982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31 grudnia 2021 r., </w:t>
      </w:r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kopii</w:t>
      </w:r>
      <w:r w:rsidR="00C54919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5136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zaświadczenia lekarza weterynarii stwierdzającego niepłodność jałówki hodowlanej</w:t>
      </w:r>
      <w:r w:rsidR="009A3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rasy mlecznej</w:t>
      </w:r>
      <w:r w:rsidR="00475136"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</w:t>
      </w:r>
    </w:p>
    <w:p w14:paraId="588CC0E8" w14:textId="1F511A12" w:rsidR="00FF1707" w:rsidRPr="00982C84" w:rsidRDefault="00FF1707" w:rsidP="00CC66FD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D85B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40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po wypłacie pomocy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przeniesienie posiadania gospodarstwa producenta mleka, </w:t>
      </w:r>
      <w:r w:rsidR="00D85BC8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</w:t>
      </w:r>
      <w:r w:rsidR="00D85BC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 się za spełnione, jeżeli następca prawny tego producenta złoży oświadczenie</w:t>
      </w:r>
      <w:r w:rsidR="005E1406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lub elektronicznej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którym zobowiąże się do </w:t>
      </w:r>
      <w:r w:rsidR="00A66D15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="00A66D15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spełnienia</w:t>
      </w:r>
      <w:r w:rsidR="00D85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będzie je realizował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D162C4" w14:textId="77777777" w:rsidR="00FF1707" w:rsidRPr="00982C84" w:rsidRDefault="00FF1707" w:rsidP="009F408E">
      <w:pPr>
        <w:numPr>
          <w:ilvl w:val="1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DB7614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następcy prawnego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pkt 1.</w:t>
      </w:r>
      <w:r w:rsidR="003B360D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złożyć:</w:t>
      </w:r>
    </w:p>
    <w:p w14:paraId="3DC6D4EA" w14:textId="77777777" w:rsidR="00FF1707" w:rsidRPr="00982C84" w:rsidRDefault="00FF1707" w:rsidP="00C50043">
      <w:pPr>
        <w:numPr>
          <w:ilvl w:val="0"/>
          <w:numId w:val="10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formularzu opracowanym przez Agencję i udostępnionym na stronie internetowej administrowanej przez ARiMR (</w:t>
      </w:r>
      <w:hyperlink r:id="rId5" w:history="1">
        <w:r w:rsidRPr="00982C84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www.arimr.gov.pl</w:t>
        </w:r>
      </w:hyperlink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14:paraId="0FE2FB70" w14:textId="77777777" w:rsidR="00FF1707" w:rsidRPr="00982C84" w:rsidRDefault="00FF1707" w:rsidP="00C50043">
      <w:pPr>
        <w:numPr>
          <w:ilvl w:val="0"/>
          <w:numId w:val="10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daty przeniesienia posiadania gospodarstwa producenta mleka</w:t>
      </w:r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1D4B6C8" w14:textId="77777777" w:rsidR="00FF1707" w:rsidRPr="00982C84" w:rsidRDefault="00FF1707" w:rsidP="00C50043">
      <w:pPr>
        <w:numPr>
          <w:ilvl w:val="0"/>
          <w:numId w:val="10"/>
        </w:numPr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Dyrektora OR ARiMR właściwego ze względu na miejsce zamieszkania albo siedzibę producenta mleka.  </w:t>
      </w:r>
    </w:p>
    <w:p w14:paraId="2874C7E3" w14:textId="77777777" w:rsidR="00475136" w:rsidRPr="00982C84" w:rsidRDefault="00475136" w:rsidP="00C50043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50FE8" w14:textId="17E60103" w:rsidR="00475136" w:rsidRPr="00982C84" w:rsidRDefault="00475136" w:rsidP="00807EC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Zwrot przyznanej kwoty pomocy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DFF2D9" w14:textId="656A8EDC" w:rsidR="00475136" w:rsidRPr="00E3229D" w:rsidRDefault="00475136" w:rsidP="00E3229D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niespełnienia przez producenta </w:t>
      </w:r>
      <w:r w:rsidR="00652936" w:rsidRPr="00D94AAB">
        <w:rPr>
          <w:rFonts w:ascii="Times New Roman" w:eastAsia="Times New Roman" w:hAnsi="Times New Roman" w:cs="Times New Roman"/>
          <w:sz w:val="24"/>
          <w:szCs w:val="24"/>
          <w:lang w:eastAsia="pl-PL"/>
        </w:rPr>
        <w:t>mleka</w:t>
      </w:r>
      <w:r w:rsidRPr="00D9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zobowiązania, dotyczącego</w:t>
      </w:r>
      <w:r w:rsidR="00982C84" w:rsidRPr="00D9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utrzymywania przez wymagany okres </w:t>
      </w:r>
      <w:r w:rsidR="00740333">
        <w:rPr>
          <w:rFonts w:ascii="Times New Roman" w:eastAsia="Times New Roman" w:hAnsi="Times New Roman" w:cs="Times New Roman"/>
          <w:sz w:val="24"/>
          <w:szCs w:val="24"/>
          <w:lang w:eastAsia="pl-PL"/>
        </w:rPr>
        <w:t>jałówek hodowlanych ras mlecznych</w:t>
      </w:r>
      <w:r w:rsidR="0075405A" w:rsidRPr="00D9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których udzielono pomocy </w:t>
      </w:r>
      <w:r w:rsidRPr="00D94AAB">
        <w:rPr>
          <w:rFonts w:ascii="Times New Roman" w:eastAsia="Times New Roman" w:hAnsi="Times New Roman" w:cs="Times New Roman"/>
          <w:sz w:val="24"/>
          <w:szCs w:val="24"/>
          <w:lang w:eastAsia="pl-PL"/>
        </w:rPr>
        <w:t>zwrotowi podlega 2,8 % kwoty pomocy wypłaconej do zakupionej jałówki</w:t>
      </w:r>
      <w:r w:rsidR="006E7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hodowlanej rasy mlecznej</w:t>
      </w:r>
      <w:r w:rsidRPr="00E32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rozpoczęty miesiąc niespełniania tego zobowiązania, za każdą jałówkę</w:t>
      </w:r>
      <w:r w:rsidR="00CC66FD" w:rsidRPr="00E32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hodowlaną rasy mlecznej</w:t>
      </w:r>
      <w:r w:rsidRPr="00E32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odnośnie której zobowiązanie to nie jest spełniane, licząc od dnia </w:t>
      </w:r>
      <w:r w:rsidRPr="00E32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196DBC" w:rsidRPr="00E32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lipca</w:t>
      </w:r>
      <w:r w:rsidRPr="00E32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2017 r.,</w:t>
      </w:r>
      <w:r w:rsidRPr="00E32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więcej jednak niż 100% uzyskanej pomocy</w:t>
      </w:r>
      <w:r w:rsidR="00982C84" w:rsidRPr="00E322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74582F" w14:textId="201BE79F" w:rsidR="00A8701E" w:rsidRPr="00982C84" w:rsidRDefault="005E64F7" w:rsidP="00E3229D">
      <w:pPr>
        <w:spacing w:after="0" w:line="276" w:lineRule="auto"/>
        <w:ind w:left="426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  </w:t>
      </w:r>
      <w:r w:rsidR="00C54919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</w:t>
      </w:r>
      <w:r w:rsidR="0031313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 </w:t>
      </w:r>
      <w:r w:rsidR="00C54919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</w:t>
      </w:r>
      <w:r w:rsid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</w:t>
      </w:r>
      <w:r w:rsidR="00982C84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przypadk</w:t>
      </w:r>
      <w:r w:rsidR="00D85BC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</w:t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, o który</w:t>
      </w:r>
      <w:r w:rsidR="00E322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</w:t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mowa w pkt. 1.2, do okresu niespełniania zobowiązań dotyczących utrzymywania </w:t>
      </w:r>
      <w:r w:rsidR="009A352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jał</w:t>
      </w:r>
      <w:r w:rsidR="00E4497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ó</w:t>
      </w:r>
      <w:r w:rsidR="009A352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wek</w:t>
      </w:r>
      <w:r w:rsidR="00CC66F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hodowlanych ras mlecznych</w:t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, nie wlicza się okresu </w:t>
      </w:r>
      <w:r w:rsidR="00F246CC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od </w:t>
      </w:r>
      <w:r w:rsidR="00CC66F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dnia </w:t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sprzedaży</w:t>
      </w:r>
      <w:r w:rsidR="00807EC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takiej</w:t>
      </w:r>
      <w:r w:rsidR="00CC66F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E4497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jałó</w:t>
      </w:r>
      <w:r w:rsidR="009A352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wki</w:t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, do dnia zakupu </w:t>
      </w:r>
      <w:r w:rsidR="00CC66F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nowej</w:t>
      </w:r>
      <w:r w:rsidR="009A352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jałówki</w:t>
      </w:r>
      <w:r w:rsidR="00CC66F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hodowlanej rasy mlecznej</w:t>
      </w:r>
      <w:r w:rsidR="009A352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celu spełnienia </w:t>
      </w:r>
      <w:r w:rsidR="00E87A43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</w:t>
      </w:r>
      <w:r w:rsidR="00E87A4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ego</w:t>
      </w:r>
      <w:r w:rsidR="00E87A43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A8701E" w:rsidRPr="00982C8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zobowiąza</w:t>
      </w:r>
      <w:r w:rsidR="00E87A4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nia</w:t>
      </w:r>
      <w:r w:rsidR="00E322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).</w:t>
      </w:r>
    </w:p>
    <w:p w14:paraId="6367C562" w14:textId="77777777" w:rsidR="00A8701E" w:rsidRPr="00982C84" w:rsidRDefault="00A8701E" w:rsidP="00C50043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C374A" w14:textId="77777777" w:rsidR="00A8701E" w:rsidRPr="00982C84" w:rsidRDefault="008E75EF" w:rsidP="00D94AAB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ona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do zwrotu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określona będzie w </w:t>
      </w:r>
      <w:r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Informacji w sprawie kwoty </w:t>
      </w:r>
      <w:r w:rsidRPr="00043F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do zwrotu pobranych środków finansowych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przekazanej przez </w:t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właściwego </w:t>
      </w:r>
      <w:r w:rsidR="009F40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0E0B">
        <w:rPr>
          <w:rFonts w:ascii="Times New Roman" w:eastAsia="Times New Roman" w:hAnsi="Times New Roman" w:cs="Times New Roman"/>
          <w:sz w:val="24"/>
          <w:szCs w:val="24"/>
          <w:lang w:eastAsia="pl-PL"/>
        </w:rPr>
        <w:t>OR ARiMR</w:t>
      </w:r>
      <w:r w:rsidR="00A8701E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B1E0EF" w14:textId="77777777" w:rsidR="00A8701E" w:rsidRPr="00982C84" w:rsidRDefault="00A8701E" w:rsidP="00D94AAB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ustalona do zwrotu kwota pomocy stanowi 100 % uzyskanej pomocy, Dyrektor właściwego OR ARiMR, w drodze decyzji administracyjnej, stwierdza wygaśnięcie decyzji przyznającej pomoc.</w:t>
      </w:r>
    </w:p>
    <w:p w14:paraId="6D0EFC80" w14:textId="4CF8A6AB" w:rsidR="005959C4" w:rsidRPr="004F37DF" w:rsidRDefault="005959C4" w:rsidP="00D94AAB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DE4858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701E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niespełnienia przez producenta mleka zobowiązania, dotyczącego utrzymywania przez wymagany okres </w:t>
      </w:r>
      <w:r w:rsidR="009A352A">
        <w:rPr>
          <w:rFonts w:ascii="Times New Roman" w:eastAsia="Times New Roman" w:hAnsi="Times New Roman" w:cs="Times New Roman"/>
          <w:sz w:val="24"/>
          <w:szCs w:val="24"/>
          <w:lang w:eastAsia="pl-PL"/>
        </w:rPr>
        <w:t>jałówek hodowlanych ras mlecznych</w:t>
      </w:r>
      <w:r w:rsidR="00A8701E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których udzielono pomocy, pomoc nie podlega zwrotowi w przypadku wystąpienia </w:t>
      </w:r>
      <w:r w:rsidR="009A3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701E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gospodarstwie producenta mleka, przypadków siły wyższej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nadzwyczajnych okoliczności</w:t>
      </w:r>
      <w:r w:rsidR="00A8701E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art. 2 ust. 2 rozporządzenia </w:t>
      </w:r>
      <w:r w:rsidR="00A8701E" w:rsidRPr="00982C84">
        <w:rPr>
          <w:rFonts w:ascii="Times New Roman" w:hAnsi="Times New Roman" w:cs="Times New Roman"/>
          <w:sz w:val="24"/>
          <w:szCs w:val="24"/>
        </w:rPr>
        <w:t>Parlamentu Europejskiego i Rady (UE) nr 1306/2013 z dnia 17 grudnia 2013 r. w sprawie finansowania wspólnej polityki rolnej, zarządzania nią i monitorowania jej</w:t>
      </w:r>
      <w:r w:rsidR="00483B4F">
        <w:rPr>
          <w:rFonts w:ascii="Times New Roman" w:hAnsi="Times New Roman" w:cs="Times New Roman"/>
          <w:sz w:val="24"/>
          <w:szCs w:val="24"/>
        </w:rPr>
        <w:t xml:space="preserve"> (…)</w:t>
      </w:r>
      <w:r w:rsidR="00203D74" w:rsidRPr="00982C84">
        <w:rPr>
          <w:rFonts w:ascii="Times New Roman" w:hAnsi="Times New Roman" w:cs="Times New Roman"/>
          <w:sz w:val="24"/>
          <w:szCs w:val="24"/>
        </w:rPr>
        <w:t>.</w:t>
      </w:r>
      <w:r w:rsidR="009A352A">
        <w:rPr>
          <w:rFonts w:ascii="Times New Roman" w:hAnsi="Times New Roman" w:cs="Times New Roman"/>
          <w:sz w:val="24"/>
          <w:szCs w:val="24"/>
        </w:rPr>
        <w:t xml:space="preserve"> </w:t>
      </w:r>
      <w:r w:rsidRPr="00982C84">
        <w:rPr>
          <w:rFonts w:ascii="Times New Roman" w:hAnsi="Times New Roman" w:cs="Times New Roman"/>
          <w:sz w:val="24"/>
          <w:szCs w:val="24"/>
        </w:rPr>
        <w:t xml:space="preserve">Producent </w:t>
      </w:r>
      <w:r w:rsidR="00B31E48">
        <w:rPr>
          <w:rFonts w:ascii="Times New Roman" w:hAnsi="Times New Roman" w:cs="Times New Roman"/>
          <w:sz w:val="24"/>
          <w:szCs w:val="24"/>
        </w:rPr>
        <w:t>mleka</w:t>
      </w:r>
      <w:r w:rsidRPr="00982C84">
        <w:rPr>
          <w:rFonts w:ascii="Times New Roman" w:hAnsi="Times New Roman" w:cs="Times New Roman"/>
          <w:sz w:val="24"/>
          <w:szCs w:val="24"/>
        </w:rPr>
        <w:t xml:space="preserve"> zobowiązany </w:t>
      </w:r>
      <w:r w:rsidR="00CC66FD">
        <w:rPr>
          <w:rFonts w:ascii="Times New Roman" w:hAnsi="Times New Roman" w:cs="Times New Roman"/>
          <w:sz w:val="24"/>
          <w:szCs w:val="24"/>
        </w:rPr>
        <w:br/>
      </w:r>
      <w:r w:rsidRPr="00982C84">
        <w:rPr>
          <w:rFonts w:ascii="Times New Roman" w:hAnsi="Times New Roman" w:cs="Times New Roman"/>
          <w:sz w:val="24"/>
          <w:szCs w:val="24"/>
        </w:rPr>
        <w:t>jest do udokumentowania wystąpienia „siły wyższej” lub „nadzwyczajnych okoliczności”.</w:t>
      </w:r>
    </w:p>
    <w:p w14:paraId="72F9A5DF" w14:textId="77777777" w:rsidR="005959C4" w:rsidRPr="00982C84" w:rsidRDefault="005959C4" w:rsidP="004F37DF">
      <w:pPr>
        <w:pStyle w:val="Akapitzlist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583B73" w14:textId="3E43E0D7" w:rsidR="00731A2B" w:rsidRPr="002B11CB" w:rsidRDefault="00731A2B" w:rsidP="00731A2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10C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Uznanie określonego zdarzenia za wystąpienie „siły wyższej” lub „nadzwyczajnych okoliczności”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art.2 ust.2 rozporządzenia nr 1306/2013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indywidualnej oceny całokształtu konkretnego stanu faktycznego w świetle </w:t>
      </w:r>
      <w:r w:rsidRPr="00D61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Unii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Europejskiej </w:t>
      </w:r>
      <w:r w:rsidRPr="00D61D1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dotyczącego rolnictwa, w tym orzecznictwa Trybunału Sprawiedliwości.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tym nie każdy przypadek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padnięcia zwierzęcia albo poddania zwierzęcia ubojowi z konieczności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uznany za przejaw działania „siły wyższej”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„nadzwyczajnych okoliczności”. Do beneficjenta należy przedstawienie wszelkich dostępnych dowodów na potwierdzenie wystąpienia „siły wyższej” lub „nadzwyczajnych okoliczności”.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względu na wymóg </w:t>
      </w:r>
      <w:r w:rsidRPr="00D94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indywidualnej oceny całokształtu konkretnego stanu faktycznego w świetle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prawa,</w:t>
      </w:r>
      <w:r w:rsidRPr="003200DE">
        <w:t xml:space="preserve"> </w:t>
      </w:r>
      <w:r w:rsidRPr="003200D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orzecznictwa Trybunału Sprawiedliwości</w:t>
      </w:r>
      <w:r w:rsidRPr="00D94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można przedstawić zamkniętego katalogu dokumentów, które zostaną uznane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wystarczające do stwierdzenia wystąpienie „siły wyższej” lub „nadzwyczajnych okoliczności”.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koniecznych, choć nie wystarczających,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stwierdzenia wystąpienia „siły wyższej” lub „nadzwyczajnych okoliczności” w przypadku </w:t>
      </w:r>
      <w:r w:rsidRPr="00822EA7">
        <w:rPr>
          <w:rFonts w:ascii="Times New Roman" w:eastAsia="Times New Roman" w:hAnsi="Times New Roman" w:cs="Times New Roman"/>
          <w:sz w:val="24"/>
          <w:szCs w:val="24"/>
          <w:lang w:eastAsia="pl-PL"/>
        </w:rPr>
        <w:t>padnięcia zwierzęcia albo poddania zwierzęcia ubojowi z konieczności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22EA7" w:rsidDel="00D61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zaliczyć</w:t>
      </w:r>
      <w:r w:rsidRPr="00114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przykład</w:t>
      </w:r>
      <w:r w:rsidRPr="00114C68">
        <w:rPr>
          <w:rFonts w:ascii="Times New Roman" w:hAnsi="Times New Roman" w:cs="Times New Roman"/>
          <w:sz w:val="24"/>
          <w:szCs w:val="24"/>
        </w:rPr>
        <w:t xml:space="preserve"> dokumenty potwierdzające odbiór z gospodarstwa padłego zwierzęcia, wystawione przez podmiot, który zawarł z Agencją Restrukturyzacji i Modernizacji Rolnictwa umowę </w:t>
      </w:r>
      <w:r>
        <w:rPr>
          <w:rFonts w:ascii="Times New Roman" w:hAnsi="Times New Roman" w:cs="Times New Roman"/>
          <w:sz w:val="24"/>
          <w:szCs w:val="24"/>
        </w:rPr>
        <w:br/>
      </w:r>
      <w:r w:rsidRPr="00114C68">
        <w:rPr>
          <w:rFonts w:ascii="Times New Roman" w:hAnsi="Times New Roman" w:cs="Times New Roman"/>
          <w:sz w:val="24"/>
          <w:szCs w:val="24"/>
        </w:rPr>
        <w:t>na świadczenie usług utylizacyjnych obejmujących zbiór, transport i unieszkodliwienie padłych zwierząt gospodarskich</w:t>
      </w:r>
      <w:r w:rsidR="00804C15">
        <w:rPr>
          <w:rFonts w:ascii="Times New Roman" w:hAnsi="Times New Roman" w:cs="Times New Roman"/>
          <w:sz w:val="24"/>
          <w:szCs w:val="24"/>
        </w:rPr>
        <w:t>,</w:t>
      </w:r>
      <w:r w:rsidRPr="00114C68">
        <w:rPr>
          <w:rFonts w:ascii="Times New Roman" w:hAnsi="Times New Roman" w:cs="Times New Roman"/>
          <w:sz w:val="24"/>
          <w:szCs w:val="24"/>
        </w:rPr>
        <w:t xml:space="preserve"> i zaświadczenie lekarza weterynarii stwierdzające przyczynę poddania zwierzęcia ubojowi z konieczności.</w:t>
      </w:r>
    </w:p>
    <w:p w14:paraId="6E5D4116" w14:textId="625C2734" w:rsidR="005959C4" w:rsidRPr="004F37DF" w:rsidRDefault="005959C4" w:rsidP="004F37D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96EA8C" w14:textId="5C5C2067" w:rsidR="00A8701E" w:rsidRPr="00982C84" w:rsidRDefault="00A8701E" w:rsidP="00887AD0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niespełnienia przez następcę prawnego, o którym mowa w pkt. 1.</w:t>
      </w:r>
      <w:r w:rsidR="00FF1707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zobowiązań zawartych w złożonym przez niego oświadczeniu, do zwrotu pomocy przez następcę prawnego stosuje się odpowiednio zapisy zawarte w pkt 2.1 – 2.</w:t>
      </w:r>
      <w:r w:rsidR="009A352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B0B295" w14:textId="77777777" w:rsidR="00994479" w:rsidRPr="00910B36" w:rsidRDefault="00994479" w:rsidP="004F37DF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BFE109" w14:textId="77777777" w:rsidR="00994479" w:rsidRPr="00982C84" w:rsidRDefault="00994479" w:rsidP="00807EC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informacje</w:t>
      </w:r>
    </w:p>
    <w:p w14:paraId="2728E71E" w14:textId="47EBD640" w:rsidR="00FF1707" w:rsidRPr="00982C84" w:rsidRDefault="00FF1707" w:rsidP="00D94AAB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mleka</w:t>
      </w:r>
      <w:r w:rsidR="005E1406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jego następca prawny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przechowywania wszelkiej dokumentacji związanej z udziałem w mechanizmie „Pomoc w formie refundacji kosztów 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zakupu bydła hodowlanego mięsnego” przez okres 5 lat licząc od roku, w którym wypłacona została pomoc.</w:t>
      </w:r>
    </w:p>
    <w:p w14:paraId="6737435C" w14:textId="77777777" w:rsidR="00FF1707" w:rsidRPr="00982C84" w:rsidRDefault="00FF1707" w:rsidP="00807ECB">
      <w:pPr>
        <w:pStyle w:val="Akapitzlist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mleka</w:t>
      </w:r>
      <w:r w:rsidR="005E1406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jego następca prawny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poddania się wszelkim ko</w:t>
      </w:r>
      <w:r w:rsidR="005E1406"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ntrolom i czynnościom </w:t>
      </w:r>
      <w:r w:rsidRPr="00982C8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sprawdzającym przeprowadzanym przez komórki organizacyjne pionu kontrolnego ARiMR oraz inne upoważnione instytucje, w celu dokonania oceny należytego przestrzegania zasad realizacji mechanizmu „Pomoc w formie refundacji kosztów zakupu bydła hodowlanego” oraz przepisów krajowych i UE.</w:t>
      </w:r>
    </w:p>
    <w:p w14:paraId="4E201BFA" w14:textId="77777777" w:rsidR="00994479" w:rsidRPr="004F37DF" w:rsidRDefault="00994479" w:rsidP="004F37DF">
      <w:p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4479" w:rsidRPr="004F37DF" w:rsidSect="00B84FA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3D7285" w16cid:durableId="1F96B4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6159"/>
    <w:multiLevelType w:val="multilevel"/>
    <w:tmpl w:val="A84A9688"/>
    <w:lvl w:ilvl="0">
      <w:start w:val="1"/>
      <w:numFmt w:val="decimal"/>
      <w:lvlText w:val="%1."/>
      <w:lvlJc w:val="left"/>
      <w:pPr>
        <w:ind w:left="384" w:hanging="360"/>
      </w:pPr>
      <w:rPr>
        <w:rFonts w:ascii="Arial" w:eastAsia="Times New Roman" w:hAnsi="Arial" w:cs="Times New Roman"/>
        <w:b/>
      </w:rPr>
    </w:lvl>
    <w:lvl w:ilvl="1">
      <w:start w:val="1"/>
      <w:numFmt w:val="decimal"/>
      <w:isLgl/>
      <w:lvlText w:val="%1.%2"/>
      <w:lvlJc w:val="left"/>
      <w:pPr>
        <w:ind w:left="38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" w15:restartNumberingAfterBreak="0">
    <w:nsid w:val="06411D01"/>
    <w:multiLevelType w:val="multilevel"/>
    <w:tmpl w:val="10C23A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7"/>
      <w:numFmt w:val="decimal"/>
      <w:lvlText w:val="%1.%2"/>
      <w:lvlJc w:val="left"/>
      <w:pPr>
        <w:ind w:left="11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" w15:restartNumberingAfterBreak="0">
    <w:nsid w:val="1E641DB6"/>
    <w:multiLevelType w:val="hybridMultilevel"/>
    <w:tmpl w:val="F8A6B354"/>
    <w:lvl w:ilvl="0" w:tplc="9AAE96D8">
      <w:start w:val="1"/>
      <w:numFmt w:val="ordinal"/>
      <w:lvlText w:val="1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33501"/>
    <w:multiLevelType w:val="hybridMultilevel"/>
    <w:tmpl w:val="D0BEB1AA"/>
    <w:lvl w:ilvl="0" w:tplc="441674D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2524CC"/>
    <w:multiLevelType w:val="hybridMultilevel"/>
    <w:tmpl w:val="BB565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26B0"/>
    <w:multiLevelType w:val="multilevel"/>
    <w:tmpl w:val="6BC0F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6" w15:restartNumberingAfterBreak="0">
    <w:nsid w:val="69470422"/>
    <w:multiLevelType w:val="multilevel"/>
    <w:tmpl w:val="8774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2E5F74"/>
    <w:multiLevelType w:val="hybridMultilevel"/>
    <w:tmpl w:val="68C26A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482F92"/>
    <w:multiLevelType w:val="multilevel"/>
    <w:tmpl w:val="B9BA93AE"/>
    <w:lvl w:ilvl="0">
      <w:start w:val="1"/>
      <w:numFmt w:val="decimal"/>
      <w:lvlText w:val="%1."/>
      <w:lvlJc w:val="left"/>
      <w:pPr>
        <w:ind w:left="38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38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9" w15:restartNumberingAfterBreak="0">
    <w:nsid w:val="77B94CE0"/>
    <w:multiLevelType w:val="multilevel"/>
    <w:tmpl w:val="26260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0" w15:restartNumberingAfterBreak="0">
    <w:nsid w:val="7D38176A"/>
    <w:multiLevelType w:val="multilevel"/>
    <w:tmpl w:val="F402B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79"/>
    <w:rsid w:val="000675F6"/>
    <w:rsid w:val="000F459B"/>
    <w:rsid w:val="00196DBC"/>
    <w:rsid w:val="001C1E61"/>
    <w:rsid w:val="001D648C"/>
    <w:rsid w:val="00203D74"/>
    <w:rsid w:val="00211B90"/>
    <w:rsid w:val="0025711A"/>
    <w:rsid w:val="002670EA"/>
    <w:rsid w:val="0028383C"/>
    <w:rsid w:val="0031313A"/>
    <w:rsid w:val="00325310"/>
    <w:rsid w:val="00357FA6"/>
    <w:rsid w:val="00365A42"/>
    <w:rsid w:val="003B360D"/>
    <w:rsid w:val="00475136"/>
    <w:rsid w:val="00483B4F"/>
    <w:rsid w:val="004F37DF"/>
    <w:rsid w:val="0054186C"/>
    <w:rsid w:val="005959C4"/>
    <w:rsid w:val="005A6E5B"/>
    <w:rsid w:val="005E1406"/>
    <w:rsid w:val="005E64F7"/>
    <w:rsid w:val="00652936"/>
    <w:rsid w:val="006B6906"/>
    <w:rsid w:val="006E1E10"/>
    <w:rsid w:val="006E6F68"/>
    <w:rsid w:val="006E77FF"/>
    <w:rsid w:val="00731A2B"/>
    <w:rsid w:val="00740333"/>
    <w:rsid w:val="0075405A"/>
    <w:rsid w:val="007864DC"/>
    <w:rsid w:val="00804826"/>
    <w:rsid w:val="00804C15"/>
    <w:rsid w:val="00807ECB"/>
    <w:rsid w:val="00887AD0"/>
    <w:rsid w:val="008E75EF"/>
    <w:rsid w:val="00910B36"/>
    <w:rsid w:val="009221BE"/>
    <w:rsid w:val="00982C84"/>
    <w:rsid w:val="00994479"/>
    <w:rsid w:val="009A352A"/>
    <w:rsid w:val="009E4F21"/>
    <w:rsid w:val="009F408E"/>
    <w:rsid w:val="00A341D8"/>
    <w:rsid w:val="00A66D15"/>
    <w:rsid w:val="00A8701E"/>
    <w:rsid w:val="00B06675"/>
    <w:rsid w:val="00B31E48"/>
    <w:rsid w:val="00B84FAA"/>
    <w:rsid w:val="00B93CAC"/>
    <w:rsid w:val="00BC68D4"/>
    <w:rsid w:val="00BE7903"/>
    <w:rsid w:val="00C50043"/>
    <w:rsid w:val="00C54919"/>
    <w:rsid w:val="00CC66FD"/>
    <w:rsid w:val="00D75810"/>
    <w:rsid w:val="00D85BC8"/>
    <w:rsid w:val="00D94AAB"/>
    <w:rsid w:val="00DB54D9"/>
    <w:rsid w:val="00DB7614"/>
    <w:rsid w:val="00DE4858"/>
    <w:rsid w:val="00E14086"/>
    <w:rsid w:val="00E3229D"/>
    <w:rsid w:val="00E44974"/>
    <w:rsid w:val="00E457E2"/>
    <w:rsid w:val="00E87A43"/>
    <w:rsid w:val="00F246CC"/>
    <w:rsid w:val="00FF06DB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ECFD"/>
  <w15:chartTrackingRefBased/>
  <w15:docId w15:val="{3F059BB3-20E2-4630-B283-FA8EDFBA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4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170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8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://www.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5443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Suchta Radoslaw</dc:creator>
  <cp:keywords/>
  <dc:description/>
  <cp:lastModifiedBy>Chimowicz Damian</cp:lastModifiedBy>
  <cp:revision>2</cp:revision>
  <cp:lastPrinted>2018-11-29T07:35:00Z</cp:lastPrinted>
  <dcterms:created xsi:type="dcterms:W3CDTF">2021-03-09T06:21:00Z</dcterms:created>
  <dcterms:modified xsi:type="dcterms:W3CDTF">2021-03-09T06:21:00Z</dcterms:modified>
</cp:coreProperties>
</file>