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B3232C" w:rsidRPr="00054C92" w:rsidRDefault="00B3232C" w:rsidP="00B3232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="00286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związków wyznaniowych oraz 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B3232C" w:rsidRPr="00054C92" w:rsidRDefault="00B3232C" w:rsidP="00B3232C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2019 r. poz. 1468, z późn. zm.), które nie działają w celu osiągniecia zysku oraz przeznaczają całość dochodu na realizację celów statutowych oraz nie przeznaczają zysku do podziału między swoi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maszynowo/komputerowo, według wzoru stanowiącego załącznik nr 1 do rozporządzenia </w:t>
      </w:r>
      <w:r w:rsidR="002869CE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054C92"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Obowiązkowe jest wypełnienie tabeli z dodatkowymi informacjami dotyczącymi rezultatów realizacji zadania, ze wskazaniem wskaźników rezultatu, sposobu monitorowania oraz źródła danych.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 W kalkulacji przewidywanych kosztów realizacji zadania należy wpisać wszystkie działania, które zaplanowane zostały do realizacji.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B3232C" w:rsidRPr="00054C92" w:rsidRDefault="00B3232C" w:rsidP="00B3232C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B3232C" w:rsidRPr="00054C92" w:rsidRDefault="00B3232C" w:rsidP="00B3232C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 w 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dotacji. W części VI. 3 (Inne informacje) należy wskazać szacunkową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wartość wkładu niefinansowego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podziałem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wkład osobowy i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 rzeczowy.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III.4 Regulaminu i wkładu własnego niefinansowego powod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określoną część zadania innemu podmiotowi, zobowiązany jest do wskazania w harmonogramie (część III.4 oferty) zakresu działania realizowanego przez podmiot niebędący stroną umowy. Jeżeli oferent nie planuje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powierzyć realizacji poszczególnego działania podmiotowi niebędącemu stroną umowy należy wpisać „Nie dotyczy” w rubryce „Zakres działania realizowany przez podmiot niebędący stroną umowy”.</w:t>
      </w:r>
    </w:p>
    <w:p w:rsidR="00B3232C" w:rsidRPr="001D4E36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D4E36" w:rsidRPr="007267F5" w:rsidRDefault="001D4E36" w:rsidP="001D4E36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</w:t>
      </w:r>
      <w:r w:rsidR="005E3435" w:rsidRPr="00054C92">
        <w:rPr>
          <w:rFonts w:ascii="Times New Roman" w:hAnsi="Times New Roman" w:cs="Times New Roman"/>
          <w:b/>
          <w:sz w:val="24"/>
          <w:szCs w:val="24"/>
        </w:rPr>
        <w:t>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należy złożyć w </w:t>
      </w:r>
      <w:r w:rsidRPr="00054C92">
        <w:rPr>
          <w:rFonts w:ascii="Times New Roman" w:hAnsi="Times New Roman" w:cs="Times New Roman"/>
          <w:sz w:val="24"/>
          <w:szCs w:val="24"/>
        </w:rPr>
        <w:t>Biurze Podawczym Ministerstwa Obr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ony Narodowej mieszczącym się w </w:t>
      </w:r>
      <w:r w:rsidR="00BD2A1C"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B749C1" w:rsidRPr="00054C92" w:rsidRDefault="00B749C1" w:rsidP="00B3232C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rozpatrywane są w </w:t>
      </w:r>
      <w:r w:rsidR="00B6634C"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etapach:</w:t>
      </w:r>
    </w:p>
    <w:p w:rsidR="00B3232C" w:rsidRPr="00054C92" w:rsidRDefault="00B3232C" w:rsidP="00B749C1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MON, po zarejestrowaniu oferty i nadaniu jej numeru identyfikacyjnego. Ocena formalna polega </w:t>
      </w:r>
      <w:r w:rsidR="00B749C1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stwierdzeniu, czy oferta nie zawiera uchybień i błędów formalnych.</w:t>
      </w:r>
    </w:p>
    <w:p w:rsidR="00EF7AB9" w:rsidRPr="00054C92" w:rsidRDefault="00B749C1" w:rsidP="00E348F1">
      <w:pPr>
        <w:pStyle w:val="Akapitzlist"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B749C1" w:rsidRPr="00054C92" w:rsidRDefault="00B749C1" w:rsidP="00E348F1">
      <w:pPr>
        <w:pStyle w:val="Akapitzlist"/>
        <w:spacing w:before="120" w:after="12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B749C1" w:rsidRPr="00054C92" w:rsidRDefault="00B749C1" w:rsidP="00E348F1">
      <w:pPr>
        <w:pStyle w:val="Akapitzlist"/>
        <w:numPr>
          <w:ilvl w:val="0"/>
          <w:numId w:val="35"/>
        </w:numPr>
        <w:spacing w:before="120" w:after="12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wykazanych w ogłoszeniu otwartego konkursu ofert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załączników,</w:t>
      </w:r>
    </w:p>
    <w:p w:rsidR="00B749C1" w:rsidRPr="00054C92" w:rsidRDefault="00B749C1" w:rsidP="00E348F1">
      <w:pPr>
        <w:pStyle w:val="Akapitzlist"/>
        <w:numPr>
          <w:ilvl w:val="0"/>
          <w:numId w:val="35"/>
        </w:numPr>
        <w:spacing w:before="120" w:after="12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rak podpisu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/podpisów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ofercie lub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niezgodnie z </w:t>
      </w:r>
      <w:r w:rsidR="004B2E63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reprezentacją wskazaną w 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Rejestrze Sądowym/właściwej ewidencji,</w:t>
      </w:r>
    </w:p>
    <w:p w:rsidR="00EF7AB9" w:rsidRPr="00054C92" w:rsidRDefault="00EF7AB9" w:rsidP="00E348F1">
      <w:pPr>
        <w:pStyle w:val="Akapitzlist"/>
        <w:numPr>
          <w:ilvl w:val="0"/>
          <w:numId w:val="35"/>
        </w:numPr>
        <w:spacing w:before="120" w:after="12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deklaracji o zamiarze odpłatnego lub nieodpłatnego wykonania zadania publicznego (cz. VI.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EF7AB9" w:rsidRPr="00054C92" w:rsidRDefault="00EF7AB9" w:rsidP="00E348F1">
      <w:pPr>
        <w:pStyle w:val="Akapitzlist"/>
        <w:numPr>
          <w:ilvl w:val="0"/>
          <w:numId w:val="35"/>
        </w:numPr>
        <w:spacing w:before="120" w:after="12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wyboru stosownej treści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w cz.</w:t>
      </w:r>
      <w:r w:rsidR="0030565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C93776" w:rsidRPr="00054C92" w:rsidRDefault="00C93776" w:rsidP="00E348F1">
      <w:pPr>
        <w:pStyle w:val="Akapitzlist"/>
        <w:numPr>
          <w:ilvl w:val="0"/>
          <w:numId w:val="35"/>
        </w:numPr>
        <w:spacing w:before="120" w:after="12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omyłki </w:t>
      </w:r>
      <w:r w:rsidR="001D4E36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B6634C" w:rsidRPr="00054C92" w:rsidRDefault="00B6634C" w:rsidP="00B6634C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Wykaz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oferentów, których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uchybienia formalne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wykazem uchybień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054C9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https://www.gov.pl/web/obrona-narodowa/otwarte-konkursy-ofert</w:t>
        </w:r>
      </w:hyperlink>
      <w:r w:rsidR="001D4E3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634C" w:rsidRPr="00054C92" w:rsidRDefault="00E232BF" w:rsidP="00AC084C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w terminie 7 dni od dnia opublikowania wykazu na stronie internetowej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maja prawo do usunięcia stwierdzonych uchybień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(decyduje data wpływu usuniętych braków do kancelarii ogólnej MON, zgodnie z pkt III. 15 regulaminu)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stosownych uzupełnień lub wyjaśnień dotyczących uchybień formalnych we wskazanym terminie powodować będzie odrzucenie oferty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633C2D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ocenie merytorycznej. </w:t>
      </w:r>
    </w:p>
    <w:p w:rsidR="0030565E" w:rsidRDefault="0030565E" w:rsidP="0030565E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gdy O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złożył oferty w liczbie przekraczającej dopuszczalny limit, jest zobowiązany wskazać, któr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ofertę/oferty wycofuje z konkursu.</w:t>
      </w:r>
    </w:p>
    <w:p w:rsidR="00B75F7D" w:rsidRPr="00054C92" w:rsidRDefault="00B75F7D" w:rsidP="00E348F1">
      <w:pPr>
        <w:pStyle w:val="Akapitzlist"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B75F7D" w:rsidRPr="00054C92" w:rsidRDefault="00B75F7D" w:rsidP="00B75F7D">
      <w:pPr>
        <w:pStyle w:val="Akapitzlist"/>
        <w:spacing w:before="120" w:after="0" w:line="276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B3232C" w:rsidRPr="00054C92" w:rsidRDefault="00E348F1" w:rsidP="0088354E">
      <w:pPr>
        <w:pStyle w:val="Akapitzlist"/>
        <w:numPr>
          <w:ilvl w:val="0"/>
          <w:numId w:val="37"/>
        </w:numPr>
        <w:suppressAutoHyphens/>
        <w:autoSpaceDN w:val="0"/>
        <w:spacing w:before="120" w:after="12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określonym w ogłoszeniu otwartego konkursu ofert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34C" w:rsidRPr="00054C92" w:rsidRDefault="00B6634C" w:rsidP="0088354E">
      <w:pPr>
        <w:pStyle w:val="Akapitzlist"/>
        <w:numPr>
          <w:ilvl w:val="0"/>
          <w:numId w:val="37"/>
        </w:numPr>
        <w:suppressAutoHyphens/>
        <w:autoSpaceDN w:val="0"/>
        <w:spacing w:before="120" w:after="12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druku innym niż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ogłoszeniu otwartego konkursu ofert,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E348F1" w:rsidP="0088354E">
      <w:pPr>
        <w:pStyle w:val="Akapitzlist"/>
        <w:numPr>
          <w:ilvl w:val="0"/>
          <w:numId w:val="37"/>
        </w:numPr>
        <w:suppressAutoHyphens/>
        <w:autoSpaceDN w:val="0"/>
        <w:spacing w:before="120" w:after="12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przez podmiot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nieuprawniony,</w:t>
      </w:r>
    </w:p>
    <w:p w:rsidR="00B3232C" w:rsidRPr="00054C92" w:rsidRDefault="0088354E" w:rsidP="0088354E">
      <w:pPr>
        <w:pStyle w:val="Akapitzlist"/>
        <w:numPr>
          <w:ilvl w:val="0"/>
          <w:numId w:val="37"/>
        </w:numPr>
        <w:suppressAutoHyphens/>
        <w:autoSpaceDN w:val="0"/>
        <w:spacing w:before="120" w:after="12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zgodności treści oferty ze 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 w ogłoszeniu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rodzajem 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</w:p>
    <w:p w:rsidR="00B3232C" w:rsidRPr="00054C92" w:rsidRDefault="00B3232C" w:rsidP="0088354E">
      <w:pPr>
        <w:numPr>
          <w:ilvl w:val="0"/>
          <w:numId w:val="36"/>
        </w:numPr>
        <w:suppressAutoHyphens/>
        <w:autoSpaceDN w:val="0"/>
        <w:spacing w:before="120" w:after="12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termin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nie zawiera się w 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przedziale czasowym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podanym w ogło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ofert,</w:t>
      </w:r>
    </w:p>
    <w:p w:rsidR="00B3232C" w:rsidRPr="00054C92" w:rsidRDefault="0088354E" w:rsidP="0088354E">
      <w:pPr>
        <w:numPr>
          <w:ilvl w:val="0"/>
          <w:numId w:val="36"/>
        </w:numPr>
        <w:spacing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obowiązkow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finansowego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podmiotu, 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 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III.4 Regulaminu, w wysokości minimum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B3232C" w:rsidRPr="00054C92" w:rsidRDefault="0088354E" w:rsidP="0088354E">
      <w:pPr>
        <w:numPr>
          <w:ilvl w:val="0"/>
          <w:numId w:val="36"/>
        </w:numPr>
        <w:spacing w:after="12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własnego niefinansowego (osobowego i rzeczowego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), w wysokości minim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30565E" w:rsidRPr="00054C92" w:rsidRDefault="00E348F1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88354E" w:rsidRPr="00054C92" w:rsidRDefault="0030565E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D4E36"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054C92">
        <w:rPr>
          <w:rFonts w:ascii="Times New Roman" w:hAnsi="Times New Roman" w:cs="Times New Roman"/>
          <w:sz w:val="24"/>
          <w:szCs w:val="24"/>
        </w:rPr>
        <w:t xml:space="preserve">ds. </w:t>
      </w:r>
      <w:r w:rsidRPr="00054C92">
        <w:rPr>
          <w:rFonts w:ascii="Times New Roman" w:hAnsi="Times New Roman" w:cs="Times New Roman"/>
          <w:sz w:val="24"/>
          <w:szCs w:val="24"/>
        </w:rPr>
        <w:t>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przewidywane efekty realizacji zadania;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adekwatność proponowanych stawek jednostkowych w odniesieniu do celów, rezultatów i zakresu rzeczowego zadania, które obejmuje oferta;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Komisji jest wybranie najlepszych ofert. Posiedzenia Komisji odbywają się w siedzibie Ministerstwa Obrony Narodowej. 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0B6D37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0B6D37" w:rsidRPr="00054C92" w:rsidRDefault="00B3232C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 na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których przyznane zostały środki z dotacji oraz ich wysokość, ogłaszane są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w Biuletynie Informacji Publicznej Ministerstwa Obrony Narodowej, link: </w:t>
      </w:r>
      <w:hyperlink r:id="rId9" w:history="1">
        <w:r w:rsidR="000B6D37" w:rsidRPr="00054C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B6D37" w:rsidRPr="00054C92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0B6D37" w:rsidRPr="00054C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:rsidR="000B6D37" w:rsidRPr="00054C92" w:rsidRDefault="000B6D37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DEKiD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B3232C" w:rsidRPr="00054C92" w:rsidRDefault="00B3232C" w:rsidP="00B3232C">
      <w:pPr>
        <w:pStyle w:val="Akapitzlist"/>
        <w:numPr>
          <w:ilvl w:val="3"/>
          <w:numId w:val="5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B3232C" w:rsidRPr="00054C92" w:rsidRDefault="00B3232C" w:rsidP="00B3232C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szczególnie uzasadnionych przypadkach, na wniosek oferenta projekt umowy może zostać przesłany do oferenta drogą elektroniczną; oferent jest wówczas zobowiązany do jego uzupełnienia, w szczególności do podania i udokumentowania aktualnych danych osób reprezentujących go i podpisujących umowę; oferent, który otrzymał projekt umowy drogą elektroniczną, zobowiązany jest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jego treścią, wydrukowania umowy, podpisania, dołączenia wymaganych załączników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niezwłocznego odesłania do Departamentu Eduk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acji, Kultury 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Dziedzictwa MON;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w stosunku do oferenta toczy się postępowanie administracyjne w sprawie określenia wysokości dotacji przypadającej do zwrotu do budżetu państwa,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1429, z późn. zm.), z zastrzeżeniem wynikającym z art. 5 ust 2 ww. ustawy.</w:t>
      </w:r>
    </w:p>
    <w:p w:rsidR="00B3232C" w:rsidRPr="00054C92" w:rsidRDefault="00B3232C" w:rsidP="00B3232C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III.4.1-3 i w części. III.5 niniejszego Regulaminu, bez konieczności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B3232C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2869CE" w:rsidRDefault="002869CE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</w:t>
      </w:r>
      <w:r w:rsidR="00273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godnie z </w:t>
      </w:r>
      <w:r w:rsidR="00854D41"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B3232C" w:rsidRPr="00054C92" w:rsidRDefault="00B3232C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Realizując zadanie publiczne zaleca się zachowanie szczególnej staranności w przestrzeganiu postanowień umownych i niniejszego Regulaminu, gdyż naruszenie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dyscypliny finansów publicznych popełnione może być poprzez różne zachowania, niezgodne z zakazami albo nakazami, wynikającymi z różnych przepisów dotyczących gospodarki finansowej.</w:t>
      </w:r>
      <w:r w:rsidR="00273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B3232C" w:rsidRPr="00054C92" w:rsidRDefault="00B3232C" w:rsidP="00B3232C">
      <w:pPr>
        <w:pStyle w:val="Akapitzlist"/>
        <w:numPr>
          <w:ilvl w:val="0"/>
          <w:numId w:val="3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 korzystającego ze strzelnicy o zapoznaniu się z regulaminem strzelnicy i przepisami bezpieczeństwa, potwierdzone własnoręcznym podpisem.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B3232C" w:rsidRPr="00054C92" w:rsidRDefault="00B3232C" w:rsidP="00B3232C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B3232C" w:rsidRPr="00054C92" w:rsidRDefault="00B3232C" w:rsidP="00B3232C">
      <w:pPr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 w:rsidR="00286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sięgowych spełniających warunki</w:t>
      </w:r>
      <w:r w:rsidR="002731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 r. poz. 351)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 w:rsidR="00B04E2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2018 r. poz. 2174, z późn. zm.),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2019 r. poz. 865, z późn. zm.),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869,) w sposób umożliwiający identyfikację poszczególnych operacji księgowych;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chyba, że umowa zezwala na wykonanie określonej części zadania przez taki podmiot; intencja powierzenia realizacji części zadania innemu podmiotowi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(podmiotom) musi wynikać z oferty, co też stanowić będzie podstawę do udzielenia stosownego zezwolenia na wykonanie określonej części zadania przez 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 w:rsidR="00BD2A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 w:rsid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B3232C" w:rsidRPr="00054C92" w:rsidRDefault="00B3232C" w:rsidP="00B3232C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rozliczenie wkładu osobowego (praca wolontariuszy, praca społeczna członków zleceniobiorcy) winno być udokumentowane w następujący sposób: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późn. zm.), tj.: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B3232C" w:rsidRPr="00054C92" w:rsidRDefault="00B3232C" w:rsidP="00B3232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nabycia towarów lub usług poza granicami Rzeczypospolitej Polskiej, zleceniobiorca jest zobowiązany do udokumentowania poniesionych wydatków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oparciu o dokumenty księgowe wydawane na zasadach obowiązujących w danym państwie;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 ofercie rezultatów, działań oraz prawidłowości poniesionych kosztów.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 treści sprawozdania.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realizacji zadań publicznych związanych z wykorzystaniem broni i amunicji zleceniobiorca jest zobowiązany do przedstawienia na żądanie zleceniodawcy: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organizacyjnej MON właściwej do prowadzenia monitoringu i ewaluacji efektywności działalności proobronnej.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B3232C" w:rsidRPr="00054C92" w:rsidRDefault="00B3232C" w:rsidP="00B3232C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 miejscu do przedłożenia do wglądu oryginałów faktur i innych dowodów księgowych dotyczących wydatków poniesionych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potwierdzenie podjętych działań w trakcie realizacji zadania.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BD2A1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 w:rsidR="002869CE"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 w:rsidR="00BD2A1C"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(ogólnego rozporządzenia o ochronie danych (Dz. Urz. UE L 119 z 04.05.2016 r., str. 1), zwanym dalej RODO.</w:t>
      </w:r>
    </w:p>
    <w:p w:rsidR="00B3232C" w:rsidRPr="00054C92" w:rsidRDefault="00B3232C" w:rsidP="00B3232C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 w:rsidR="00BD2A1C"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sectPr w:rsidR="00B3232C" w:rsidRPr="00054C92" w:rsidSect="002869CE">
      <w:headerReference w:type="default" r:id="rId11"/>
      <w:footerReference w:type="even" r:id="rId12"/>
      <w:footerReference w:type="default" r:id="rId13"/>
      <w:pgSz w:w="11906" w:h="16838"/>
      <w:pgMar w:top="1304" w:right="85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030" w:rsidRDefault="007D3030">
      <w:pPr>
        <w:spacing w:after="0" w:line="240" w:lineRule="auto"/>
      </w:pPr>
      <w:r>
        <w:separator/>
      </w:r>
    </w:p>
  </w:endnote>
  <w:endnote w:type="continuationSeparator" w:id="0">
    <w:p w:rsidR="007D3030" w:rsidRDefault="007D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8E10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E10E7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4E4BC1" w:rsidRDefault="008E10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030" w:rsidRDefault="007D3030">
      <w:pPr>
        <w:spacing w:after="0" w:line="240" w:lineRule="auto"/>
      </w:pPr>
      <w:r>
        <w:separator/>
      </w:r>
    </w:p>
  </w:footnote>
  <w:footnote w:type="continuationSeparator" w:id="0">
    <w:p w:rsidR="007D3030" w:rsidRDefault="007D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CE" w:rsidRDefault="002869CE" w:rsidP="002869CE">
    <w:pPr>
      <w:pStyle w:val="Nagwek"/>
      <w:jc w:val="right"/>
    </w:pPr>
    <w:r>
      <w:t>Załącznik Nr 1 do ogłoszenia otwartego konkursu ofert Nr ew. 13/2020/WD/DEKiD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95C2632"/>
    <w:multiLevelType w:val="hybridMultilevel"/>
    <w:tmpl w:val="F8E4E59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79D7"/>
    <w:multiLevelType w:val="hybridMultilevel"/>
    <w:tmpl w:val="0024A480"/>
    <w:lvl w:ilvl="0" w:tplc="6AF4A31C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823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4683E"/>
    <w:multiLevelType w:val="multilevel"/>
    <w:tmpl w:val="337C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AD78E5"/>
    <w:multiLevelType w:val="hybridMultilevel"/>
    <w:tmpl w:val="427E70A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9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7"/>
  </w:num>
  <w:num w:numId="5">
    <w:abstractNumId w:val="11"/>
  </w:num>
  <w:num w:numId="6">
    <w:abstractNumId w:val="36"/>
  </w:num>
  <w:num w:numId="7">
    <w:abstractNumId w:val="19"/>
  </w:num>
  <w:num w:numId="8">
    <w:abstractNumId w:val="33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37"/>
  </w:num>
  <w:num w:numId="14">
    <w:abstractNumId w:val="14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30"/>
  </w:num>
  <w:num w:numId="21">
    <w:abstractNumId w:val="9"/>
  </w:num>
  <w:num w:numId="22">
    <w:abstractNumId w:val="34"/>
  </w:num>
  <w:num w:numId="23">
    <w:abstractNumId w:val="35"/>
  </w:num>
  <w:num w:numId="24">
    <w:abstractNumId w:val="12"/>
  </w:num>
  <w:num w:numId="25">
    <w:abstractNumId w:val="8"/>
  </w:num>
  <w:num w:numId="26">
    <w:abstractNumId w:val="31"/>
  </w:num>
  <w:num w:numId="27">
    <w:abstractNumId w:val="2"/>
  </w:num>
  <w:num w:numId="28">
    <w:abstractNumId w:val="27"/>
  </w:num>
  <w:num w:numId="29">
    <w:abstractNumId w:val="1"/>
  </w:num>
  <w:num w:numId="30">
    <w:abstractNumId w:val="29"/>
  </w:num>
  <w:num w:numId="31">
    <w:abstractNumId w:val="25"/>
  </w:num>
  <w:num w:numId="32">
    <w:abstractNumId w:val="16"/>
  </w:num>
  <w:num w:numId="33">
    <w:abstractNumId w:val="32"/>
  </w:num>
  <w:num w:numId="34">
    <w:abstractNumId w:val="23"/>
  </w:num>
  <w:num w:numId="35">
    <w:abstractNumId w:val="20"/>
  </w:num>
  <w:num w:numId="36">
    <w:abstractNumId w:val="21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C"/>
    <w:rsid w:val="00054C92"/>
    <w:rsid w:val="00063F9B"/>
    <w:rsid w:val="000B6D37"/>
    <w:rsid w:val="00155C7F"/>
    <w:rsid w:val="001D4E36"/>
    <w:rsid w:val="00273190"/>
    <w:rsid w:val="002869CE"/>
    <w:rsid w:val="0030565E"/>
    <w:rsid w:val="004B2E63"/>
    <w:rsid w:val="00555F04"/>
    <w:rsid w:val="005E3435"/>
    <w:rsid w:val="00633C2D"/>
    <w:rsid w:val="007D3030"/>
    <w:rsid w:val="00854D41"/>
    <w:rsid w:val="0088354E"/>
    <w:rsid w:val="008E10E7"/>
    <w:rsid w:val="00995AB8"/>
    <w:rsid w:val="00AC084C"/>
    <w:rsid w:val="00B04E24"/>
    <w:rsid w:val="00B3232C"/>
    <w:rsid w:val="00B6634C"/>
    <w:rsid w:val="00B749C1"/>
    <w:rsid w:val="00B75F7D"/>
    <w:rsid w:val="00BD2A1C"/>
    <w:rsid w:val="00C8764B"/>
    <w:rsid w:val="00C93776"/>
    <w:rsid w:val="00DF1565"/>
    <w:rsid w:val="00E14C70"/>
    <w:rsid w:val="00E232BF"/>
    <w:rsid w:val="00E27770"/>
    <w:rsid w:val="00E348F1"/>
    <w:rsid w:val="00E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17E5-E230-47C1-9665-FE15B28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2C"/>
  </w:style>
  <w:style w:type="character" w:styleId="Numerstrony">
    <w:name w:val="page number"/>
    <w:basedOn w:val="Domylnaczcionkaakapitu"/>
    <w:semiHidden/>
    <w:rsid w:val="00B3232C"/>
  </w:style>
  <w:style w:type="paragraph" w:styleId="Akapitzlist">
    <w:name w:val="List Paragraph"/>
    <w:basedOn w:val="Normalny"/>
    <w:uiPriority w:val="34"/>
    <w:qFormat/>
    <w:rsid w:val="00B323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3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2C"/>
  </w:style>
  <w:style w:type="paragraph" w:styleId="Tekstdymka">
    <w:name w:val="Balloon Text"/>
    <w:basedOn w:val="Normalny"/>
    <w:link w:val="TekstdymkaZnak"/>
    <w:uiPriority w:val="99"/>
    <w:semiHidden/>
    <w:unhideWhenUsed/>
    <w:rsid w:val="00AC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6283</Words>
  <Characters>37700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7</cp:revision>
  <cp:lastPrinted>2020-09-07T10:33:00Z</cp:lastPrinted>
  <dcterms:created xsi:type="dcterms:W3CDTF">2020-09-04T11:16:00Z</dcterms:created>
  <dcterms:modified xsi:type="dcterms:W3CDTF">2020-09-10T13:57:00Z</dcterms:modified>
</cp:coreProperties>
</file>