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10287" w14:textId="6D059E6A" w:rsidR="00E456E6" w:rsidRPr="00E456E6" w:rsidRDefault="00E456E6" w:rsidP="00E456E6">
      <w:pPr>
        <w:pStyle w:val="Akapitzlist"/>
        <w:spacing w:before="100" w:beforeAutospacing="1" w:after="100" w:afterAutospacing="1" w:line="360" w:lineRule="auto"/>
      </w:pPr>
      <w:r w:rsidRPr="00E456E6">
        <w:rPr>
          <w:b/>
          <w:bCs/>
          <w:sz w:val="26"/>
          <w:szCs w:val="26"/>
        </w:rPr>
        <w:t xml:space="preserve">Proponowane warunki </w:t>
      </w:r>
      <w:r w:rsidR="00B86FBD">
        <w:rPr>
          <w:b/>
          <w:bCs/>
          <w:sz w:val="26"/>
          <w:szCs w:val="26"/>
        </w:rPr>
        <w:t xml:space="preserve">IV </w:t>
      </w:r>
      <w:r w:rsidRPr="00E456E6">
        <w:rPr>
          <w:b/>
          <w:bCs/>
          <w:sz w:val="26"/>
          <w:szCs w:val="26"/>
        </w:rPr>
        <w:t>naboru w ramach Inwestycji C1.1.1 KPO</w:t>
      </w:r>
    </w:p>
    <w:p w14:paraId="072D4896" w14:textId="354B68D2" w:rsidR="00A41D0B" w:rsidRPr="00B82C82" w:rsidRDefault="00A41D0B" w:rsidP="00BB2AF6">
      <w:pPr>
        <w:pStyle w:val="Akapitzlist"/>
        <w:numPr>
          <w:ilvl w:val="0"/>
          <w:numId w:val="8"/>
        </w:numPr>
        <w:spacing w:before="100" w:beforeAutospacing="1" w:after="100" w:afterAutospacing="1" w:line="360" w:lineRule="auto"/>
      </w:pPr>
      <w:r w:rsidRPr="00B82C82">
        <w:t>Brak odgórnie narzucanych obszarów konkursowych i administracyjnych granic projektów.</w:t>
      </w:r>
    </w:p>
    <w:p w14:paraId="4A389BC6" w14:textId="35061597" w:rsidR="00CE4452" w:rsidRDefault="00CE4452" w:rsidP="00BB2AF6">
      <w:pPr>
        <w:pStyle w:val="Akapitzlist"/>
        <w:numPr>
          <w:ilvl w:val="0"/>
          <w:numId w:val="8"/>
        </w:numPr>
        <w:spacing w:before="100" w:beforeAutospacing="1" w:after="100" w:afterAutospacing="1" w:line="360" w:lineRule="auto"/>
      </w:pPr>
      <w:r>
        <w:t xml:space="preserve"> </w:t>
      </w:r>
      <w:r w:rsidR="00330A3C" w:rsidRPr="00D30E6A">
        <w:t>Dowolność wyboru adresów</w:t>
      </w:r>
      <w:r w:rsidR="00330A3C" w:rsidRPr="00330A3C">
        <w:t xml:space="preserve"> – operatorzy pracują na ustalonej</w:t>
      </w:r>
      <w:r w:rsidR="00330A3C">
        <w:t xml:space="preserve"> dla naboru</w:t>
      </w:r>
      <w:r w:rsidR="00330A3C" w:rsidRPr="00330A3C">
        <w:t xml:space="preserve"> liście białych plam, ale samodzielnie wybierają adresy do projektów</w:t>
      </w:r>
      <w:r w:rsidR="00330A3C">
        <w:t>.</w:t>
      </w:r>
    </w:p>
    <w:p w14:paraId="704134A4" w14:textId="14B21DFD" w:rsidR="00BE3C22" w:rsidRPr="00BB2AF6" w:rsidRDefault="00784D8D" w:rsidP="00BB2AF6">
      <w:pPr>
        <w:pStyle w:val="Akapitzlist"/>
        <w:numPr>
          <w:ilvl w:val="0"/>
          <w:numId w:val="8"/>
        </w:numPr>
        <w:spacing w:before="100" w:beforeAutospacing="1" w:after="100" w:afterAutospacing="1" w:line="360" w:lineRule="auto"/>
      </w:pPr>
      <w:r w:rsidRPr="00784D8D">
        <w:t xml:space="preserve">Każdy </w:t>
      </w:r>
      <w:r w:rsidR="00BE3C22">
        <w:t>punkt adresowy</w:t>
      </w:r>
      <w:r w:rsidRPr="00784D8D">
        <w:t xml:space="preserve"> stanowi odrębny obszar konkursowy</w:t>
      </w:r>
      <w:r w:rsidR="00BE3C22">
        <w:t xml:space="preserve"> </w:t>
      </w:r>
      <w:r w:rsidR="00BE3C22" w:rsidRPr="00BB2AF6">
        <w:t>i może być</w:t>
      </w:r>
      <w:r w:rsidR="00BB2AF6">
        <w:t xml:space="preserve"> </w:t>
      </w:r>
      <w:r w:rsidR="00BE3C22" w:rsidRPr="00BB2AF6">
        <w:t>realizowany wyłącznie w ramach jednego przedsięwzięcia. W przypadku, gdy dwóch lub więcej wnioskodawców zadeklaruje do objęcia zasięgiem sieci ten sam punkt lub punkty adresowe, o wyznaczeniu punktu adresowego do realizacji przez danego wnioskodawcę decyduje spełnienie wszystkich kryteriów ocenianych metodą zero-jedynkową oraz liczba punktów przyznana w ramach kryterium „Minimalizacja wkładu publicznego”. Jeśli dwóch lub więcej Wnioskodawców otrzyma jednakową, najwyższą liczbę punktów w ramach kryterium punktowanego, dany punkt adresowy zostanie przypisany wnioskodawcy, który jako pierwszy złożył wniosek w naborze, zgodnie z datą z systemu LSI.</w:t>
      </w:r>
    </w:p>
    <w:p w14:paraId="7A40C717" w14:textId="77777777" w:rsidR="003D7C9D" w:rsidRDefault="00984EB9" w:rsidP="00BB2AF6">
      <w:pPr>
        <w:pStyle w:val="Akapitzlist"/>
        <w:numPr>
          <w:ilvl w:val="0"/>
          <w:numId w:val="8"/>
        </w:numPr>
        <w:spacing w:before="100" w:beforeAutospacing="1" w:after="100" w:afterAutospacing="1" w:line="360" w:lineRule="auto"/>
      </w:pPr>
      <w:r>
        <w:t>Ograniczenia dotyczące projektów</w:t>
      </w:r>
      <w:r w:rsidR="007F7D77">
        <w:t>:</w:t>
      </w:r>
      <w:r w:rsidR="00A41D0B" w:rsidRPr="00B82C82">
        <w:t xml:space="preserve"> </w:t>
      </w:r>
    </w:p>
    <w:p w14:paraId="5A9E8A49" w14:textId="6DFDD200" w:rsidR="003D7C9D" w:rsidRDefault="00A41D0B" w:rsidP="00BB2AF6">
      <w:pPr>
        <w:pStyle w:val="Akapitzlist"/>
        <w:numPr>
          <w:ilvl w:val="0"/>
          <w:numId w:val="4"/>
        </w:numPr>
        <w:spacing w:before="100" w:beforeAutospacing="1" w:after="100" w:afterAutospacing="1" w:line="360" w:lineRule="auto"/>
      </w:pPr>
      <w:r w:rsidRPr="00B82C82">
        <w:t>nie</w:t>
      </w:r>
      <w:r w:rsidR="008D777D" w:rsidRPr="00B82C82">
        <w:t xml:space="preserve"> mniej niż </w:t>
      </w:r>
      <w:r w:rsidR="000E00F9">
        <w:t xml:space="preserve">zadeklarowanych </w:t>
      </w:r>
      <w:r w:rsidR="008D777D" w:rsidRPr="00B82C82">
        <w:t>200 punktów adresowych</w:t>
      </w:r>
      <w:r w:rsidR="009B6A59">
        <w:t xml:space="preserve"> lub wartość projektu</w:t>
      </w:r>
      <w:r w:rsidR="00D30DB2">
        <w:t xml:space="preserve"> </w:t>
      </w:r>
      <w:r w:rsidR="0070490C">
        <w:t>wynosząca</w:t>
      </w:r>
      <w:r w:rsidR="00D30DB2">
        <w:t xml:space="preserve"> minimum</w:t>
      </w:r>
      <w:r w:rsidR="009B6A59">
        <w:t xml:space="preserve"> </w:t>
      </w:r>
      <w:r w:rsidR="008D777D" w:rsidRPr="00B82C82">
        <w:t xml:space="preserve">800 </w:t>
      </w:r>
      <w:r w:rsidR="002013BE" w:rsidRPr="00B82C82">
        <w:t>tys.</w:t>
      </w:r>
      <w:r w:rsidR="008D777D" w:rsidRPr="00B82C82">
        <w:t xml:space="preserve"> zł </w:t>
      </w:r>
    </w:p>
    <w:p w14:paraId="555602CC" w14:textId="7880CBD9" w:rsidR="00A41D0B" w:rsidRDefault="003D7C9D" w:rsidP="00BB2AF6">
      <w:pPr>
        <w:pStyle w:val="Akapitzlist"/>
        <w:numPr>
          <w:ilvl w:val="0"/>
          <w:numId w:val="4"/>
        </w:numPr>
        <w:spacing w:before="100" w:beforeAutospacing="1" w:after="100" w:afterAutospacing="1" w:line="360" w:lineRule="auto"/>
      </w:pPr>
      <w:r>
        <w:t xml:space="preserve">maksymalna wartość projektu: </w:t>
      </w:r>
      <w:r w:rsidR="00A41D0B" w:rsidRPr="00B82C82">
        <w:t>40 mln zł.</w:t>
      </w:r>
    </w:p>
    <w:p w14:paraId="59746C48" w14:textId="0D71159B" w:rsidR="000D789D" w:rsidRDefault="008B4DF2" w:rsidP="00BB2AF6">
      <w:pPr>
        <w:pStyle w:val="Akapitzlist"/>
        <w:numPr>
          <w:ilvl w:val="0"/>
          <w:numId w:val="8"/>
        </w:numPr>
        <w:spacing w:before="100" w:beforeAutospacing="1" w:after="100" w:afterAutospacing="1" w:line="360" w:lineRule="auto"/>
      </w:pPr>
      <w:r w:rsidRPr="00D30E6A">
        <w:t xml:space="preserve">Każdy wnioskodawca może złożyć tylko </w:t>
      </w:r>
      <w:r>
        <w:t>jeden</w:t>
      </w:r>
      <w:r w:rsidRPr="00D30E6A">
        <w:t xml:space="preserve"> wniosek</w:t>
      </w:r>
      <w:r w:rsidRPr="008B4DF2">
        <w:t xml:space="preserve">, jednak możliwe jest </w:t>
      </w:r>
      <w:r w:rsidRPr="00D30E6A">
        <w:t>złożenie drugiego wniosku i realizacja więcej niż 1 pr</w:t>
      </w:r>
      <w:r>
        <w:t>zedsięwzięcia</w:t>
      </w:r>
      <w:r w:rsidRPr="008B4DF2">
        <w:t xml:space="preserve">, pod warunkiem, że </w:t>
      </w:r>
      <w:r w:rsidRPr="00D30E6A">
        <w:t xml:space="preserve">wartość </w:t>
      </w:r>
      <w:r w:rsidR="00802E19">
        <w:t xml:space="preserve">pierwszego składanego wniosku </w:t>
      </w:r>
      <w:r w:rsidRPr="00D30E6A">
        <w:t>wynosi 40 mln zł</w:t>
      </w:r>
      <w:r w:rsidR="00802E19">
        <w:t xml:space="preserve">. </w:t>
      </w:r>
      <w:r w:rsidR="0014598C" w:rsidRPr="0014598C">
        <w:t>Punkty adresowe w obu wnioskach nie mogą się powtarzać.</w:t>
      </w:r>
      <w:r w:rsidR="0014598C" w:rsidRPr="0014598C" w:rsidDel="008B4DF2">
        <w:t xml:space="preserve"> </w:t>
      </w:r>
      <w:r w:rsidR="00744EFD">
        <w:t xml:space="preserve">Wnioskodawca wybierając punkty adresowe, które planuje objąć zasięgiem będzie wskazywał termin ich wykonania. </w:t>
      </w:r>
      <w:r w:rsidR="00A50B9A">
        <w:t xml:space="preserve">W </w:t>
      </w:r>
      <w:r w:rsidR="008C7A2C">
        <w:t>przypadku</w:t>
      </w:r>
      <w:r w:rsidR="006637BE">
        <w:t xml:space="preserve"> przedłużenia realizacji inwestycji KPO możliw</w:t>
      </w:r>
      <w:r w:rsidR="002F0F24">
        <w:t>e</w:t>
      </w:r>
      <w:r w:rsidR="006637BE">
        <w:t xml:space="preserve"> będzie przypisanie punktów do </w:t>
      </w:r>
      <w:r w:rsidR="000D789D">
        <w:t xml:space="preserve">3 kamieni milowych z określonym terminem realizacji: </w:t>
      </w:r>
    </w:p>
    <w:p w14:paraId="0C6825E0" w14:textId="4122FC10" w:rsidR="000D789D" w:rsidRDefault="003E5B62" w:rsidP="00BB2AF6">
      <w:pPr>
        <w:pStyle w:val="Akapitzlist"/>
        <w:numPr>
          <w:ilvl w:val="0"/>
          <w:numId w:val="7"/>
        </w:numPr>
        <w:spacing w:before="100" w:beforeAutospacing="1" w:after="100" w:afterAutospacing="1" w:line="360" w:lineRule="auto"/>
      </w:pPr>
      <w:r>
        <w:t>pi</w:t>
      </w:r>
      <w:r w:rsidR="000D789D">
        <w:t xml:space="preserve">erwszy kamień milowy </w:t>
      </w:r>
      <w:r w:rsidR="001B15DE">
        <w:t xml:space="preserve">(Etap 1) </w:t>
      </w:r>
      <w:r w:rsidR="000D789D">
        <w:t xml:space="preserve">– do 31 sierpnia 2026 r. </w:t>
      </w:r>
      <w:r w:rsidR="004E1A65">
        <w:t>(</w:t>
      </w:r>
      <w:r w:rsidR="000E00F9">
        <w:t xml:space="preserve">deklaracja </w:t>
      </w:r>
      <w:r w:rsidR="004E1A65">
        <w:t xml:space="preserve">min. </w:t>
      </w:r>
      <w:r w:rsidR="003214C6">
        <w:t>200 PA lub wartość projektu 800 tys. zł)</w:t>
      </w:r>
    </w:p>
    <w:p w14:paraId="69268977" w14:textId="52FA3E25" w:rsidR="004C3A4A" w:rsidRPr="00D30E6A" w:rsidRDefault="003E5B62" w:rsidP="00BB2AF6">
      <w:pPr>
        <w:pStyle w:val="Akapitzlist"/>
        <w:numPr>
          <w:ilvl w:val="0"/>
          <w:numId w:val="7"/>
        </w:numPr>
        <w:spacing w:before="100" w:beforeAutospacing="1" w:after="100" w:afterAutospacing="1" w:line="360" w:lineRule="auto"/>
      </w:pPr>
      <w:r>
        <w:t>d</w:t>
      </w:r>
      <w:r w:rsidR="000D789D">
        <w:t>rugi kamień milowy</w:t>
      </w:r>
      <w:r w:rsidR="001B15DE">
        <w:t xml:space="preserve"> (Etap 2) </w:t>
      </w:r>
      <w:r w:rsidR="000D789D">
        <w:t xml:space="preserve">– </w:t>
      </w:r>
      <w:r w:rsidR="004C3A4A" w:rsidRPr="004C3A4A">
        <w:t xml:space="preserve">realizacja po </w:t>
      </w:r>
      <w:r w:rsidR="004C3A4A" w:rsidRPr="00D30E6A">
        <w:t>31 sierpnia 2026 r.</w:t>
      </w:r>
      <w:r w:rsidR="004C3A4A" w:rsidRPr="004C3A4A">
        <w:t xml:space="preserve"> do </w:t>
      </w:r>
      <w:r w:rsidR="004C3A4A" w:rsidRPr="00D30E6A">
        <w:t>31 marca 2027 r.</w:t>
      </w:r>
    </w:p>
    <w:p w14:paraId="34156116" w14:textId="456F5CB4" w:rsidR="004C3A4A" w:rsidRPr="00D30E6A" w:rsidRDefault="003E5B62" w:rsidP="00BB2AF6">
      <w:pPr>
        <w:pStyle w:val="Akapitzlist"/>
        <w:numPr>
          <w:ilvl w:val="0"/>
          <w:numId w:val="7"/>
        </w:numPr>
        <w:spacing w:before="100" w:beforeAutospacing="1" w:after="100" w:afterAutospacing="1" w:line="360" w:lineRule="auto"/>
      </w:pPr>
      <w:r w:rsidRPr="004C3A4A">
        <w:t xml:space="preserve">trzeci kamień milowy </w:t>
      </w:r>
      <w:r w:rsidR="001B15DE">
        <w:t xml:space="preserve">(Etap 3) </w:t>
      </w:r>
      <w:r w:rsidRPr="004C3A4A">
        <w:t xml:space="preserve">– </w:t>
      </w:r>
      <w:r w:rsidR="004C3A4A" w:rsidRPr="004C3A4A">
        <w:t xml:space="preserve">realizacja po </w:t>
      </w:r>
      <w:r w:rsidR="004C3A4A" w:rsidRPr="00D30E6A">
        <w:t>31 marca 2027 r.</w:t>
      </w:r>
      <w:r w:rsidR="004C3A4A" w:rsidRPr="004C3A4A">
        <w:t xml:space="preserve"> do </w:t>
      </w:r>
      <w:r w:rsidR="004C3A4A" w:rsidRPr="00D30E6A">
        <w:t>31 sierpnia 2027 r.</w:t>
      </w:r>
    </w:p>
    <w:p w14:paraId="7FCAF603" w14:textId="5543F286" w:rsidR="00C8127D" w:rsidRDefault="0058228A" w:rsidP="00BB2AF6">
      <w:pPr>
        <w:pStyle w:val="Akapitzlist"/>
        <w:spacing w:before="100" w:beforeAutospacing="1" w:after="100" w:afterAutospacing="1" w:line="360" w:lineRule="auto"/>
      </w:pPr>
      <w:r>
        <w:t xml:space="preserve">Umowa zawierana byłaby na kwotę dot. punktów przyporządkowanych do max. 3 kamieni milowych, przy czym </w:t>
      </w:r>
      <w:r w:rsidR="00404FD1">
        <w:t xml:space="preserve">możliwość </w:t>
      </w:r>
      <w:r w:rsidR="00EB3169">
        <w:t xml:space="preserve">realizacji </w:t>
      </w:r>
      <w:r w:rsidR="00306E76">
        <w:t xml:space="preserve">inwestycji </w:t>
      </w:r>
      <w:r w:rsidR="00CA1C63">
        <w:t xml:space="preserve">po </w:t>
      </w:r>
      <w:r w:rsidR="00B9429F">
        <w:t xml:space="preserve">31 sierpnia 2026 r. </w:t>
      </w:r>
      <w:r w:rsidR="00404FD1">
        <w:lastRenderedPageBreak/>
        <w:t xml:space="preserve">będzie </w:t>
      </w:r>
      <w:r w:rsidR="007262DD">
        <w:t>uzależniona</w:t>
      </w:r>
      <w:r w:rsidR="00404FD1">
        <w:t xml:space="preserve"> od zgody </w:t>
      </w:r>
      <w:r w:rsidR="00A54D4D">
        <w:t>Komisji Europejskiej na</w:t>
      </w:r>
      <w:r w:rsidR="00B54207">
        <w:t xml:space="preserve"> przedłużenie </w:t>
      </w:r>
      <w:r w:rsidR="00A54D4D">
        <w:t xml:space="preserve">terminu realizacji Inwestycji C1.1.1 KPO. </w:t>
      </w:r>
      <w:r w:rsidR="00290267">
        <w:t>Zgoda powinna zostać potwierdzona</w:t>
      </w:r>
      <w:r w:rsidR="00353F3A">
        <w:t xml:space="preserve"> z Komisją Europejską </w:t>
      </w:r>
      <w:r w:rsidR="00290267">
        <w:t xml:space="preserve">nie później niż </w:t>
      </w:r>
      <w:r w:rsidR="00E627B5">
        <w:t>I</w:t>
      </w:r>
      <w:r w:rsidR="002636E3">
        <w:t xml:space="preserve"> kwartał 2026 r. </w:t>
      </w:r>
    </w:p>
    <w:p w14:paraId="26273EE7" w14:textId="616D4B0C" w:rsidR="00676D48" w:rsidRDefault="00F80EE4" w:rsidP="00BB2AF6">
      <w:pPr>
        <w:pStyle w:val="Akapitzlist"/>
        <w:spacing w:before="100" w:beforeAutospacing="1" w:after="100" w:afterAutospacing="1" w:line="360" w:lineRule="auto"/>
      </w:pPr>
      <w:r w:rsidRPr="00D30E6A">
        <w:t>Wnioskodawca może zrealizować punkty</w:t>
      </w:r>
      <w:r w:rsidR="00F442CE">
        <w:t xml:space="preserve"> adresowe</w:t>
      </w:r>
      <w:r w:rsidRPr="00D30E6A">
        <w:t xml:space="preserve"> z II i III kamienia milowego wcześniej, w ramach okresu I kamienia milowego (tj. do 31 sierpnia 2026 r.), bez konieczności uzyskania zgody CPPC.</w:t>
      </w:r>
    </w:p>
    <w:p w14:paraId="37A68164" w14:textId="524660B2" w:rsidR="00676D48" w:rsidRDefault="00984EB9" w:rsidP="00BB2AF6">
      <w:pPr>
        <w:pStyle w:val="Akapitzlist"/>
        <w:numPr>
          <w:ilvl w:val="0"/>
          <w:numId w:val="8"/>
        </w:numPr>
        <w:spacing w:before="100" w:beforeAutospacing="1" w:after="100" w:afterAutospacing="1" w:line="360" w:lineRule="auto"/>
      </w:pPr>
      <w:r>
        <w:t>Dofinansowanie w wysokości 95%</w:t>
      </w:r>
      <w:r w:rsidR="001C3C09">
        <w:t xml:space="preserve"> obejmuje zarówno</w:t>
      </w:r>
      <w:r>
        <w:t xml:space="preserve"> koszt </w:t>
      </w:r>
      <w:r w:rsidR="00124B9A">
        <w:t>objęcia zasięgiem</w:t>
      </w:r>
      <w:r w:rsidR="00077991">
        <w:t>,</w:t>
      </w:r>
      <w:r w:rsidR="00124B9A">
        <w:t xml:space="preserve"> </w:t>
      </w:r>
      <w:r w:rsidR="007C3C56">
        <w:t xml:space="preserve">jak i </w:t>
      </w:r>
      <w:r w:rsidR="0FBD3BD3">
        <w:t>koszt</w:t>
      </w:r>
      <w:r w:rsidR="007C3C56">
        <w:t xml:space="preserve"> </w:t>
      </w:r>
      <w:r w:rsidR="00124B9A">
        <w:t>3-letniego utrzymania sieci</w:t>
      </w:r>
      <w:r>
        <w:t>.</w:t>
      </w:r>
      <w:r w:rsidR="00E45BF6">
        <w:t xml:space="preserve"> </w:t>
      </w:r>
    </w:p>
    <w:p w14:paraId="40C30135" w14:textId="3C2F9E33" w:rsidR="00BB2AF6" w:rsidRDefault="00E92E8B" w:rsidP="00BB2AF6">
      <w:pPr>
        <w:numPr>
          <w:ilvl w:val="0"/>
          <w:numId w:val="8"/>
        </w:numPr>
        <w:spacing w:before="100" w:beforeAutospacing="1" w:after="100" w:afterAutospacing="1" w:line="360" w:lineRule="auto"/>
      </w:pPr>
      <w:r>
        <w:t>W ramach kryterium punktowanego dotyczącego minimalizacji wkładu publicznego ocenie podlega stosunek uśrednionej stawki jednostkowej zaproponowanej przez Wnioskodawcę do uśrednionej stawki referencyjnej dla kraju, określonej w naborze.</w:t>
      </w:r>
      <w:r w:rsidR="00BB2AF6">
        <w:t xml:space="preserve"> </w:t>
      </w:r>
      <w:r>
        <w:t xml:space="preserve">Uśredniona stawka jednostkowa Wnioskodawcy to wartość, na podstawie której wyliczany będzie współczynnik obniżenia wkładu publicznego. Wnioskodawca może zadeklarować stawkę niższą niż uśredniona stawka referencyjna dla kraju, co skutkuje zmniejszeniem kwoty dofinansowania. Obniżenie to może wynosić maksymalnie 10% w stosunku do stawki referencyjnej podanej w naborze i </w:t>
      </w:r>
      <w:r w:rsidRPr="00E92E8B">
        <w:t xml:space="preserve">dotyczy jednakowo </w:t>
      </w:r>
      <w:r w:rsidRPr="00BB2AF6">
        <w:t>wszystkich punkt</w:t>
      </w:r>
      <w:r w:rsidRPr="00BB2AF6">
        <w:rPr>
          <w:rFonts w:hint="eastAsia"/>
        </w:rPr>
        <w:t>ó</w:t>
      </w:r>
      <w:r w:rsidRPr="00BB2AF6">
        <w:t>w adresowych obj</w:t>
      </w:r>
      <w:r w:rsidRPr="00BB2AF6">
        <w:rPr>
          <w:rFonts w:hint="eastAsia"/>
        </w:rPr>
        <w:t>ę</w:t>
      </w:r>
      <w:r w:rsidRPr="00BB2AF6">
        <w:t>tych wnioskiem</w:t>
      </w:r>
      <w:r w:rsidRPr="00E92E8B">
        <w:t xml:space="preserve">. </w:t>
      </w:r>
    </w:p>
    <w:p w14:paraId="6D3203FA" w14:textId="48FC1ED5" w:rsidR="00676D48" w:rsidRDefault="00CD6512" w:rsidP="00BB2AF6">
      <w:pPr>
        <w:pStyle w:val="Akapitzlist"/>
        <w:numPr>
          <w:ilvl w:val="0"/>
          <w:numId w:val="8"/>
        </w:numPr>
        <w:spacing w:before="100" w:beforeAutospacing="1" w:after="100" w:afterAutospacing="1" w:line="360" w:lineRule="auto"/>
      </w:pPr>
      <w:r w:rsidRPr="00B82C82">
        <w:t>Maksymalne uproszczenie wniosków o dofinansowanie i ich oceny – jak najwięcej oświadczeń zgodnych z ustalonym wcześniej wzorem</w:t>
      </w:r>
      <w:r w:rsidR="008136A9">
        <w:t>.</w:t>
      </w:r>
    </w:p>
    <w:p w14:paraId="71ADB011" w14:textId="273F17E4" w:rsidR="00676D48" w:rsidRDefault="00984EB9" w:rsidP="00BB2AF6">
      <w:pPr>
        <w:pStyle w:val="Akapitzlist"/>
        <w:numPr>
          <w:ilvl w:val="0"/>
          <w:numId w:val="8"/>
        </w:numPr>
        <w:spacing w:before="100" w:beforeAutospacing="1" w:after="100" w:afterAutospacing="1" w:line="360" w:lineRule="auto"/>
      </w:pPr>
      <w:r>
        <w:t xml:space="preserve">Dla projektów o </w:t>
      </w:r>
      <w:r w:rsidR="002013BE" w:rsidRPr="00B82C82">
        <w:t>wartości do 3 mln zł</w:t>
      </w:r>
      <w:r w:rsidR="00343688">
        <w:t xml:space="preserve"> proces oceny finansowej jest uproszczony -</w:t>
      </w:r>
      <w:r>
        <w:t xml:space="preserve"> brak analizy płynności finansowej, ale zaliczka </w:t>
      </w:r>
      <w:r w:rsidR="00176794">
        <w:t xml:space="preserve">będzie </w:t>
      </w:r>
      <w:r>
        <w:t xml:space="preserve">wypłacana pod warunkiem przedstawienia </w:t>
      </w:r>
      <w:r w:rsidR="0025111A">
        <w:t xml:space="preserve">gwarancji bankowej lub ubezpieczeniowej na najwyższą wartość </w:t>
      </w:r>
      <w:r w:rsidR="00DE2876">
        <w:t xml:space="preserve">transzy </w:t>
      </w:r>
      <w:r w:rsidR="0025111A">
        <w:t xml:space="preserve">zaliczki. </w:t>
      </w:r>
    </w:p>
    <w:p w14:paraId="07DDA7C3" w14:textId="1F9EFFF7" w:rsidR="00676D48" w:rsidRDefault="004D4C18" w:rsidP="00BB2AF6">
      <w:pPr>
        <w:pStyle w:val="Akapitzlist"/>
        <w:numPr>
          <w:ilvl w:val="0"/>
          <w:numId w:val="8"/>
        </w:numPr>
        <w:spacing w:before="100" w:beforeAutospacing="1" w:after="100" w:afterAutospacing="1" w:line="360" w:lineRule="auto"/>
      </w:pPr>
      <w:r w:rsidRPr="00B82C82">
        <w:t>Dla projektów o wartości powyżej 3 mln zł – obowiązek wykonania analizy finansowej</w:t>
      </w:r>
      <w:r w:rsidR="00E108BD">
        <w:t xml:space="preserve"> (poz</w:t>
      </w:r>
      <w:r w:rsidR="006920C7">
        <w:t xml:space="preserve">ytywna ocena kryterium </w:t>
      </w:r>
      <w:r w:rsidRPr="00B82C82">
        <w:t>umożliwi</w:t>
      </w:r>
      <w:r w:rsidR="006920C7">
        <w:t>a</w:t>
      </w:r>
      <w:r w:rsidRPr="00B82C82">
        <w:t xml:space="preserve"> wypłat</w:t>
      </w:r>
      <w:r w:rsidR="00216341">
        <w:t>ę</w:t>
      </w:r>
      <w:r w:rsidRPr="00B82C82">
        <w:t xml:space="preserve"> zaliczki</w:t>
      </w:r>
      <w:r w:rsidR="00F12BE6">
        <w:t xml:space="preserve"> bez </w:t>
      </w:r>
      <w:r w:rsidR="00175029">
        <w:t xml:space="preserve">zabezpieczenia w postaci gwarancji bankowej lub ubezpieczeniowej na najwyższą </w:t>
      </w:r>
      <w:r w:rsidR="00A77F57">
        <w:t>wartość transzy zaliczki, natomiast w przypadku negatywnej oceny kryterium wniosek nie jest rekomendowany do wsparcia</w:t>
      </w:r>
      <w:r w:rsidR="00B015C1">
        <w:t>)</w:t>
      </w:r>
      <w:r w:rsidRPr="00B82C82">
        <w:t>.</w:t>
      </w:r>
    </w:p>
    <w:p w14:paraId="6BBA9957" w14:textId="77E9FD80" w:rsidR="00124B9A" w:rsidRDefault="003F6967" w:rsidP="00BB2AF6">
      <w:pPr>
        <w:pStyle w:val="Akapitzlist"/>
        <w:numPr>
          <w:ilvl w:val="0"/>
          <w:numId w:val="8"/>
        </w:numPr>
        <w:spacing w:before="100" w:beforeAutospacing="1" w:after="100" w:afterAutospacing="1" w:line="360" w:lineRule="auto"/>
      </w:pPr>
      <w:r>
        <w:t>R</w:t>
      </w:r>
      <w:r w:rsidR="00E60F24">
        <w:t>ozliczeni</w:t>
      </w:r>
      <w:r w:rsidR="5B49C3A3">
        <w:t>u podlega</w:t>
      </w:r>
      <w:r w:rsidR="00E60F24">
        <w:t xml:space="preserve"> </w:t>
      </w:r>
      <w:r>
        <w:t>faktyczn</w:t>
      </w:r>
      <w:r w:rsidR="3E75A87C">
        <w:t>a</w:t>
      </w:r>
      <w:r w:rsidR="00217D01">
        <w:t xml:space="preserve"> </w:t>
      </w:r>
      <w:r w:rsidR="00E60F24">
        <w:t>liczb</w:t>
      </w:r>
      <w:r w:rsidR="5F179BDC">
        <w:t>a</w:t>
      </w:r>
      <w:r w:rsidR="00E60F24">
        <w:t xml:space="preserve"> </w:t>
      </w:r>
      <w:r>
        <w:t>punktów adresowych objętych zasięgiem</w:t>
      </w:r>
      <w:r w:rsidR="00124B9A">
        <w:t>.</w:t>
      </w:r>
    </w:p>
    <w:p w14:paraId="2EC4D1E2" w14:textId="2286F0E8" w:rsidR="0047110A" w:rsidRPr="00B82C82" w:rsidRDefault="004D4C18" w:rsidP="00BB2AF6">
      <w:pPr>
        <w:pStyle w:val="Akapitzlist"/>
        <w:numPr>
          <w:ilvl w:val="0"/>
          <w:numId w:val="8"/>
        </w:numPr>
        <w:spacing w:before="100" w:beforeAutospacing="1" w:after="100" w:afterAutospacing="1" w:line="360" w:lineRule="auto"/>
      </w:pPr>
      <w:r w:rsidRPr="00B82C82">
        <w:t>Zwolnienie z obowiązku zatwierdzania ofert hurtowych oraz wprowadzenie wzorcowej oferty dostępu hurtowego</w:t>
      </w:r>
      <w:r w:rsidR="003C0B9C">
        <w:t xml:space="preserve">. </w:t>
      </w:r>
    </w:p>
    <w:sectPr w:rsidR="0047110A" w:rsidRPr="00B82C82" w:rsidSect="004024E9">
      <w:headerReference w:type="default" r:id="rId8"/>
      <w:footerReference w:type="default" r:id="rId9"/>
      <w:pgSz w:w="11906" w:h="16838"/>
      <w:pgMar w:top="426"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86A5" w14:textId="77777777" w:rsidR="000E48AE" w:rsidRDefault="000E48AE" w:rsidP="00A66A3E">
      <w:pPr>
        <w:spacing w:after="0" w:line="240" w:lineRule="auto"/>
      </w:pPr>
      <w:r>
        <w:separator/>
      </w:r>
    </w:p>
  </w:endnote>
  <w:endnote w:type="continuationSeparator" w:id="0">
    <w:p w14:paraId="687FEAE4" w14:textId="77777777" w:rsidR="000E48AE" w:rsidRDefault="000E48AE" w:rsidP="00A66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222A" w14:textId="77777777" w:rsidR="00A66A3E" w:rsidRDefault="00A66A3E" w:rsidP="00A66A3E">
    <w:pPr>
      <w:pStyle w:val="Default"/>
    </w:pPr>
  </w:p>
  <w:p w14:paraId="55C583BE" w14:textId="77777777" w:rsidR="00A66A3E" w:rsidRDefault="00A66A3E" w:rsidP="00A66A3E">
    <w:pPr>
      <w:pStyle w:val="Stopka"/>
      <w:rPr>
        <w:sz w:val="14"/>
        <w:szCs w:val="14"/>
      </w:rPr>
    </w:pPr>
    <w:r>
      <w:rPr>
        <w:sz w:val="14"/>
        <w:szCs w:val="14"/>
      </w:rPr>
      <w:t xml:space="preserve">Centrum Projektów Polska Cyfrowa </w:t>
    </w:r>
  </w:p>
  <w:p w14:paraId="155BEBBD" w14:textId="77777777" w:rsidR="00A66A3E" w:rsidRDefault="00A66A3E" w:rsidP="00A66A3E">
    <w:pPr>
      <w:pStyle w:val="Stopka"/>
      <w:rPr>
        <w:sz w:val="14"/>
        <w:szCs w:val="14"/>
      </w:rPr>
    </w:pPr>
    <w:r>
      <w:rPr>
        <w:sz w:val="14"/>
        <w:szCs w:val="14"/>
      </w:rPr>
      <w:t xml:space="preserve">ul. Spokojna 13a, 01-044 Warszawa </w:t>
    </w:r>
  </w:p>
  <w:p w14:paraId="026F71BA" w14:textId="77777777" w:rsidR="00A66A3E" w:rsidRPr="00D639B7" w:rsidRDefault="00A66A3E" w:rsidP="00A66A3E">
    <w:pPr>
      <w:pStyle w:val="Stopka"/>
      <w:rPr>
        <w:sz w:val="14"/>
        <w:szCs w:val="14"/>
        <w:lang w:val="en-GB"/>
      </w:rPr>
    </w:pPr>
    <w:r w:rsidRPr="00D639B7">
      <w:rPr>
        <w:sz w:val="14"/>
        <w:szCs w:val="14"/>
        <w:lang w:val="en-GB"/>
      </w:rPr>
      <w:t xml:space="preserve">tel. 022 315 22 00, 315 22 01 </w:t>
    </w:r>
  </w:p>
  <w:p w14:paraId="086AABAA" w14:textId="77777777" w:rsidR="00A66A3E" w:rsidRPr="00D639B7" w:rsidRDefault="00A66A3E" w:rsidP="00A66A3E">
    <w:pPr>
      <w:pStyle w:val="Stopka"/>
      <w:rPr>
        <w:sz w:val="14"/>
        <w:szCs w:val="14"/>
        <w:lang w:val="en-GB"/>
      </w:rPr>
    </w:pPr>
    <w:proofErr w:type="spellStart"/>
    <w:r w:rsidRPr="00D639B7">
      <w:rPr>
        <w:sz w:val="14"/>
        <w:szCs w:val="14"/>
        <w:lang w:val="en-GB"/>
      </w:rPr>
      <w:t>faks</w:t>
    </w:r>
    <w:proofErr w:type="spellEnd"/>
    <w:r w:rsidRPr="00D639B7">
      <w:rPr>
        <w:sz w:val="14"/>
        <w:szCs w:val="14"/>
        <w:lang w:val="en-GB"/>
      </w:rPr>
      <w:t xml:space="preserve"> 022 315 22 02 </w:t>
    </w:r>
  </w:p>
  <w:p w14:paraId="2269E50F" w14:textId="078BE72E" w:rsidR="00A66A3E" w:rsidRPr="00A66A3E" w:rsidRDefault="00A66A3E">
    <w:pPr>
      <w:pStyle w:val="Stopka"/>
      <w:rPr>
        <w:sz w:val="14"/>
        <w:szCs w:val="14"/>
        <w:lang w:val="en-GB"/>
      </w:rPr>
    </w:pPr>
    <w:r w:rsidRPr="00D639B7">
      <w:rPr>
        <w:sz w:val="14"/>
        <w:szCs w:val="14"/>
        <w:lang w:val="en-GB"/>
      </w:rPr>
      <w:t>www.cppc.gov.pl</w:t>
    </w:r>
    <w:r w:rsidRPr="00D639B7">
      <w:rPr>
        <w:lang w:val="en-GB"/>
      </w:rPr>
      <w:tab/>
    </w:r>
    <w:r w:rsidRPr="00D639B7">
      <w:rPr>
        <w:lang w:val="en-GB"/>
      </w:rPr>
      <w:tab/>
    </w:r>
    <w:r w:rsidRPr="003A7E75">
      <w:rPr>
        <w:noProof/>
        <w:color w:val="2B579A"/>
        <w:shd w:val="clear" w:color="auto" w:fill="E6E6E6"/>
        <w:lang w:eastAsia="pl-PL"/>
      </w:rPr>
      <w:drawing>
        <wp:anchor distT="0" distB="0" distL="114300" distR="114300" simplePos="0" relativeHeight="251659264" behindDoc="0" locked="0" layoutInCell="1" allowOverlap="1" wp14:anchorId="134B4658" wp14:editId="49D6679F">
          <wp:simplePos x="0" y="0"/>
          <wp:positionH relativeFrom="column">
            <wp:posOffset>3931285</wp:posOffset>
          </wp:positionH>
          <wp:positionV relativeFrom="paragraph">
            <wp:posOffset>-515620</wp:posOffset>
          </wp:positionV>
          <wp:extent cx="1821180" cy="708660"/>
          <wp:effectExtent l="0" t="0" r="762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7086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EB20B" w14:textId="77777777" w:rsidR="000E48AE" w:rsidRDefault="000E48AE" w:rsidP="00A66A3E">
      <w:pPr>
        <w:spacing w:after="0" w:line="240" w:lineRule="auto"/>
      </w:pPr>
      <w:r>
        <w:separator/>
      </w:r>
    </w:p>
  </w:footnote>
  <w:footnote w:type="continuationSeparator" w:id="0">
    <w:p w14:paraId="673E5AB0" w14:textId="77777777" w:rsidR="000E48AE" w:rsidRDefault="000E48AE" w:rsidP="00A66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7ABF" w14:textId="77777777" w:rsidR="00A66A3E" w:rsidRDefault="00A66A3E" w:rsidP="00A66A3E">
    <w:pPr>
      <w:pStyle w:val="Nagwek"/>
    </w:pPr>
    <w:r>
      <w:rPr>
        <w:noProof/>
      </w:rPr>
      <w:drawing>
        <wp:inline distT="0" distB="0" distL="0" distR="0" wp14:anchorId="01D0B700" wp14:editId="3F0924A9">
          <wp:extent cx="5760720" cy="342265"/>
          <wp:effectExtent l="0" t="0" r="0" b="635"/>
          <wp:docPr id="115056870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6870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2265"/>
                  </a:xfrm>
                  <a:prstGeom prst="rect">
                    <a:avLst/>
                  </a:prstGeom>
                  <a:noFill/>
                  <a:ln>
                    <a:noFill/>
                  </a:ln>
                </pic:spPr>
              </pic:pic>
            </a:graphicData>
          </a:graphic>
        </wp:inline>
      </w:drawing>
    </w:r>
  </w:p>
  <w:p w14:paraId="7E58D6C8" w14:textId="77777777" w:rsidR="00A66A3E" w:rsidRDefault="00A66A3E">
    <w:pPr>
      <w:pStyle w:val="Nagwek"/>
    </w:pPr>
  </w:p>
  <w:p w14:paraId="33F12A3C" w14:textId="77777777" w:rsidR="00A66A3E" w:rsidRDefault="00A66A3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DDF"/>
    <w:multiLevelType w:val="hybridMultilevel"/>
    <w:tmpl w:val="899CB660"/>
    <w:lvl w:ilvl="0" w:tplc="35CE87E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9164F04"/>
    <w:multiLevelType w:val="hybridMultilevel"/>
    <w:tmpl w:val="9EB632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995C04"/>
    <w:multiLevelType w:val="hybridMultilevel"/>
    <w:tmpl w:val="7C7ADA5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5D65496"/>
    <w:multiLevelType w:val="hybridMultilevel"/>
    <w:tmpl w:val="668A53DE"/>
    <w:lvl w:ilvl="0" w:tplc="D2908794">
      <w:start w:val="1"/>
      <w:numFmt w:val="decimal"/>
      <w:lvlText w:val="%1)"/>
      <w:lvlJc w:val="left"/>
      <w:pPr>
        <w:ind w:left="1020" w:hanging="360"/>
      </w:pPr>
    </w:lvl>
    <w:lvl w:ilvl="1" w:tplc="D89A4EFE">
      <w:start w:val="1"/>
      <w:numFmt w:val="decimal"/>
      <w:lvlText w:val="%2)"/>
      <w:lvlJc w:val="left"/>
      <w:pPr>
        <w:ind w:left="1020" w:hanging="360"/>
      </w:pPr>
    </w:lvl>
    <w:lvl w:ilvl="2" w:tplc="E4FC446C">
      <w:start w:val="1"/>
      <w:numFmt w:val="decimal"/>
      <w:lvlText w:val="%3)"/>
      <w:lvlJc w:val="left"/>
      <w:pPr>
        <w:ind w:left="1020" w:hanging="360"/>
      </w:pPr>
    </w:lvl>
    <w:lvl w:ilvl="3" w:tplc="2F9E5102">
      <w:start w:val="1"/>
      <w:numFmt w:val="decimal"/>
      <w:lvlText w:val="%4)"/>
      <w:lvlJc w:val="left"/>
      <w:pPr>
        <w:ind w:left="1020" w:hanging="360"/>
      </w:pPr>
    </w:lvl>
    <w:lvl w:ilvl="4" w:tplc="191ED5C0">
      <w:start w:val="1"/>
      <w:numFmt w:val="decimal"/>
      <w:lvlText w:val="%5)"/>
      <w:lvlJc w:val="left"/>
      <w:pPr>
        <w:ind w:left="1020" w:hanging="360"/>
      </w:pPr>
    </w:lvl>
    <w:lvl w:ilvl="5" w:tplc="E04690EA">
      <w:start w:val="1"/>
      <w:numFmt w:val="decimal"/>
      <w:lvlText w:val="%6)"/>
      <w:lvlJc w:val="left"/>
      <w:pPr>
        <w:ind w:left="1020" w:hanging="360"/>
      </w:pPr>
    </w:lvl>
    <w:lvl w:ilvl="6" w:tplc="EB70E186">
      <w:start w:val="1"/>
      <w:numFmt w:val="decimal"/>
      <w:lvlText w:val="%7)"/>
      <w:lvlJc w:val="left"/>
      <w:pPr>
        <w:ind w:left="1020" w:hanging="360"/>
      </w:pPr>
    </w:lvl>
    <w:lvl w:ilvl="7" w:tplc="68203060">
      <w:start w:val="1"/>
      <w:numFmt w:val="decimal"/>
      <w:lvlText w:val="%8)"/>
      <w:lvlJc w:val="left"/>
      <w:pPr>
        <w:ind w:left="1020" w:hanging="360"/>
      </w:pPr>
    </w:lvl>
    <w:lvl w:ilvl="8" w:tplc="48A2BE24">
      <w:start w:val="1"/>
      <w:numFmt w:val="decimal"/>
      <w:lvlText w:val="%9)"/>
      <w:lvlJc w:val="left"/>
      <w:pPr>
        <w:ind w:left="1020" w:hanging="360"/>
      </w:pPr>
    </w:lvl>
  </w:abstractNum>
  <w:abstractNum w:abstractNumId="4" w15:restartNumberingAfterBreak="0">
    <w:nsid w:val="45FE61E9"/>
    <w:multiLevelType w:val="hybridMultilevel"/>
    <w:tmpl w:val="27204D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ED06F5"/>
    <w:multiLevelType w:val="hybridMultilevel"/>
    <w:tmpl w:val="FFD8907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5ECA2941"/>
    <w:multiLevelType w:val="hybridMultilevel"/>
    <w:tmpl w:val="DD7C57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65B76B85"/>
    <w:multiLevelType w:val="hybridMultilevel"/>
    <w:tmpl w:val="2AC29C68"/>
    <w:lvl w:ilvl="0" w:tplc="CA3621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C902ABC"/>
    <w:multiLevelType w:val="hybridMultilevel"/>
    <w:tmpl w:val="2E7255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BA6624"/>
    <w:multiLevelType w:val="hybridMultilevel"/>
    <w:tmpl w:val="62A6F5F4"/>
    <w:lvl w:ilvl="0" w:tplc="542A66AE">
      <w:start w:val="1"/>
      <w:numFmt w:val="bullet"/>
      <w:lvlText w:val=""/>
      <w:lvlJc w:val="left"/>
      <w:pPr>
        <w:ind w:left="1020" w:hanging="360"/>
      </w:pPr>
      <w:rPr>
        <w:rFonts w:ascii="Symbol" w:hAnsi="Symbol"/>
      </w:rPr>
    </w:lvl>
    <w:lvl w:ilvl="1" w:tplc="AE4E7722">
      <w:start w:val="1"/>
      <w:numFmt w:val="bullet"/>
      <w:lvlText w:val=""/>
      <w:lvlJc w:val="left"/>
      <w:pPr>
        <w:ind w:left="1020" w:hanging="360"/>
      </w:pPr>
      <w:rPr>
        <w:rFonts w:ascii="Symbol" w:hAnsi="Symbol"/>
      </w:rPr>
    </w:lvl>
    <w:lvl w:ilvl="2" w:tplc="AF06E40E">
      <w:start w:val="1"/>
      <w:numFmt w:val="bullet"/>
      <w:lvlText w:val=""/>
      <w:lvlJc w:val="left"/>
      <w:pPr>
        <w:ind w:left="1020" w:hanging="360"/>
      </w:pPr>
      <w:rPr>
        <w:rFonts w:ascii="Symbol" w:hAnsi="Symbol"/>
      </w:rPr>
    </w:lvl>
    <w:lvl w:ilvl="3" w:tplc="A89AB2F4">
      <w:start w:val="1"/>
      <w:numFmt w:val="bullet"/>
      <w:lvlText w:val=""/>
      <w:lvlJc w:val="left"/>
      <w:pPr>
        <w:ind w:left="1020" w:hanging="360"/>
      </w:pPr>
      <w:rPr>
        <w:rFonts w:ascii="Symbol" w:hAnsi="Symbol"/>
      </w:rPr>
    </w:lvl>
    <w:lvl w:ilvl="4" w:tplc="BC5EF1AC">
      <w:start w:val="1"/>
      <w:numFmt w:val="bullet"/>
      <w:lvlText w:val=""/>
      <w:lvlJc w:val="left"/>
      <w:pPr>
        <w:ind w:left="1020" w:hanging="360"/>
      </w:pPr>
      <w:rPr>
        <w:rFonts w:ascii="Symbol" w:hAnsi="Symbol"/>
      </w:rPr>
    </w:lvl>
    <w:lvl w:ilvl="5" w:tplc="DD5227C4">
      <w:start w:val="1"/>
      <w:numFmt w:val="bullet"/>
      <w:lvlText w:val=""/>
      <w:lvlJc w:val="left"/>
      <w:pPr>
        <w:ind w:left="1020" w:hanging="360"/>
      </w:pPr>
      <w:rPr>
        <w:rFonts w:ascii="Symbol" w:hAnsi="Symbol"/>
      </w:rPr>
    </w:lvl>
    <w:lvl w:ilvl="6" w:tplc="17706684">
      <w:start w:val="1"/>
      <w:numFmt w:val="bullet"/>
      <w:lvlText w:val=""/>
      <w:lvlJc w:val="left"/>
      <w:pPr>
        <w:ind w:left="1020" w:hanging="360"/>
      </w:pPr>
      <w:rPr>
        <w:rFonts w:ascii="Symbol" w:hAnsi="Symbol"/>
      </w:rPr>
    </w:lvl>
    <w:lvl w:ilvl="7" w:tplc="497C8694">
      <w:start w:val="1"/>
      <w:numFmt w:val="bullet"/>
      <w:lvlText w:val=""/>
      <w:lvlJc w:val="left"/>
      <w:pPr>
        <w:ind w:left="1020" w:hanging="360"/>
      </w:pPr>
      <w:rPr>
        <w:rFonts w:ascii="Symbol" w:hAnsi="Symbol"/>
      </w:rPr>
    </w:lvl>
    <w:lvl w:ilvl="8" w:tplc="691CB4D8">
      <w:start w:val="1"/>
      <w:numFmt w:val="bullet"/>
      <w:lvlText w:val=""/>
      <w:lvlJc w:val="left"/>
      <w:pPr>
        <w:ind w:left="1020" w:hanging="360"/>
      </w:pPr>
      <w:rPr>
        <w:rFonts w:ascii="Symbol" w:hAnsi="Symbol"/>
      </w:rPr>
    </w:lvl>
  </w:abstractNum>
  <w:abstractNum w:abstractNumId="10" w15:restartNumberingAfterBreak="0">
    <w:nsid w:val="7AD172E6"/>
    <w:multiLevelType w:val="hybridMultilevel"/>
    <w:tmpl w:val="B7CCBF6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6340781">
    <w:abstractNumId w:val="8"/>
  </w:num>
  <w:num w:numId="2" w16cid:durableId="1346790513">
    <w:abstractNumId w:val="4"/>
  </w:num>
  <w:num w:numId="3" w16cid:durableId="16318885">
    <w:abstractNumId w:val="3"/>
  </w:num>
  <w:num w:numId="4" w16cid:durableId="1738939712">
    <w:abstractNumId w:val="5"/>
  </w:num>
  <w:num w:numId="5" w16cid:durableId="332033256">
    <w:abstractNumId w:val="1"/>
  </w:num>
  <w:num w:numId="6" w16cid:durableId="455488427">
    <w:abstractNumId w:val="6"/>
  </w:num>
  <w:num w:numId="7" w16cid:durableId="648826762">
    <w:abstractNumId w:val="0"/>
  </w:num>
  <w:num w:numId="8" w16cid:durableId="670985031">
    <w:abstractNumId w:val="2"/>
  </w:num>
  <w:num w:numId="9" w16cid:durableId="949436385">
    <w:abstractNumId w:val="10"/>
  </w:num>
  <w:num w:numId="10" w16cid:durableId="924152418">
    <w:abstractNumId w:val="9"/>
  </w:num>
  <w:num w:numId="11" w16cid:durableId="2972249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5E"/>
    <w:rsid w:val="00003F89"/>
    <w:rsid w:val="00007AD5"/>
    <w:rsid w:val="000351E6"/>
    <w:rsid w:val="0004270D"/>
    <w:rsid w:val="00065729"/>
    <w:rsid w:val="00077991"/>
    <w:rsid w:val="00087FC3"/>
    <w:rsid w:val="000969EA"/>
    <w:rsid w:val="000B09EA"/>
    <w:rsid w:val="000D789D"/>
    <w:rsid w:val="000E00F9"/>
    <w:rsid w:val="000E48AE"/>
    <w:rsid w:val="001069AF"/>
    <w:rsid w:val="00114E8A"/>
    <w:rsid w:val="00124B9A"/>
    <w:rsid w:val="0014598C"/>
    <w:rsid w:val="001513C2"/>
    <w:rsid w:val="00165729"/>
    <w:rsid w:val="00175029"/>
    <w:rsid w:val="00176794"/>
    <w:rsid w:val="00186B68"/>
    <w:rsid w:val="001A6211"/>
    <w:rsid w:val="001B15DE"/>
    <w:rsid w:val="001C1750"/>
    <w:rsid w:val="001C3C09"/>
    <w:rsid w:val="001E7A50"/>
    <w:rsid w:val="002013BE"/>
    <w:rsid w:val="00205693"/>
    <w:rsid w:val="00216341"/>
    <w:rsid w:val="00217D01"/>
    <w:rsid w:val="00227575"/>
    <w:rsid w:val="00240357"/>
    <w:rsid w:val="0025111A"/>
    <w:rsid w:val="002636E3"/>
    <w:rsid w:val="002847C8"/>
    <w:rsid w:val="00290267"/>
    <w:rsid w:val="002969DB"/>
    <w:rsid w:val="002B5396"/>
    <w:rsid w:val="002C146E"/>
    <w:rsid w:val="002F0F24"/>
    <w:rsid w:val="00306E76"/>
    <w:rsid w:val="00310407"/>
    <w:rsid w:val="003214C6"/>
    <w:rsid w:val="00330A3C"/>
    <w:rsid w:val="00340662"/>
    <w:rsid w:val="00343688"/>
    <w:rsid w:val="003474F5"/>
    <w:rsid w:val="00353F3A"/>
    <w:rsid w:val="00375E53"/>
    <w:rsid w:val="003B24F2"/>
    <w:rsid w:val="003C0B9C"/>
    <w:rsid w:val="003D2D8C"/>
    <w:rsid w:val="003D7C9D"/>
    <w:rsid w:val="003E1094"/>
    <w:rsid w:val="003E5B62"/>
    <w:rsid w:val="003F4525"/>
    <w:rsid w:val="003F6967"/>
    <w:rsid w:val="004024E9"/>
    <w:rsid w:val="00404FD1"/>
    <w:rsid w:val="00411139"/>
    <w:rsid w:val="00434177"/>
    <w:rsid w:val="004416CA"/>
    <w:rsid w:val="00454309"/>
    <w:rsid w:val="0047110A"/>
    <w:rsid w:val="00480202"/>
    <w:rsid w:val="00487B54"/>
    <w:rsid w:val="004B40A4"/>
    <w:rsid w:val="004C3A4A"/>
    <w:rsid w:val="004D4C18"/>
    <w:rsid w:val="004D7706"/>
    <w:rsid w:val="004E09D1"/>
    <w:rsid w:val="004E1A65"/>
    <w:rsid w:val="004F55C6"/>
    <w:rsid w:val="00540A88"/>
    <w:rsid w:val="00544621"/>
    <w:rsid w:val="0058228A"/>
    <w:rsid w:val="00593F92"/>
    <w:rsid w:val="005B6968"/>
    <w:rsid w:val="00603CCB"/>
    <w:rsid w:val="00611612"/>
    <w:rsid w:val="0063675B"/>
    <w:rsid w:val="006368AB"/>
    <w:rsid w:val="00636E55"/>
    <w:rsid w:val="00641312"/>
    <w:rsid w:val="006461AF"/>
    <w:rsid w:val="006637BE"/>
    <w:rsid w:val="00676D48"/>
    <w:rsid w:val="00684CC2"/>
    <w:rsid w:val="006920C7"/>
    <w:rsid w:val="00697820"/>
    <w:rsid w:val="006E52B2"/>
    <w:rsid w:val="0070490C"/>
    <w:rsid w:val="0072363B"/>
    <w:rsid w:val="007262DD"/>
    <w:rsid w:val="0073017F"/>
    <w:rsid w:val="00731B9E"/>
    <w:rsid w:val="00741584"/>
    <w:rsid w:val="00744EFD"/>
    <w:rsid w:val="0076237A"/>
    <w:rsid w:val="007645A0"/>
    <w:rsid w:val="007721AB"/>
    <w:rsid w:val="00784D8D"/>
    <w:rsid w:val="007C3C56"/>
    <w:rsid w:val="007F7D77"/>
    <w:rsid w:val="00802E19"/>
    <w:rsid w:val="008042D6"/>
    <w:rsid w:val="008136A9"/>
    <w:rsid w:val="00825321"/>
    <w:rsid w:val="008369F7"/>
    <w:rsid w:val="00844AEE"/>
    <w:rsid w:val="00873256"/>
    <w:rsid w:val="008A5EF2"/>
    <w:rsid w:val="008B4DF2"/>
    <w:rsid w:val="008C7A2C"/>
    <w:rsid w:val="008D777D"/>
    <w:rsid w:val="008F5946"/>
    <w:rsid w:val="00902114"/>
    <w:rsid w:val="009051A4"/>
    <w:rsid w:val="009172D3"/>
    <w:rsid w:val="00920FF1"/>
    <w:rsid w:val="00963806"/>
    <w:rsid w:val="009845EE"/>
    <w:rsid w:val="00984EB9"/>
    <w:rsid w:val="00992A54"/>
    <w:rsid w:val="0099353E"/>
    <w:rsid w:val="009959C7"/>
    <w:rsid w:val="009A28B6"/>
    <w:rsid w:val="009B2C35"/>
    <w:rsid w:val="009B6A59"/>
    <w:rsid w:val="009C79C8"/>
    <w:rsid w:val="00A33FDC"/>
    <w:rsid w:val="00A3760E"/>
    <w:rsid w:val="00A41D0B"/>
    <w:rsid w:val="00A50043"/>
    <w:rsid w:val="00A50B9A"/>
    <w:rsid w:val="00A54D4D"/>
    <w:rsid w:val="00A54D75"/>
    <w:rsid w:val="00A66A3E"/>
    <w:rsid w:val="00A74041"/>
    <w:rsid w:val="00A77F57"/>
    <w:rsid w:val="00B015C1"/>
    <w:rsid w:val="00B0777F"/>
    <w:rsid w:val="00B12C9C"/>
    <w:rsid w:val="00B17B1D"/>
    <w:rsid w:val="00B2635E"/>
    <w:rsid w:val="00B50BF8"/>
    <w:rsid w:val="00B54207"/>
    <w:rsid w:val="00B6324B"/>
    <w:rsid w:val="00B82C82"/>
    <w:rsid w:val="00B86FBD"/>
    <w:rsid w:val="00B9429F"/>
    <w:rsid w:val="00BB0632"/>
    <w:rsid w:val="00BB2AF6"/>
    <w:rsid w:val="00BE3C22"/>
    <w:rsid w:val="00BF708F"/>
    <w:rsid w:val="00C07413"/>
    <w:rsid w:val="00C307D1"/>
    <w:rsid w:val="00C457D5"/>
    <w:rsid w:val="00C470C3"/>
    <w:rsid w:val="00C8127D"/>
    <w:rsid w:val="00C91CA1"/>
    <w:rsid w:val="00CA1C63"/>
    <w:rsid w:val="00CD6512"/>
    <w:rsid w:val="00CE4452"/>
    <w:rsid w:val="00D16C8F"/>
    <w:rsid w:val="00D26701"/>
    <w:rsid w:val="00D30DB2"/>
    <w:rsid w:val="00D30E6A"/>
    <w:rsid w:val="00D57CD1"/>
    <w:rsid w:val="00D84B4B"/>
    <w:rsid w:val="00DB1922"/>
    <w:rsid w:val="00DD4D5C"/>
    <w:rsid w:val="00DE2876"/>
    <w:rsid w:val="00DF5DA7"/>
    <w:rsid w:val="00E0697A"/>
    <w:rsid w:val="00E108BD"/>
    <w:rsid w:val="00E31D8A"/>
    <w:rsid w:val="00E36616"/>
    <w:rsid w:val="00E456E6"/>
    <w:rsid w:val="00E45BF6"/>
    <w:rsid w:val="00E4653B"/>
    <w:rsid w:val="00E57D89"/>
    <w:rsid w:val="00E60F24"/>
    <w:rsid w:val="00E627B5"/>
    <w:rsid w:val="00E75AC6"/>
    <w:rsid w:val="00E92E8B"/>
    <w:rsid w:val="00EB124C"/>
    <w:rsid w:val="00EB3169"/>
    <w:rsid w:val="00EC4440"/>
    <w:rsid w:val="00EF0F5B"/>
    <w:rsid w:val="00EF5320"/>
    <w:rsid w:val="00F04EEE"/>
    <w:rsid w:val="00F055A5"/>
    <w:rsid w:val="00F12BE6"/>
    <w:rsid w:val="00F272BA"/>
    <w:rsid w:val="00F442CE"/>
    <w:rsid w:val="00F46C45"/>
    <w:rsid w:val="00F54AC8"/>
    <w:rsid w:val="00F80EE4"/>
    <w:rsid w:val="00F93515"/>
    <w:rsid w:val="00FA15A8"/>
    <w:rsid w:val="00FC1050"/>
    <w:rsid w:val="00FD7311"/>
    <w:rsid w:val="00FE0478"/>
    <w:rsid w:val="047B5D1F"/>
    <w:rsid w:val="05776704"/>
    <w:rsid w:val="06FE1E43"/>
    <w:rsid w:val="0FBD3BD3"/>
    <w:rsid w:val="177581AF"/>
    <w:rsid w:val="264A86A5"/>
    <w:rsid w:val="27254AF2"/>
    <w:rsid w:val="3E75A87C"/>
    <w:rsid w:val="51B31E7E"/>
    <w:rsid w:val="525D2D07"/>
    <w:rsid w:val="54F9A26E"/>
    <w:rsid w:val="5B49C3A3"/>
    <w:rsid w:val="5F179BDC"/>
    <w:rsid w:val="67368D23"/>
    <w:rsid w:val="6B8BCC6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6B7BB"/>
  <w15:chartTrackingRefBased/>
  <w15:docId w15:val="{1114E5F5-4E0A-41AB-8804-3D5998B8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rsid w:val="00B26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uiPriority w:val="9"/>
    <w:semiHidden/>
    <w:unhideWhenUsed/>
    <w:qFormat/>
    <w:rsid w:val="00B26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uiPriority w:val="9"/>
    <w:semiHidden/>
    <w:unhideWhenUsed/>
    <w:qFormat/>
    <w:rsid w:val="00B2635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uiPriority w:val="9"/>
    <w:semiHidden/>
    <w:unhideWhenUsed/>
    <w:qFormat/>
    <w:rsid w:val="00B2635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uiPriority w:val="9"/>
    <w:semiHidden/>
    <w:unhideWhenUsed/>
    <w:qFormat/>
    <w:rsid w:val="00B2635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uiPriority w:val="9"/>
    <w:semiHidden/>
    <w:unhideWhenUsed/>
    <w:qFormat/>
    <w:rsid w:val="00B2635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uiPriority w:val="9"/>
    <w:semiHidden/>
    <w:unhideWhenUsed/>
    <w:qFormat/>
    <w:rsid w:val="00B2635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uiPriority w:val="9"/>
    <w:semiHidden/>
    <w:unhideWhenUsed/>
    <w:qFormat/>
    <w:rsid w:val="00B2635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uiPriority w:val="9"/>
    <w:semiHidden/>
    <w:unhideWhenUsed/>
    <w:qFormat/>
    <w:rsid w:val="00B2635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Akapit z listą BS"/>
    <w:basedOn w:val="Normalny"/>
    <w:link w:val="AkapitzlistZnak"/>
    <w:uiPriority w:val="1"/>
    <w:qFormat/>
    <w:rsid w:val="00B2635E"/>
    <w:pPr>
      <w:ind w:left="720"/>
      <w:contextualSpacing/>
    </w:pPr>
  </w:style>
  <w:style w:type="character" w:styleId="Wyrnienieintensywne">
    <w:name w:val="Intense Emphasis"/>
    <w:basedOn w:val="Domylnaczcionkaakapitu"/>
    <w:uiPriority w:val="21"/>
    <w:qFormat/>
    <w:rsid w:val="00B2635E"/>
    <w:rPr>
      <w:i/>
      <w:iCs/>
      <w:color w:val="0F4761" w:themeColor="accent1" w:themeShade="BF"/>
    </w:rPr>
  </w:style>
  <w:style w:type="character" w:styleId="Odwoanieintensywne">
    <w:name w:val="Intense Reference"/>
    <w:basedOn w:val="Domylnaczcionkaakapitu"/>
    <w:uiPriority w:val="32"/>
    <w:qFormat/>
    <w:rsid w:val="00B2635E"/>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3F4525"/>
    <w:rPr>
      <w:sz w:val="16"/>
      <w:szCs w:val="16"/>
    </w:rPr>
  </w:style>
  <w:style w:type="table" w:styleId="Tabela-Siatka">
    <w:name w:val="Table Grid"/>
    <w:basedOn w:val="Standardowy"/>
    <w:uiPriority w:val="39"/>
    <w:rsid w:val="00F04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7110A"/>
    <w:pPr>
      <w:spacing w:after="0" w:line="240" w:lineRule="auto"/>
    </w:pPr>
  </w:style>
  <w:style w:type="character" w:customStyle="1" w:styleId="Nagwek1Znak">
    <w:name w:val="Nagłówek 1 Znak"/>
    <w:basedOn w:val="Domylnaczcionkaakapitu"/>
    <w:uiPriority w:val="9"/>
    <w:rsid w:val="006461A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uiPriority w:val="9"/>
    <w:semiHidden/>
    <w:rsid w:val="006461A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uiPriority w:val="9"/>
    <w:semiHidden/>
    <w:rsid w:val="006461AF"/>
    <w:rPr>
      <w:rFonts w:eastAsiaTheme="majorEastAsia" w:cstheme="majorBidi"/>
      <w:color w:val="0F4761" w:themeColor="accent1" w:themeShade="BF"/>
      <w:sz w:val="28"/>
      <w:szCs w:val="28"/>
    </w:rPr>
  </w:style>
  <w:style w:type="character" w:customStyle="1" w:styleId="Nagwek4Znak">
    <w:name w:val="Nagłówek 4 Znak"/>
    <w:basedOn w:val="Domylnaczcionkaakapitu"/>
    <w:uiPriority w:val="9"/>
    <w:semiHidden/>
    <w:rsid w:val="006461AF"/>
    <w:rPr>
      <w:rFonts w:eastAsiaTheme="majorEastAsia" w:cstheme="majorBidi"/>
      <w:i/>
      <w:iCs/>
      <w:color w:val="0F4761" w:themeColor="accent1" w:themeShade="BF"/>
    </w:rPr>
  </w:style>
  <w:style w:type="character" w:customStyle="1" w:styleId="Nagwek5Znak">
    <w:name w:val="Nagłówek 5 Znak"/>
    <w:basedOn w:val="Domylnaczcionkaakapitu"/>
    <w:uiPriority w:val="9"/>
    <w:semiHidden/>
    <w:rsid w:val="006461AF"/>
    <w:rPr>
      <w:rFonts w:eastAsiaTheme="majorEastAsia" w:cstheme="majorBidi"/>
      <w:color w:val="0F4761" w:themeColor="accent1" w:themeShade="BF"/>
    </w:rPr>
  </w:style>
  <w:style w:type="character" w:customStyle="1" w:styleId="Nagwek6Znak">
    <w:name w:val="Nagłówek 6 Znak"/>
    <w:basedOn w:val="Domylnaczcionkaakapitu"/>
    <w:uiPriority w:val="9"/>
    <w:semiHidden/>
    <w:rsid w:val="006461AF"/>
    <w:rPr>
      <w:rFonts w:eastAsiaTheme="majorEastAsia" w:cstheme="majorBidi"/>
      <w:i/>
      <w:iCs/>
      <w:color w:val="595959" w:themeColor="text1" w:themeTint="A6"/>
    </w:rPr>
  </w:style>
  <w:style w:type="character" w:customStyle="1" w:styleId="Nagwek7Znak">
    <w:name w:val="Nagłówek 7 Znak"/>
    <w:basedOn w:val="Domylnaczcionkaakapitu"/>
    <w:uiPriority w:val="9"/>
    <w:semiHidden/>
    <w:rsid w:val="006461AF"/>
    <w:rPr>
      <w:rFonts w:eastAsiaTheme="majorEastAsia" w:cstheme="majorBidi"/>
      <w:color w:val="595959" w:themeColor="text1" w:themeTint="A6"/>
    </w:rPr>
  </w:style>
  <w:style w:type="character" w:customStyle="1" w:styleId="Nagwek8Znak">
    <w:name w:val="Nagłówek 8 Znak"/>
    <w:basedOn w:val="Domylnaczcionkaakapitu"/>
    <w:uiPriority w:val="9"/>
    <w:semiHidden/>
    <w:rsid w:val="006461AF"/>
    <w:rPr>
      <w:rFonts w:eastAsiaTheme="majorEastAsia" w:cstheme="majorBidi"/>
      <w:i/>
      <w:iCs/>
      <w:color w:val="272727" w:themeColor="text1" w:themeTint="D8"/>
    </w:rPr>
  </w:style>
  <w:style w:type="character" w:customStyle="1" w:styleId="Nagwek9Znak">
    <w:name w:val="Nagłówek 9 Znak"/>
    <w:basedOn w:val="Domylnaczcionkaakapitu"/>
    <w:uiPriority w:val="9"/>
    <w:semiHidden/>
    <w:rsid w:val="006461AF"/>
    <w:rPr>
      <w:rFonts w:eastAsiaTheme="majorEastAsia" w:cstheme="majorBidi"/>
      <w:color w:val="272727" w:themeColor="text1" w:themeTint="D8"/>
    </w:rPr>
  </w:style>
  <w:style w:type="character" w:customStyle="1" w:styleId="TytuZnak">
    <w:name w:val="Tytuł Znak"/>
    <w:basedOn w:val="Domylnaczcionkaakapitu"/>
    <w:uiPriority w:val="10"/>
    <w:rsid w:val="006461AF"/>
    <w:rPr>
      <w:rFonts w:asciiTheme="majorHAnsi" w:eastAsiaTheme="majorEastAsia" w:hAnsiTheme="majorHAnsi" w:cstheme="majorBidi"/>
      <w:spacing w:val="-10"/>
      <w:kern w:val="28"/>
      <w:sz w:val="56"/>
      <w:szCs w:val="56"/>
    </w:rPr>
  </w:style>
  <w:style w:type="character" w:customStyle="1" w:styleId="PodtytuZnak">
    <w:name w:val="Podtytuł Znak"/>
    <w:basedOn w:val="Domylnaczcionkaakapitu"/>
    <w:uiPriority w:val="11"/>
    <w:rsid w:val="006461AF"/>
    <w:rPr>
      <w:rFonts w:eastAsiaTheme="majorEastAsia" w:cstheme="majorBidi"/>
      <w:color w:val="595959" w:themeColor="text1" w:themeTint="A6"/>
      <w:spacing w:val="15"/>
      <w:sz w:val="28"/>
      <w:szCs w:val="28"/>
    </w:rPr>
  </w:style>
  <w:style w:type="character" w:customStyle="1" w:styleId="CytatZnak">
    <w:name w:val="Cytat Znak"/>
    <w:basedOn w:val="Domylnaczcionkaakapitu"/>
    <w:uiPriority w:val="29"/>
    <w:rsid w:val="006461AF"/>
    <w:rPr>
      <w:i/>
      <w:iCs/>
      <w:color w:val="404040" w:themeColor="text1" w:themeTint="BF"/>
    </w:rPr>
  </w:style>
  <w:style w:type="character" w:customStyle="1" w:styleId="CytatintensywnyZnak">
    <w:name w:val="Cytat intensywny Znak"/>
    <w:basedOn w:val="Domylnaczcionkaakapitu"/>
    <w:uiPriority w:val="30"/>
    <w:rsid w:val="006461AF"/>
    <w:rPr>
      <w:i/>
      <w:iCs/>
      <w:color w:val="0F4761" w:themeColor="accent1" w:themeShade="BF"/>
    </w:rPr>
  </w:style>
  <w:style w:type="character" w:customStyle="1" w:styleId="TekstkomentarzaZnak">
    <w:name w:val="Tekst komentarza Znak"/>
    <w:basedOn w:val="Domylnaczcionkaakapitu"/>
    <w:uiPriority w:val="99"/>
    <w:rsid w:val="006461AF"/>
    <w:rPr>
      <w:sz w:val="20"/>
      <w:szCs w:val="20"/>
    </w:rPr>
  </w:style>
  <w:style w:type="character" w:customStyle="1" w:styleId="TematkomentarzaZnak">
    <w:name w:val="Temat komentarza Znak"/>
    <w:basedOn w:val="TekstkomentarzaZnak"/>
    <w:uiPriority w:val="99"/>
    <w:semiHidden/>
    <w:rsid w:val="006461AF"/>
    <w:rPr>
      <w:b/>
      <w:bCs/>
      <w:sz w:val="20"/>
      <w:szCs w:val="20"/>
    </w:rPr>
  </w:style>
  <w:style w:type="paragraph" w:styleId="Tekstkomentarza">
    <w:name w:val="annotation text"/>
    <w:basedOn w:val="Normalny"/>
    <w:link w:val="TekstkomentarzaZnak1"/>
    <w:uiPriority w:val="99"/>
    <w:unhideWhenUsed/>
    <w:rsid w:val="00E36616"/>
    <w:pPr>
      <w:spacing w:line="240" w:lineRule="auto"/>
    </w:pPr>
    <w:rPr>
      <w:sz w:val="20"/>
      <w:szCs w:val="20"/>
    </w:rPr>
  </w:style>
  <w:style w:type="character" w:customStyle="1" w:styleId="TekstkomentarzaZnak1">
    <w:name w:val="Tekst komentarza Znak1"/>
    <w:basedOn w:val="Domylnaczcionkaakapitu"/>
    <w:link w:val="Tekstkomentarza"/>
    <w:uiPriority w:val="99"/>
    <w:rsid w:val="00E36616"/>
    <w:rPr>
      <w:sz w:val="20"/>
      <w:szCs w:val="20"/>
    </w:rPr>
  </w:style>
  <w:style w:type="paragraph" w:styleId="Tematkomentarza">
    <w:name w:val="annotation subject"/>
    <w:basedOn w:val="Tekstkomentarza"/>
    <w:next w:val="Tekstkomentarza"/>
    <w:link w:val="TematkomentarzaZnak1"/>
    <w:uiPriority w:val="99"/>
    <w:semiHidden/>
    <w:unhideWhenUsed/>
    <w:rsid w:val="00E36616"/>
    <w:rPr>
      <w:b/>
      <w:bCs/>
    </w:rPr>
  </w:style>
  <w:style w:type="character" w:customStyle="1" w:styleId="TematkomentarzaZnak1">
    <w:name w:val="Temat komentarza Znak1"/>
    <w:basedOn w:val="TekstkomentarzaZnak1"/>
    <w:link w:val="Tematkomentarza"/>
    <w:uiPriority w:val="99"/>
    <w:semiHidden/>
    <w:rsid w:val="00E36616"/>
    <w:rPr>
      <w:b/>
      <w:bCs/>
      <w:sz w:val="20"/>
      <w:szCs w:val="20"/>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1"/>
    <w:qFormat/>
    <w:locked/>
    <w:rsid w:val="00BE3C22"/>
  </w:style>
  <w:style w:type="paragraph" w:styleId="Nagwek">
    <w:name w:val="header"/>
    <w:basedOn w:val="Normalny"/>
    <w:link w:val="NagwekZnak"/>
    <w:uiPriority w:val="99"/>
    <w:unhideWhenUsed/>
    <w:rsid w:val="00A66A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6A3E"/>
  </w:style>
  <w:style w:type="paragraph" w:styleId="Stopka">
    <w:name w:val="footer"/>
    <w:basedOn w:val="Normalny"/>
    <w:link w:val="StopkaZnak"/>
    <w:uiPriority w:val="99"/>
    <w:unhideWhenUsed/>
    <w:rsid w:val="00A66A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6A3E"/>
  </w:style>
  <w:style w:type="paragraph" w:customStyle="1" w:styleId="Default">
    <w:name w:val="Default"/>
    <w:rsid w:val="00A66A3E"/>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27403">
      <w:bodyDiv w:val="1"/>
      <w:marLeft w:val="0"/>
      <w:marRight w:val="0"/>
      <w:marTop w:val="0"/>
      <w:marBottom w:val="0"/>
      <w:divBdr>
        <w:top w:val="none" w:sz="0" w:space="0" w:color="auto"/>
        <w:left w:val="none" w:sz="0" w:space="0" w:color="auto"/>
        <w:bottom w:val="none" w:sz="0" w:space="0" w:color="auto"/>
        <w:right w:val="none" w:sz="0" w:space="0" w:color="auto"/>
      </w:divBdr>
    </w:div>
    <w:div w:id="98192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76144-E92D-445A-9155-37D74EAFE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605</Words>
  <Characters>3632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Łukasiewicz Marcin</dc:creator>
  <cp:keywords/>
  <dc:description/>
  <cp:lastModifiedBy>Paula Domachowska-Woźniak</cp:lastModifiedBy>
  <cp:revision>6</cp:revision>
  <cp:lastPrinted>2025-03-13T00:25:00Z</cp:lastPrinted>
  <dcterms:created xsi:type="dcterms:W3CDTF">2025-03-18T12:35:00Z</dcterms:created>
  <dcterms:modified xsi:type="dcterms:W3CDTF">2025-03-18T14:23:00Z</dcterms:modified>
</cp:coreProperties>
</file>