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152D" w14:textId="2690BE6B" w:rsidR="00EC4636" w:rsidRDefault="00F9279B">
      <w:r>
        <w:t>Biuro Regionalnej Dyrekcji Lasów Państwowych w Katowicach w 2025 r. nie pozyskało żadnych środków zewnętrznych.</w:t>
      </w:r>
    </w:p>
    <w:sectPr w:rsidR="00EC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9B"/>
    <w:rsid w:val="0039101D"/>
    <w:rsid w:val="00EC4636"/>
    <w:rsid w:val="00F5760B"/>
    <w:rsid w:val="00F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615B"/>
  <w15:chartTrackingRefBased/>
  <w15:docId w15:val="{AFE9F03A-178B-4793-B817-D97872D9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7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7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7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7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7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</dc:creator>
  <cp:keywords/>
  <dc:description/>
  <cp:lastModifiedBy>Anna Szady</cp:lastModifiedBy>
  <cp:revision>1</cp:revision>
  <dcterms:created xsi:type="dcterms:W3CDTF">2026-04-09T13:35:00Z</dcterms:created>
  <dcterms:modified xsi:type="dcterms:W3CDTF">2026-04-09T13:38:00Z</dcterms:modified>
</cp:coreProperties>
</file>