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E2" w:rsidRPr="00500084" w:rsidRDefault="00FB00FC" w:rsidP="005000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693693" w:rsidRPr="00500084">
          <w:rPr>
            <w:rFonts w:ascii="Times New Roman" w:hAnsi="Times New Roman" w:cs="Times New Roman"/>
            <w:b/>
            <w:sz w:val="26"/>
            <w:szCs w:val="26"/>
          </w:rPr>
          <w:t xml:space="preserve">Szacowanie wartości zamówienia na </w:t>
        </w:r>
        <w:r w:rsidR="00D34E92">
          <w:rPr>
            <w:rFonts w:ascii="Times New Roman" w:hAnsi="Times New Roman" w:cs="Times New Roman"/>
            <w:b/>
            <w:sz w:val="26"/>
            <w:szCs w:val="26"/>
          </w:rPr>
          <w:t xml:space="preserve">przeprowadzenie </w:t>
        </w:r>
        <w:r w:rsidR="00693693" w:rsidRPr="00500084">
          <w:rPr>
            <w:rFonts w:ascii="Times New Roman" w:hAnsi="Times New Roman" w:cs="Times New Roman"/>
            <w:b/>
            <w:sz w:val="26"/>
            <w:szCs w:val="26"/>
          </w:rPr>
          <w:t xml:space="preserve">szkoleń </w:t>
        </w:r>
      </w:hyperlink>
      <w:r w:rsidR="00F82548">
        <w:rPr>
          <w:rFonts w:ascii="Times New Roman" w:hAnsi="Times New Roman" w:cs="Times New Roman"/>
          <w:b/>
          <w:sz w:val="26"/>
          <w:szCs w:val="26"/>
        </w:rPr>
        <w:t xml:space="preserve">dla prokuratorów </w:t>
      </w:r>
      <w:r w:rsidR="00500084" w:rsidRPr="005000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zakresu metodyki prowadzenia postępowania w sprawach karnych z wykorzystaniem systemu digitalizacji akt (SDA), wdrożonego w Prokuraturze Krajowej, prokuraturach regionalnych oraz prokuraturach okręgowych</w:t>
      </w:r>
    </w:p>
    <w:p w:rsidR="00693693" w:rsidRDefault="00693693">
      <w:pPr>
        <w:rPr>
          <w:color w:val="262625"/>
        </w:rPr>
      </w:pPr>
    </w:p>
    <w:p w:rsidR="00693693" w:rsidRPr="00693693" w:rsidRDefault="00693693" w:rsidP="00FE0272">
      <w:pPr>
        <w:shd w:val="clear" w:color="auto" w:fill="FFFFFF"/>
        <w:spacing w:after="135" w:line="27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</w:t>
      </w:r>
      <w:r w:rsidR="00FE0272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iązku z koniecznością o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szacowania wartości zamówienia w ramach projektu pozakonkursowego</w:t>
      </w:r>
      <w:r w:rsidR="00FE0272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E0272" w:rsidRPr="00FE02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wdrożenie metodyki prowadzenia postępowania przygotowawczego w sprawach karnych z wykorzystaniem systemu digitalizacji akt” (POWER 2)</w:t>
      </w:r>
      <w:r w:rsidR="00FE0272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współfinansowanego ze środków Europejskiego Funduszu Społecznego w ramach Programu Operacyjnego Wiedza Edukacja Rozwój 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realizowanego przez </w:t>
      </w:r>
      <w:r w:rsidR="007C788D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Prokuraturę Krajową proszę o 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oszacowanie kosztu </w:t>
      </w:r>
      <w:r w:rsidR="00514234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1 godziny lekcyjnej szkolenia z w/w tematyki.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D7C70" w:rsidRPr="00610FAF" w:rsidRDefault="00693693" w:rsidP="00610FAF">
      <w:pPr>
        <w:shd w:val="clear" w:color="auto" w:fill="FFFFFF"/>
        <w:spacing w:after="135" w:line="270" w:lineRule="atLeast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  <w:r w:rsidRPr="00693693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Zakres usługi: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514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szkolenia z zakresu </w:t>
      </w:r>
      <w:r w:rsidR="00514234" w:rsidRPr="00514234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metodyki prowadzenia postępowania w sprawach karnych z wykorzystaniem systemu digitalizacji akt (SDA)</w:t>
      </w:r>
      <w:r w:rsidR="003D7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9786E" w:rsidRDefault="003D7C70" w:rsidP="000159A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0B3E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będą prowadzone w 11 lokalizacjach na terenie kraju tj. w Białymstoku, Gdańsku, Katowicach, Krakowie, Lublinie, Łodzi, </w:t>
      </w:r>
      <w:r w:rsidR="00F9786E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Warszawie, Wrocławiu, Poznaniu, Rzeszowie, Szczecinie.</w:t>
      </w:r>
      <w:r w:rsidR="00F669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 edycja szkolenia będzie trwała 2 dni. Każdego dnia 8 godzin lekcyjnych (45 minut) – łącznie 16 godzin szkoleniowych podczas jednej edycji. </w:t>
      </w:r>
      <w:r w:rsidR="00F978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548" w:rsidRDefault="00F82548" w:rsidP="000159A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Szkolenia będą prowadzone w dedykowanych salach szkoleniowych.</w:t>
      </w:r>
    </w:p>
    <w:p w:rsidR="006B7E12" w:rsidRPr="00A760F5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Wykonawcami szkoleń (Trenerami) z zakresu „Metodyki prowadzenia postępowania w sprawach karnych z wykorzystaniem systemu digitalizacji akt”, których uczestnikami będą prokuratorzy, mogą być prokuratorzy lub urzędnicy powszechnych jednostek organizacyjnych prokuratury, którzy:</w:t>
      </w:r>
    </w:p>
    <w:p w:rsidR="006B7E12" w:rsidRPr="00A760F5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>-  zostali przeszkoleni z systemu digitalizacji akt (SDA),</w:t>
      </w:r>
    </w:p>
    <w:p w:rsidR="006B7E12" w:rsidRPr="00A760F5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posiadają co najmniej 2 letnie doświadczenie związane z  wykorzystywanym w jednostkach prokuratury narzędziem informatycznym przeznaczonym do wykonywania czynności w ramach postepowania karnego – systemem digitalizacji akt (SDA),</w:t>
      </w:r>
    </w:p>
    <w:p w:rsidR="006B7E12" w:rsidRPr="00A760F5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posiadają wiedzę i doświadczenie nabyte podczas co najmniej 2 letniego okresu zatrudnienia w powszechnych jednostkach organizacyjnych prokuratury.  </w:t>
      </w:r>
    </w:p>
    <w:p w:rsidR="006B7E12" w:rsidRPr="00752C91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6B7E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2C9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Wykonawcami szkoleń (Trenerami) z zakresu „Metodyki prowadzenia postępowania w sprawach karnych z wykorzystaniem systemu digitalizacji akt”, których uczestnikami będą analitycy kryminalni mogą być prokuratorzy lub urzędnicy powszechnych jednostek organizacyjnych prokuratury, którzy:</w:t>
      </w:r>
    </w:p>
    <w:p w:rsidR="006B7E12" w:rsidRPr="00A760F5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>- zostali przeszkoleni z systemu digitalizacji akt (SDA),</w:t>
      </w:r>
    </w:p>
    <w:p w:rsidR="006B7E12" w:rsidRPr="00A760F5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co najmniej 2 letnie doświadczenie związane z: wykorzystywanym w jednostkach prokuratury narzędziem informatycznym przeznaczonym do wykonywania czynności w ramach postepowania karnego – systemem digitalizacji akt (SDA) oraz  opracowywaniem analiz kryminalnych w jednostkach prokuratury narzędziami informatycznymi przeznaczonymi do przetwarzania danych (np. IBM i2 Analyst’s Notebook, iBase, LINK)</w:t>
      </w:r>
    </w:p>
    <w:p w:rsidR="006B7E12" w:rsidRPr="00A760F5" w:rsidRDefault="006B7E12" w:rsidP="006B7E12">
      <w:pPr>
        <w:spacing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wiedzę i doświadczenie nabyte podczas co najmniej 2 letniego okresu zatrudnienia w powszechnych jednostkach organizacyjnych prokuratury. </w:t>
      </w:r>
    </w:p>
    <w:p w:rsidR="00F82548" w:rsidRDefault="00F82548" w:rsidP="000159A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67FB" w:rsidRDefault="00661253" w:rsidP="000159A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0767FB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grupa szkoleniowa będzie nie mniejsza niż 11 osób oraz nie większa niż 15.</w:t>
      </w:r>
    </w:p>
    <w:p w:rsidR="00661253" w:rsidRDefault="00661253" w:rsidP="00130DD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7. 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 </w:t>
      </w:r>
      <w:r w:rsidR="00CA62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170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68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edycji 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szkoleń – </w:t>
      </w:r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dniowych </w:t>
      </w:r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-godzinnych, w </w:t>
      </w:r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od 10.04.20</w:t>
      </w:r>
      <w:r w:rsidR="00292E33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9 r. do 13.06.2019 r.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w szkoleniach weźmie udział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151EDC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0159AA" w:rsidRDefault="00661253" w:rsidP="00130DD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Szkolenia 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prokuratorów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prowadzone w</w:t>
      </w:r>
      <w:r w:rsidR="00530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powszednie poniedziałek-wtorek, środa-czwartek, w godzinach 08:</w:t>
      </w:r>
      <w:r w:rsidR="00151ED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30EC7">
        <w:rPr>
          <w:rFonts w:ascii="Times New Roman" w:eastAsia="Times New Roman" w:hAnsi="Times New Roman" w:cs="Times New Roman"/>
          <w:sz w:val="24"/>
          <w:szCs w:val="24"/>
          <w:lang w:eastAsia="pl-PL"/>
        </w:rPr>
        <w:t>0-1</w:t>
      </w:r>
      <w:r w:rsidR="00151ED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30EC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51ED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30EC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B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miastach: Białystok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, Gdańsk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(18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(10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), Poznań</w:t>
      </w:r>
      <w:r w:rsidR="00EB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Wrocław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(16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Łódź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478A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Katowice</w:t>
      </w:r>
      <w:r w:rsidR="00EB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B653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Wrocław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(8 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Warszawa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Lublin</w:t>
      </w:r>
      <w:r w:rsidR="00EB6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EB65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Rzeszów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(7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B6532">
        <w:rPr>
          <w:rFonts w:ascii="Times New Roman" w:eastAsia="Times New Roman" w:hAnsi="Times New Roman" w:cs="Times New Roman"/>
          <w:sz w:val="24"/>
          <w:szCs w:val="24"/>
          <w:lang w:eastAsia="pl-PL"/>
        </w:rPr>
        <w:t>, Kraków (</w:t>
      </w:r>
      <w:r w:rsidR="008676A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</w:t>
      </w:r>
      <w:r w:rsidR="00EB65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1B2F" w:rsidRDefault="00CA1B2F" w:rsidP="006A14E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A14E7">
        <w:rPr>
          <w:rFonts w:ascii="Times New Roman" w:eastAsia="Times New Roman" w:hAnsi="Times New Roman" w:cs="Times New Roman"/>
          <w:sz w:val="24"/>
          <w:szCs w:val="24"/>
          <w:lang w:eastAsia="pl-PL"/>
        </w:rPr>
        <w:t>. Szkolenia dla analityków kryminalnych będą prowadzone w dni powszednie poniedziałek-wtorek, środa-czwartek, w godzinach 08:00-16:00 w następujących miastach: Łódź (5 edycji) i Warszawa (4 edycje)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A1B2F" w:rsidRDefault="00CA1B2F" w:rsidP="006A14E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 Wykonawcy (trenerzy) otrzymają od Zamawiającego „</w:t>
      </w:r>
      <w:r w:rsidRPr="00A760F5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Metodyki prowadzenia postępowania w sprawach karnych z wykorzystaniem systemu digitalizacji 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jako materiał do przygotowania i przeprowadzenia  szkoleń.</w:t>
      </w:r>
    </w:p>
    <w:p w:rsidR="00AC361B" w:rsidRPr="00693693" w:rsidRDefault="00E81AE1" w:rsidP="00130DD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46FD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Cała edycja każdego szkolenia winna być przeprowadzona przez jednego Wykonawcę (trenera)</w:t>
      </w:r>
    </w:p>
    <w:p w:rsidR="00693693" w:rsidRPr="00693693" w:rsidRDefault="00693693" w:rsidP="00693693">
      <w:pPr>
        <w:shd w:val="clear" w:color="auto" w:fill="FFFFFF"/>
        <w:spacing w:after="135" w:line="270" w:lineRule="atLeast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  <w:r w:rsidRPr="00693693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Prosimy o oszacowanie ww. kosztów brutto w następującym układzie</w:t>
      </w:r>
      <w:r w:rsidR="00BB3D08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 kosztu</w:t>
      </w:r>
      <w:r w:rsidRPr="00693693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693693" w:rsidRPr="00693693" w:rsidTr="00D41EC6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693693" w:rsidRDefault="00693693" w:rsidP="00693693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693693" w:rsidRDefault="00693693" w:rsidP="00693693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Całkowity koszt w PLN (brutto)</w:t>
            </w:r>
          </w:p>
        </w:tc>
      </w:tr>
      <w:tr w:rsidR="00693693" w:rsidRPr="00693693" w:rsidTr="00D41EC6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693693" w:rsidRDefault="00661253" w:rsidP="00710D3D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  <w:t xml:space="preserve">Koszt 1 godziny lekcyjnej </w:t>
            </w:r>
            <w:r w:rsidR="00E81AE1"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  <w:t xml:space="preserve">szkolenia 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693693" w:rsidRDefault="00693693" w:rsidP="00693693">
            <w:pPr>
              <w:spacing w:after="0" w:line="270" w:lineRule="atLeast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color w:val="262625"/>
                <w:sz w:val="20"/>
                <w:szCs w:val="20"/>
                <w:lang w:eastAsia="pl-PL"/>
              </w:rPr>
              <w:t> </w:t>
            </w:r>
          </w:p>
        </w:tc>
      </w:tr>
      <w:tr w:rsidR="00693693" w:rsidRPr="00693693" w:rsidTr="00D41EC6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CE3" w:rsidRPr="00693693" w:rsidRDefault="005D6CE3" w:rsidP="00992285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693693" w:rsidRDefault="00693693" w:rsidP="00693693">
            <w:pPr>
              <w:spacing w:after="0" w:line="270" w:lineRule="atLeast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color w:val="262625"/>
                <w:sz w:val="20"/>
                <w:szCs w:val="20"/>
                <w:lang w:eastAsia="pl-PL"/>
              </w:rPr>
              <w:t> </w:t>
            </w:r>
          </w:p>
        </w:tc>
      </w:tr>
    </w:tbl>
    <w:p w:rsidR="00693693" w:rsidRPr="00693693" w:rsidRDefault="00693693" w:rsidP="00693693">
      <w:pPr>
        <w:shd w:val="clear" w:color="auto" w:fill="FFFFFF"/>
        <w:spacing w:after="135" w:line="270" w:lineRule="atLeast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  <w:r w:rsidRPr="00693693"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  <w:t> </w:t>
      </w:r>
    </w:p>
    <w:p w:rsidR="00693693" w:rsidRDefault="00693693"/>
    <w:sectPr w:rsidR="0069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0FC" w:rsidRDefault="00FB00FC" w:rsidP="0098489D">
      <w:pPr>
        <w:spacing w:after="0" w:line="240" w:lineRule="auto"/>
      </w:pPr>
      <w:r>
        <w:separator/>
      </w:r>
    </w:p>
  </w:endnote>
  <w:endnote w:type="continuationSeparator" w:id="0">
    <w:p w:rsidR="00FB00FC" w:rsidRDefault="00FB00FC" w:rsidP="0098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0FC" w:rsidRDefault="00FB00FC" w:rsidP="0098489D">
      <w:pPr>
        <w:spacing w:after="0" w:line="240" w:lineRule="auto"/>
      </w:pPr>
      <w:r>
        <w:separator/>
      </w:r>
    </w:p>
  </w:footnote>
  <w:footnote w:type="continuationSeparator" w:id="0">
    <w:p w:rsidR="00FB00FC" w:rsidRDefault="00FB00FC" w:rsidP="009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7012"/>
    <w:multiLevelType w:val="hybridMultilevel"/>
    <w:tmpl w:val="4F4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3217"/>
    <w:multiLevelType w:val="hybridMultilevel"/>
    <w:tmpl w:val="9DD0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3878"/>
    <w:multiLevelType w:val="hybridMultilevel"/>
    <w:tmpl w:val="19F2A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61773"/>
    <w:multiLevelType w:val="hybridMultilevel"/>
    <w:tmpl w:val="9BC41664"/>
    <w:lvl w:ilvl="0" w:tplc="1ABC1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5F51A7"/>
    <w:multiLevelType w:val="hybridMultilevel"/>
    <w:tmpl w:val="1CDA4102"/>
    <w:lvl w:ilvl="0" w:tplc="652A7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93"/>
    <w:rsid w:val="000159AA"/>
    <w:rsid w:val="000767FB"/>
    <w:rsid w:val="000771D0"/>
    <w:rsid w:val="000B3EA3"/>
    <w:rsid w:val="000E6825"/>
    <w:rsid w:val="00130DD7"/>
    <w:rsid w:val="00151EDC"/>
    <w:rsid w:val="00292E33"/>
    <w:rsid w:val="00294CCE"/>
    <w:rsid w:val="003D7C70"/>
    <w:rsid w:val="004531D1"/>
    <w:rsid w:val="004C74C6"/>
    <w:rsid w:val="00500084"/>
    <w:rsid w:val="00514234"/>
    <w:rsid w:val="00530EC7"/>
    <w:rsid w:val="00554600"/>
    <w:rsid w:val="00557CE2"/>
    <w:rsid w:val="005D6CE3"/>
    <w:rsid w:val="00610FAF"/>
    <w:rsid w:val="00661253"/>
    <w:rsid w:val="006773A4"/>
    <w:rsid w:val="00693693"/>
    <w:rsid w:val="006A14E7"/>
    <w:rsid w:val="006B7E12"/>
    <w:rsid w:val="00710D3D"/>
    <w:rsid w:val="00752DDA"/>
    <w:rsid w:val="007674F9"/>
    <w:rsid w:val="007C788D"/>
    <w:rsid w:val="008676A8"/>
    <w:rsid w:val="00873D4A"/>
    <w:rsid w:val="0088238A"/>
    <w:rsid w:val="008D2568"/>
    <w:rsid w:val="009478AF"/>
    <w:rsid w:val="0098489D"/>
    <w:rsid w:val="00992285"/>
    <w:rsid w:val="00A81098"/>
    <w:rsid w:val="00AC361B"/>
    <w:rsid w:val="00B26828"/>
    <w:rsid w:val="00B46FD3"/>
    <w:rsid w:val="00B83F26"/>
    <w:rsid w:val="00BB3D08"/>
    <w:rsid w:val="00CA1B2F"/>
    <w:rsid w:val="00CA626E"/>
    <w:rsid w:val="00D34E92"/>
    <w:rsid w:val="00D41EC6"/>
    <w:rsid w:val="00DA488C"/>
    <w:rsid w:val="00E81AE1"/>
    <w:rsid w:val="00EB6532"/>
    <w:rsid w:val="00F669E4"/>
    <w:rsid w:val="00F82548"/>
    <w:rsid w:val="00F9786E"/>
    <w:rsid w:val="00FB00FC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1CFFC-72EC-4287-BCFD-1DBE771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9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8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8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arp.gov.pl/szacowanie-wartosci-zamowienia-na-wynajem-sal-komputerowych-dla-uczestnikow-szkolen-oraz-wynajem-sali-na-spotkanie-dotyczace-rozwoju-zrk-wraz-z-cateringiem-i-przerwa-obiadowa-w-ramach-projektu-pozakonkursowego-wdrozenie-i-prowadzenie-zint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Szelągowski Wojciech  (PR)</cp:lastModifiedBy>
  <cp:revision>3</cp:revision>
  <dcterms:created xsi:type="dcterms:W3CDTF">2019-02-25T11:33:00Z</dcterms:created>
  <dcterms:modified xsi:type="dcterms:W3CDTF">2019-02-25T13:35:00Z</dcterms:modified>
</cp:coreProperties>
</file>