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33F4" w14:textId="36E2F5AC" w:rsidR="00872D8A" w:rsidRPr="001061A2" w:rsidRDefault="000C492C" w:rsidP="006C142C">
      <w:pPr>
        <w:spacing w:before="60" w:line="20" w:lineRule="atLeast"/>
        <w:rPr>
          <w:b/>
          <w:bCs/>
        </w:rPr>
      </w:pPr>
      <w:bookmarkStart w:id="0" w:name="_Hlk210029394"/>
      <w:r w:rsidRPr="001061A2">
        <w:rPr>
          <w:b/>
          <w:bCs/>
        </w:rPr>
        <w:t>OPIS PRZEDMIOTU ZAMÓWIENIA</w:t>
      </w:r>
    </w:p>
    <w:p w14:paraId="4340D2D6" w14:textId="77777777" w:rsidR="009E48D1" w:rsidRPr="001D3BBA" w:rsidRDefault="009E48D1" w:rsidP="006C142C">
      <w:pPr>
        <w:spacing w:before="60" w:line="20" w:lineRule="atLeast"/>
        <w:rPr>
          <w:color w:val="FF0000"/>
        </w:rPr>
      </w:pPr>
    </w:p>
    <w:p w14:paraId="0D1B766C" w14:textId="77777777" w:rsidR="009C3021" w:rsidRDefault="009C3021" w:rsidP="007A00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0" w:lineRule="atLeast"/>
        <w:ind w:left="357" w:hanging="357"/>
        <w:rPr>
          <w:rFonts w:asciiTheme="minorHAnsi" w:hAnsiTheme="minorHAnsi" w:cstheme="minorHAnsi"/>
          <w:b/>
          <w:bCs/>
        </w:rPr>
      </w:pPr>
      <w:r w:rsidRPr="009C3021">
        <w:rPr>
          <w:rFonts w:asciiTheme="minorHAnsi" w:hAnsiTheme="minorHAnsi" w:cstheme="minorHAnsi"/>
          <w:b/>
          <w:bCs/>
        </w:rPr>
        <w:t>Nazwa zamówienia:</w:t>
      </w:r>
    </w:p>
    <w:p w14:paraId="00A275D4" w14:textId="1FB0FEAB" w:rsidR="002519BA" w:rsidRPr="002519BA" w:rsidRDefault="002519BA" w:rsidP="002519BA">
      <w:pPr>
        <w:overflowPunct w:val="0"/>
        <w:autoSpaceDE w:val="0"/>
        <w:autoSpaceDN w:val="0"/>
        <w:adjustRightInd w:val="0"/>
        <w:spacing w:before="60" w:line="20" w:lineRule="atLeast"/>
        <w:ind w:left="357"/>
        <w:rPr>
          <w:rFonts w:asciiTheme="minorHAnsi" w:hAnsiTheme="minorHAnsi" w:cstheme="minorHAnsi"/>
        </w:rPr>
      </w:pPr>
      <w:r w:rsidRPr="002519BA">
        <w:rPr>
          <w:rFonts w:asciiTheme="minorHAnsi" w:hAnsiTheme="minorHAnsi" w:cstheme="minorHAnsi"/>
        </w:rPr>
        <w:t xml:space="preserve">Dostawa i przekazanie dla </w:t>
      </w:r>
      <w:r w:rsidRPr="00101864">
        <w:rPr>
          <w:rFonts w:asciiTheme="minorHAnsi" w:hAnsiTheme="minorHAnsi" w:cstheme="minorHAnsi"/>
        </w:rPr>
        <w:t>Zachodniopomorskiego Urzędu Wojewódzkiego</w:t>
      </w:r>
      <w:r w:rsidRPr="002519BA">
        <w:rPr>
          <w:rFonts w:asciiTheme="minorHAnsi" w:hAnsiTheme="minorHAnsi" w:cstheme="minorHAnsi"/>
        </w:rPr>
        <w:t xml:space="preserve"> </w:t>
      </w:r>
      <w:r w:rsidRPr="00101864">
        <w:rPr>
          <w:rFonts w:asciiTheme="minorHAnsi" w:hAnsiTheme="minorHAnsi" w:cstheme="minorHAnsi"/>
          <w:b/>
          <w:bCs/>
        </w:rPr>
        <w:t>40 sztuk</w:t>
      </w:r>
      <w:r w:rsidRPr="002519BA">
        <w:rPr>
          <w:rFonts w:asciiTheme="minorHAnsi" w:hAnsiTheme="minorHAnsi" w:cstheme="minorHAnsi"/>
        </w:rPr>
        <w:t xml:space="preserve"> </w:t>
      </w:r>
      <w:r w:rsidR="00101864" w:rsidRPr="00101864">
        <w:rPr>
          <w:rFonts w:asciiTheme="minorHAnsi" w:hAnsiTheme="minorHAnsi" w:cstheme="minorHAnsi"/>
          <w:b/>
          <w:bCs/>
        </w:rPr>
        <w:t>hełmów taktycznych niebalistycznych typu FAST/BUMP</w:t>
      </w:r>
      <w:r w:rsidR="00101864">
        <w:rPr>
          <w:rFonts w:asciiTheme="minorHAnsi" w:hAnsiTheme="minorHAnsi" w:cstheme="minorHAnsi"/>
          <w:b/>
          <w:bCs/>
        </w:rPr>
        <w:t>,</w:t>
      </w:r>
      <w:r w:rsidRPr="002519BA">
        <w:rPr>
          <w:rFonts w:asciiTheme="minorHAnsi" w:hAnsiTheme="minorHAnsi" w:cstheme="minorHAnsi"/>
        </w:rPr>
        <w:t xml:space="preserve"> w rozmiarach:</w:t>
      </w:r>
    </w:p>
    <w:p w14:paraId="738EF90A" w14:textId="77777777" w:rsidR="002519BA" w:rsidRPr="002519BA" w:rsidRDefault="002519BA" w:rsidP="002519B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2519BA">
        <w:rPr>
          <w:rFonts w:asciiTheme="minorHAnsi" w:hAnsiTheme="minorHAnsi" w:cstheme="minorHAnsi"/>
        </w:rPr>
        <w:t>S – 6 szt.,</w:t>
      </w:r>
    </w:p>
    <w:p w14:paraId="4EF4E939" w14:textId="77777777" w:rsidR="002519BA" w:rsidRPr="002519BA" w:rsidRDefault="002519BA" w:rsidP="002519B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2519BA">
        <w:rPr>
          <w:rFonts w:asciiTheme="minorHAnsi" w:hAnsiTheme="minorHAnsi" w:cstheme="minorHAnsi"/>
        </w:rPr>
        <w:t>M/L – 20 szt.,</w:t>
      </w:r>
    </w:p>
    <w:p w14:paraId="1F0C29C6" w14:textId="77777777" w:rsidR="002519BA" w:rsidRDefault="002519BA" w:rsidP="002519B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2519BA">
        <w:rPr>
          <w:rFonts w:asciiTheme="minorHAnsi" w:hAnsiTheme="minorHAnsi" w:cstheme="minorHAnsi"/>
        </w:rPr>
        <w:t>XL – 10 szt.,</w:t>
      </w:r>
    </w:p>
    <w:p w14:paraId="50939056" w14:textId="61B98517" w:rsidR="006C142C" w:rsidRDefault="002519BA" w:rsidP="002519B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2519BA">
        <w:rPr>
          <w:rFonts w:asciiTheme="minorHAnsi" w:hAnsiTheme="minorHAnsi" w:cstheme="minorHAnsi"/>
        </w:rPr>
        <w:t>XXL – 4 szt.</w:t>
      </w:r>
    </w:p>
    <w:p w14:paraId="218F95CF" w14:textId="1C72E883" w:rsidR="00BC6766" w:rsidRPr="003C7479" w:rsidRDefault="00BC6766" w:rsidP="00671C70">
      <w:pPr>
        <w:overflowPunct w:val="0"/>
        <w:autoSpaceDE w:val="0"/>
        <w:autoSpaceDN w:val="0"/>
        <w:adjustRightInd w:val="0"/>
        <w:spacing w:before="60" w:line="20" w:lineRule="atLeast"/>
        <w:ind w:left="357"/>
        <w:rPr>
          <w:rFonts w:asciiTheme="minorHAnsi" w:hAnsiTheme="minorHAnsi" w:cstheme="minorHAnsi"/>
          <w:b/>
          <w:bCs/>
        </w:rPr>
      </w:pPr>
      <w:r w:rsidRPr="003C7479">
        <w:rPr>
          <w:rFonts w:asciiTheme="minorHAnsi" w:hAnsiTheme="minorHAnsi"/>
          <w:b/>
          <w:bCs/>
        </w:rPr>
        <w:t>Dopuszcza się stosowanie rozmiarów łączonych (np. M/L, L/XL), pod warunkiem że Wykonawca wskaże iż oferowane rozmiary pokrywają wymagany zakres obwodów głowy użytkowników.</w:t>
      </w:r>
    </w:p>
    <w:p w14:paraId="380103EB" w14:textId="77777777" w:rsidR="009C3021" w:rsidRDefault="009C3021" w:rsidP="007A00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0" w:lineRule="atLeast"/>
        <w:ind w:left="357" w:hanging="357"/>
        <w:rPr>
          <w:rFonts w:asciiTheme="minorHAnsi" w:hAnsiTheme="minorHAnsi" w:cstheme="minorHAnsi"/>
          <w:b/>
          <w:bCs/>
        </w:rPr>
      </w:pPr>
      <w:r w:rsidRPr="009C3021">
        <w:rPr>
          <w:rFonts w:asciiTheme="minorHAnsi" w:hAnsiTheme="minorHAnsi" w:cstheme="minorHAnsi"/>
          <w:b/>
          <w:bCs/>
        </w:rPr>
        <w:t>Cel zamówienia:</w:t>
      </w:r>
    </w:p>
    <w:p w14:paraId="160D7604" w14:textId="7635B71B" w:rsidR="00101864" w:rsidRPr="00101864" w:rsidRDefault="00101864" w:rsidP="00101864">
      <w:pPr>
        <w:overflowPunct w:val="0"/>
        <w:autoSpaceDE w:val="0"/>
        <w:autoSpaceDN w:val="0"/>
        <w:adjustRightInd w:val="0"/>
        <w:spacing w:before="60" w:line="20" w:lineRule="atLeast"/>
        <w:ind w:lef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101864">
        <w:rPr>
          <w:rFonts w:asciiTheme="minorHAnsi" w:hAnsiTheme="minorHAnsi" w:cstheme="minorHAnsi"/>
        </w:rPr>
        <w:t xml:space="preserve">elem zamówienia jest wyposażenie służb i podmiotów uczestniczących w działaniach ratowniczych i taktycznych w </w:t>
      </w:r>
      <w:r w:rsidRPr="00101864">
        <w:rPr>
          <w:rFonts w:asciiTheme="minorHAnsi" w:hAnsiTheme="minorHAnsi" w:cstheme="minorHAnsi"/>
          <w:b/>
          <w:bCs/>
        </w:rPr>
        <w:t>hełmy taktyczne FAST/BUMP</w:t>
      </w:r>
      <w:r w:rsidRPr="00101864">
        <w:rPr>
          <w:rFonts w:asciiTheme="minorHAnsi" w:hAnsiTheme="minorHAnsi" w:cstheme="minorHAnsi"/>
        </w:rPr>
        <w:t>, zapewniające:</w:t>
      </w:r>
    </w:p>
    <w:p w14:paraId="1D752B28" w14:textId="77777777" w:rsidR="00101864" w:rsidRPr="00101864" w:rsidRDefault="00101864" w:rsidP="0010186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ochronę głowy przed uderzeniami mechanicznymi,</w:t>
      </w:r>
    </w:p>
    <w:p w14:paraId="33055DBF" w14:textId="77777777" w:rsidR="00101864" w:rsidRPr="00101864" w:rsidRDefault="00101864" w:rsidP="0010186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wysoką ergonomię i komfort podczas długotrwałych działań,</w:t>
      </w:r>
    </w:p>
    <w:p w14:paraId="6FEA3569" w14:textId="77777777" w:rsidR="00101864" w:rsidRPr="00101864" w:rsidRDefault="00101864" w:rsidP="0010186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kompatybilność z wyposażeniem taktycznym (m.in. oświetlenie, kamera, zestawy łączności).</w:t>
      </w:r>
    </w:p>
    <w:p w14:paraId="71668CCF" w14:textId="4EB9D6A7" w:rsidR="007A00C0" w:rsidRPr="007A00C0" w:rsidRDefault="00101864" w:rsidP="007A00C0">
      <w:pPr>
        <w:overflowPunct w:val="0"/>
        <w:autoSpaceDE w:val="0"/>
        <w:autoSpaceDN w:val="0"/>
        <w:adjustRightInd w:val="0"/>
        <w:spacing w:before="60" w:line="20" w:lineRule="atLeast"/>
        <w:ind w:left="357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 xml:space="preserve">Hełmy mają być </w:t>
      </w:r>
      <w:r w:rsidRPr="00101864">
        <w:rPr>
          <w:rFonts w:asciiTheme="minorHAnsi" w:hAnsiTheme="minorHAnsi" w:cstheme="minorHAnsi"/>
          <w:b/>
          <w:bCs/>
        </w:rPr>
        <w:t>niebalistyczne</w:t>
      </w:r>
      <w:r w:rsidRPr="00101864">
        <w:rPr>
          <w:rFonts w:asciiTheme="minorHAnsi" w:hAnsiTheme="minorHAnsi" w:cstheme="minorHAnsi"/>
        </w:rPr>
        <w:t xml:space="preserve">, dzięki czemu ich zakup </w:t>
      </w:r>
      <w:r w:rsidRPr="00101864">
        <w:rPr>
          <w:rFonts w:asciiTheme="minorHAnsi" w:hAnsiTheme="minorHAnsi" w:cstheme="minorHAnsi"/>
          <w:b/>
          <w:bCs/>
        </w:rPr>
        <w:t>nie wymaga uzyskania koncesji</w:t>
      </w:r>
      <w:r w:rsidRPr="00101864">
        <w:rPr>
          <w:rFonts w:asciiTheme="minorHAnsi" w:hAnsiTheme="minorHAnsi" w:cstheme="minorHAnsi"/>
        </w:rPr>
        <w:t>, a jednocześnie zachowują wszystkie kluczowe cechy hełmów taktycznych</w:t>
      </w:r>
      <w:r w:rsidR="009C3021" w:rsidRPr="009C3021">
        <w:rPr>
          <w:rFonts w:asciiTheme="minorHAnsi" w:hAnsiTheme="minorHAnsi" w:cstheme="minorHAnsi"/>
        </w:rPr>
        <w:t>.</w:t>
      </w:r>
    </w:p>
    <w:p w14:paraId="743263B1" w14:textId="77777777" w:rsidR="009C3021" w:rsidRDefault="009C3021" w:rsidP="007A00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0" w:lineRule="atLeast"/>
        <w:ind w:left="357" w:hanging="357"/>
        <w:rPr>
          <w:rFonts w:asciiTheme="minorHAnsi" w:hAnsiTheme="minorHAnsi" w:cstheme="minorHAnsi"/>
          <w:b/>
          <w:bCs/>
        </w:rPr>
      </w:pPr>
      <w:r w:rsidRPr="009C3021">
        <w:rPr>
          <w:rFonts w:asciiTheme="minorHAnsi" w:hAnsiTheme="minorHAnsi" w:cstheme="minorHAnsi"/>
          <w:b/>
          <w:bCs/>
        </w:rPr>
        <w:t>Zakres przedmiotu zamówienia:</w:t>
      </w:r>
    </w:p>
    <w:p w14:paraId="793BF7EA" w14:textId="77777777" w:rsidR="00101864" w:rsidRPr="00101864" w:rsidRDefault="00101864" w:rsidP="00101864">
      <w:pPr>
        <w:overflowPunct w:val="0"/>
        <w:autoSpaceDE w:val="0"/>
        <w:autoSpaceDN w:val="0"/>
        <w:adjustRightInd w:val="0"/>
        <w:spacing w:before="60" w:line="20" w:lineRule="atLeast"/>
        <w:ind w:left="357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 xml:space="preserve">Wykonawca zobowiązuje się do dostarczenia 40 sztuk hełmów taktycznych spełniających wymagania określone w </w:t>
      </w:r>
      <w:r w:rsidRPr="00101864">
        <w:rPr>
          <w:rFonts w:asciiTheme="minorHAnsi" w:hAnsiTheme="minorHAnsi" w:cstheme="minorHAnsi"/>
          <w:b/>
          <w:bCs/>
        </w:rPr>
        <w:t>Specyfikacji Technicznej (Załącznik nr 1)</w:t>
      </w:r>
      <w:r w:rsidRPr="00101864">
        <w:rPr>
          <w:rFonts w:asciiTheme="minorHAnsi" w:hAnsiTheme="minorHAnsi" w:cstheme="minorHAnsi"/>
        </w:rPr>
        <w:t>.</w:t>
      </w:r>
    </w:p>
    <w:p w14:paraId="0CA2B6DC" w14:textId="77777777" w:rsidR="00101864" w:rsidRPr="00101864" w:rsidRDefault="00101864" w:rsidP="00101864">
      <w:pPr>
        <w:overflowPunct w:val="0"/>
        <w:autoSpaceDE w:val="0"/>
        <w:autoSpaceDN w:val="0"/>
        <w:adjustRightInd w:val="0"/>
        <w:spacing w:before="60" w:line="20" w:lineRule="atLeast"/>
        <w:ind w:left="357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Zakres obejmuje:</w:t>
      </w:r>
    </w:p>
    <w:p w14:paraId="594DCA4C" w14:textId="77777777" w:rsidR="00101864" w:rsidRPr="00101864" w:rsidRDefault="00101864" w:rsidP="0010186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dostawę hełmów do miejsca wskazanego przez Zamawiającego,</w:t>
      </w:r>
    </w:p>
    <w:p w14:paraId="18569E2D" w14:textId="77777777" w:rsidR="00101864" w:rsidRPr="00101864" w:rsidRDefault="00101864" w:rsidP="0010186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przekazanie dokumentacji technicznej (instrukcja, karty katalogowe, deklaracje zgodności, gwarancja),</w:t>
      </w:r>
    </w:p>
    <w:p w14:paraId="786A3536" w14:textId="7EB8001C" w:rsidR="006C142C" w:rsidRPr="00101864" w:rsidRDefault="00101864" w:rsidP="0010186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dostarczenie hełmów fabrycznie nowych, kompletnych, wolnych od wad.</w:t>
      </w:r>
    </w:p>
    <w:p w14:paraId="5F218FC4" w14:textId="77777777" w:rsidR="002519BA" w:rsidRPr="002519BA" w:rsidRDefault="009C3021" w:rsidP="007A00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0" w:lineRule="atLeast"/>
        <w:ind w:left="357" w:hanging="357"/>
        <w:rPr>
          <w:rFonts w:asciiTheme="minorHAnsi" w:hAnsiTheme="minorHAnsi" w:cstheme="minorHAnsi"/>
          <w:b/>
          <w:bCs/>
        </w:rPr>
      </w:pPr>
      <w:r w:rsidRPr="009C3021">
        <w:rPr>
          <w:rFonts w:asciiTheme="minorHAnsi" w:hAnsiTheme="minorHAnsi" w:cstheme="minorHAnsi"/>
          <w:b/>
          <w:bCs/>
        </w:rPr>
        <w:t xml:space="preserve">Wymagania </w:t>
      </w:r>
      <w:r w:rsidR="002519BA" w:rsidRPr="002519BA">
        <w:rPr>
          <w:rFonts w:asciiTheme="minorHAnsi" w:hAnsiTheme="minorHAnsi" w:cstheme="minorHAnsi"/>
          <w:b/>
          <w:bCs/>
        </w:rPr>
        <w:t>dotyczące hełmów:</w:t>
      </w:r>
    </w:p>
    <w:p w14:paraId="3C630BD5" w14:textId="0A82776D" w:rsidR="002519BA" w:rsidRPr="002519BA" w:rsidRDefault="002519BA" w:rsidP="002519BA">
      <w:pPr>
        <w:overflowPunct w:val="0"/>
        <w:autoSpaceDE w:val="0"/>
        <w:autoSpaceDN w:val="0"/>
        <w:adjustRightInd w:val="0"/>
        <w:spacing w:before="60" w:line="20" w:lineRule="atLeast"/>
        <w:ind w:left="357"/>
        <w:rPr>
          <w:rFonts w:asciiTheme="minorHAnsi" w:hAnsiTheme="minorHAnsi" w:cstheme="minorHAnsi"/>
          <w:b/>
          <w:bCs/>
        </w:rPr>
      </w:pPr>
      <w:r w:rsidRPr="002519BA">
        <w:rPr>
          <w:rFonts w:asciiTheme="minorHAnsi" w:hAnsiTheme="minorHAnsi" w:cstheme="minorHAnsi"/>
        </w:rPr>
        <w:t xml:space="preserve">Hełmy muszą </w:t>
      </w:r>
      <w:r w:rsidR="00101864">
        <w:rPr>
          <w:rFonts w:asciiTheme="minorHAnsi" w:hAnsiTheme="minorHAnsi" w:cstheme="minorHAnsi"/>
        </w:rPr>
        <w:t>być</w:t>
      </w:r>
      <w:r w:rsidRPr="002519BA">
        <w:rPr>
          <w:rFonts w:asciiTheme="minorHAnsi" w:hAnsiTheme="minorHAnsi" w:cstheme="minorHAnsi"/>
        </w:rPr>
        <w:t>:</w:t>
      </w:r>
    </w:p>
    <w:p w14:paraId="06FB2441" w14:textId="57CE9DE7" w:rsidR="00101864" w:rsidRPr="00101864" w:rsidRDefault="00101864" w:rsidP="0010186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  <w:b/>
          <w:bCs/>
        </w:rPr>
        <w:t>hełmami taktycznymi typu FAST/BUMP – niebalistycznymi</w:t>
      </w:r>
      <w:r w:rsidRPr="00101864">
        <w:rPr>
          <w:rFonts w:asciiTheme="minorHAnsi" w:hAnsiTheme="minorHAnsi" w:cstheme="minorHAnsi"/>
        </w:rPr>
        <w:t>,</w:t>
      </w:r>
    </w:p>
    <w:p w14:paraId="6BAA81F1" w14:textId="77777777" w:rsidR="00101864" w:rsidRPr="00101864" w:rsidRDefault="00101864" w:rsidP="0010186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wykonanymi z tworzyw o wysokiej odporności udarowej (np. ABS, poliwęglan, kompozyty),</w:t>
      </w:r>
    </w:p>
    <w:p w14:paraId="0747DA76" w14:textId="77777777" w:rsidR="00101864" w:rsidRPr="00101864" w:rsidRDefault="00101864" w:rsidP="0010186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 xml:space="preserve">wyposażonymi w: </w:t>
      </w:r>
    </w:p>
    <w:p w14:paraId="6A94A786" w14:textId="77777777" w:rsidR="00101864" w:rsidRPr="00101864" w:rsidRDefault="00101864" w:rsidP="0010186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  <w:b/>
          <w:bCs/>
        </w:rPr>
        <w:t>uchwyt NVG (</w:t>
      </w:r>
      <w:proofErr w:type="spellStart"/>
      <w:r w:rsidRPr="00101864">
        <w:rPr>
          <w:rFonts w:asciiTheme="minorHAnsi" w:hAnsiTheme="minorHAnsi" w:cstheme="minorHAnsi"/>
          <w:b/>
          <w:bCs/>
        </w:rPr>
        <w:t>shroud</w:t>
      </w:r>
      <w:proofErr w:type="spellEnd"/>
      <w:r w:rsidRPr="00101864">
        <w:rPr>
          <w:rFonts w:asciiTheme="minorHAnsi" w:hAnsiTheme="minorHAnsi" w:cstheme="minorHAnsi"/>
          <w:b/>
          <w:bCs/>
        </w:rPr>
        <w:t>)</w:t>
      </w:r>
      <w:r w:rsidRPr="00101864">
        <w:rPr>
          <w:rFonts w:asciiTheme="minorHAnsi" w:hAnsiTheme="minorHAnsi" w:cstheme="minorHAnsi"/>
        </w:rPr>
        <w:t xml:space="preserve"> – obowiązkowy,</w:t>
      </w:r>
    </w:p>
    <w:p w14:paraId="63EBA488" w14:textId="77777777" w:rsidR="00101864" w:rsidRPr="00101864" w:rsidRDefault="00101864" w:rsidP="0010186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  <w:b/>
          <w:bCs/>
        </w:rPr>
        <w:t>szyny boczne (ARC/</w:t>
      </w:r>
      <w:proofErr w:type="spellStart"/>
      <w:r w:rsidRPr="00101864">
        <w:rPr>
          <w:rFonts w:asciiTheme="minorHAnsi" w:hAnsiTheme="minorHAnsi" w:cstheme="minorHAnsi"/>
          <w:b/>
          <w:bCs/>
        </w:rPr>
        <w:t>Rails</w:t>
      </w:r>
      <w:proofErr w:type="spellEnd"/>
      <w:r w:rsidRPr="00101864">
        <w:rPr>
          <w:rFonts w:asciiTheme="minorHAnsi" w:hAnsiTheme="minorHAnsi" w:cstheme="minorHAnsi"/>
          <w:b/>
          <w:bCs/>
        </w:rPr>
        <w:t>)</w:t>
      </w:r>
      <w:r w:rsidRPr="00101864">
        <w:rPr>
          <w:rFonts w:asciiTheme="minorHAnsi" w:hAnsiTheme="minorHAnsi" w:cstheme="minorHAnsi"/>
        </w:rPr>
        <w:t xml:space="preserve"> – obowiązkowe,</w:t>
      </w:r>
    </w:p>
    <w:p w14:paraId="6213E1FA" w14:textId="77777777" w:rsidR="00101864" w:rsidRPr="00101864" w:rsidRDefault="00101864" w:rsidP="0010186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  <w:b/>
          <w:bCs/>
        </w:rPr>
        <w:t>system wewnętrznych padów amortyzujących</w:t>
      </w:r>
      <w:r w:rsidRPr="00101864">
        <w:rPr>
          <w:rFonts w:asciiTheme="minorHAnsi" w:hAnsiTheme="minorHAnsi" w:cstheme="minorHAnsi"/>
        </w:rPr>
        <w:t xml:space="preserve"> – obowiązkowy,</w:t>
      </w:r>
    </w:p>
    <w:p w14:paraId="2FD1153A" w14:textId="77777777" w:rsidR="00101864" w:rsidRPr="00101864" w:rsidRDefault="00101864" w:rsidP="0010186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  <w:b/>
          <w:bCs/>
        </w:rPr>
        <w:t>regulowaną uprząż 3- lub 4-punktową</w:t>
      </w:r>
      <w:r w:rsidRPr="00101864">
        <w:rPr>
          <w:rFonts w:asciiTheme="minorHAnsi" w:hAnsiTheme="minorHAnsi" w:cstheme="minorHAnsi"/>
        </w:rPr>
        <w:t>.</w:t>
      </w:r>
    </w:p>
    <w:p w14:paraId="03283102" w14:textId="77777777" w:rsidR="00101864" w:rsidRPr="00101864" w:rsidRDefault="00101864" w:rsidP="0010186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Dodatkowo wymagane:</w:t>
      </w:r>
    </w:p>
    <w:p w14:paraId="37ECD286" w14:textId="77777777" w:rsidR="00101864" w:rsidRPr="00101864" w:rsidRDefault="00101864" w:rsidP="0010186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lastRenderedPageBreak/>
        <w:t>kolor: czarny lub khaki,</w:t>
      </w:r>
    </w:p>
    <w:p w14:paraId="13552C63" w14:textId="21FF93B3" w:rsidR="00101864" w:rsidRPr="00924B88" w:rsidRDefault="00101864" w:rsidP="0010186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 xml:space="preserve">masa: </w:t>
      </w:r>
      <w:r w:rsidRPr="00924B88">
        <w:rPr>
          <w:rFonts w:asciiTheme="minorHAnsi" w:hAnsiTheme="minorHAnsi" w:cstheme="minorHAnsi"/>
          <w:color w:val="000000" w:themeColor="text1"/>
        </w:rPr>
        <w:t xml:space="preserve">1 000–1 </w:t>
      </w:r>
      <w:r w:rsidR="00BC6766" w:rsidRPr="00924B88">
        <w:rPr>
          <w:rFonts w:asciiTheme="minorHAnsi" w:hAnsiTheme="minorHAnsi" w:cstheme="minorHAnsi"/>
          <w:color w:val="000000" w:themeColor="text1"/>
        </w:rPr>
        <w:t>5</w:t>
      </w:r>
      <w:r w:rsidRPr="00924B88">
        <w:rPr>
          <w:rFonts w:asciiTheme="minorHAnsi" w:hAnsiTheme="minorHAnsi" w:cstheme="minorHAnsi"/>
          <w:color w:val="000000" w:themeColor="text1"/>
        </w:rPr>
        <w:t>00 g,</w:t>
      </w:r>
    </w:p>
    <w:p w14:paraId="459483F1" w14:textId="77777777" w:rsidR="00101864" w:rsidRPr="00101864" w:rsidRDefault="00101864" w:rsidP="0010186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pełne pole widzenia i słyszenia,</w:t>
      </w:r>
    </w:p>
    <w:p w14:paraId="6D96944F" w14:textId="77777777" w:rsidR="00101864" w:rsidRPr="00101864" w:rsidRDefault="00101864" w:rsidP="0010186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dobra wentylacja,</w:t>
      </w:r>
    </w:p>
    <w:p w14:paraId="44C479C9" w14:textId="77777777" w:rsidR="00101864" w:rsidRPr="00101864" w:rsidRDefault="00101864" w:rsidP="0010186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 xml:space="preserve">kompatybilność z </w:t>
      </w:r>
      <w:proofErr w:type="spellStart"/>
      <w:r w:rsidRPr="00101864">
        <w:rPr>
          <w:rFonts w:asciiTheme="minorHAnsi" w:hAnsiTheme="minorHAnsi" w:cstheme="minorHAnsi"/>
        </w:rPr>
        <w:t>podhełmowymi</w:t>
      </w:r>
      <w:proofErr w:type="spellEnd"/>
      <w:r w:rsidRPr="00101864">
        <w:rPr>
          <w:rFonts w:asciiTheme="minorHAnsi" w:hAnsiTheme="minorHAnsi" w:cstheme="minorHAnsi"/>
        </w:rPr>
        <w:t xml:space="preserve"> zestawami łączności,</w:t>
      </w:r>
    </w:p>
    <w:p w14:paraId="58F8C86B" w14:textId="2D82B5A3" w:rsidR="009C3021" w:rsidRPr="007A00C0" w:rsidRDefault="00101864" w:rsidP="007A00C0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rok produkcji: nie starszy niż 24 miesiące.</w:t>
      </w:r>
    </w:p>
    <w:p w14:paraId="01064D90" w14:textId="33FB1CD7" w:rsidR="009C3021" w:rsidRPr="009C3021" w:rsidRDefault="009C3021" w:rsidP="007A00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0" w:lineRule="atLeast"/>
        <w:ind w:left="357" w:hanging="357"/>
        <w:rPr>
          <w:rFonts w:asciiTheme="minorHAnsi" w:hAnsiTheme="minorHAnsi" w:cstheme="minorHAnsi"/>
          <w:b/>
          <w:bCs/>
        </w:rPr>
      </w:pPr>
      <w:r w:rsidRPr="009C3021">
        <w:rPr>
          <w:rFonts w:asciiTheme="minorHAnsi" w:hAnsiTheme="minorHAnsi" w:cstheme="minorHAnsi"/>
          <w:b/>
          <w:bCs/>
        </w:rPr>
        <w:t>Warunki odbioru i weryfikacji zgodności:</w:t>
      </w:r>
    </w:p>
    <w:p w14:paraId="7D42DF06" w14:textId="77777777" w:rsidR="00101864" w:rsidRPr="00101864" w:rsidRDefault="00101864" w:rsidP="0010186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Odbiór końcowy nastąpi w magazynie w Lubieszynie.</w:t>
      </w:r>
    </w:p>
    <w:p w14:paraId="0972ED6F" w14:textId="77777777" w:rsidR="00101864" w:rsidRPr="00101864" w:rsidRDefault="00101864" w:rsidP="0010186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 xml:space="preserve">Weryfikacja obejmuje: </w:t>
      </w:r>
    </w:p>
    <w:p w14:paraId="190B5F5E" w14:textId="77777777" w:rsidR="00101864" w:rsidRPr="00101864" w:rsidRDefault="00101864" w:rsidP="00101864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kompletność dostawy,</w:t>
      </w:r>
    </w:p>
    <w:p w14:paraId="64565AC9" w14:textId="77777777" w:rsidR="00101864" w:rsidRPr="00101864" w:rsidRDefault="00101864" w:rsidP="00101864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zgodność parametrów z kartami katalogowymi i Specyfikacją Techniczną,</w:t>
      </w:r>
    </w:p>
    <w:p w14:paraId="5FE5AF5A" w14:textId="77777777" w:rsidR="00101864" w:rsidRPr="00101864" w:rsidRDefault="00101864" w:rsidP="00101864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stan techniczny,</w:t>
      </w:r>
    </w:p>
    <w:p w14:paraId="098503D6" w14:textId="77777777" w:rsidR="00101864" w:rsidRPr="00101864" w:rsidRDefault="00101864" w:rsidP="00101864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prawidłowe oznakowanie,</w:t>
      </w:r>
    </w:p>
    <w:p w14:paraId="4EF0F10C" w14:textId="77777777" w:rsidR="00101864" w:rsidRPr="00101864" w:rsidRDefault="00101864" w:rsidP="00101864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dostarczoną dokumentację.</w:t>
      </w:r>
    </w:p>
    <w:p w14:paraId="408F99BF" w14:textId="53716B27" w:rsidR="009C3021" w:rsidRPr="007A00C0" w:rsidRDefault="00101864" w:rsidP="007A00C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W przypadku stwierdzenia niezgodności Zamawiający może odmówić odbioru do czasu ich usunięcia.</w:t>
      </w:r>
    </w:p>
    <w:p w14:paraId="7A35B6BE" w14:textId="0EFFF280" w:rsidR="009C3021" w:rsidRPr="009C3021" w:rsidRDefault="009C3021" w:rsidP="007A00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0" w:lineRule="atLeast"/>
        <w:ind w:left="357" w:hanging="357"/>
        <w:rPr>
          <w:rFonts w:asciiTheme="minorHAnsi" w:hAnsiTheme="minorHAnsi" w:cstheme="minorHAnsi"/>
          <w:b/>
          <w:bCs/>
        </w:rPr>
      </w:pPr>
      <w:r w:rsidRPr="009C3021">
        <w:rPr>
          <w:rFonts w:asciiTheme="minorHAnsi" w:hAnsiTheme="minorHAnsi" w:cstheme="minorHAnsi"/>
          <w:b/>
          <w:bCs/>
        </w:rPr>
        <w:t>Warunki gwarancji i serwisu:</w:t>
      </w:r>
    </w:p>
    <w:p w14:paraId="4314E318" w14:textId="4A1CC4AA" w:rsidR="00101864" w:rsidRPr="00101864" w:rsidRDefault="00101864" w:rsidP="0010186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 xml:space="preserve">Minimalny okres gwarancji: </w:t>
      </w:r>
      <w:r w:rsidRPr="00101864">
        <w:rPr>
          <w:rFonts w:asciiTheme="minorHAnsi" w:hAnsiTheme="minorHAnsi" w:cstheme="minorHAnsi"/>
          <w:b/>
          <w:bCs/>
        </w:rPr>
        <w:t>24 miesiące</w:t>
      </w:r>
      <w:r w:rsidRPr="00101864">
        <w:rPr>
          <w:rFonts w:asciiTheme="minorHAnsi" w:hAnsiTheme="minorHAnsi" w:cstheme="minorHAnsi"/>
        </w:rPr>
        <w:t>,</w:t>
      </w:r>
    </w:p>
    <w:p w14:paraId="1358D6FB" w14:textId="77777777" w:rsidR="00101864" w:rsidRPr="00101864" w:rsidRDefault="00101864" w:rsidP="0010186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Serwis gwarancyjny musi być dostępny na terenie Polski,</w:t>
      </w:r>
    </w:p>
    <w:p w14:paraId="7E868810" w14:textId="20756303" w:rsidR="006C142C" w:rsidRPr="007A00C0" w:rsidRDefault="00101864" w:rsidP="006C142C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Naprawy muszą być wykonywane przy użyciu części oryginalnych lub równoważnych dopuszczonych przez producenta</w:t>
      </w:r>
      <w:r w:rsidR="002519BA" w:rsidRPr="002519BA">
        <w:rPr>
          <w:rFonts w:asciiTheme="minorHAnsi" w:hAnsiTheme="minorHAnsi" w:cstheme="minorHAnsi"/>
        </w:rPr>
        <w:t>.</w:t>
      </w:r>
    </w:p>
    <w:p w14:paraId="5A28A8C1" w14:textId="2E0361A7" w:rsidR="006C142C" w:rsidRPr="009C3021" w:rsidRDefault="009C3021" w:rsidP="007A00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0" w:lineRule="atLeast"/>
        <w:ind w:left="357" w:hanging="357"/>
        <w:rPr>
          <w:rFonts w:asciiTheme="minorHAnsi" w:hAnsiTheme="minorHAnsi" w:cstheme="minorHAnsi"/>
          <w:b/>
          <w:bCs/>
        </w:rPr>
      </w:pPr>
      <w:r w:rsidRPr="009C3021">
        <w:rPr>
          <w:rFonts w:asciiTheme="minorHAnsi" w:hAnsiTheme="minorHAnsi" w:cstheme="minorHAnsi"/>
          <w:b/>
          <w:bCs/>
        </w:rPr>
        <w:t>Termin realizacji zamówienia:</w:t>
      </w:r>
    </w:p>
    <w:p w14:paraId="58000FFD" w14:textId="6860F6F0" w:rsidR="00101864" w:rsidRPr="00101864" w:rsidRDefault="00101864" w:rsidP="0010186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 xml:space="preserve">Dostawa hełmów: </w:t>
      </w:r>
      <w:r w:rsidRPr="00101864">
        <w:rPr>
          <w:rFonts w:asciiTheme="minorHAnsi" w:hAnsiTheme="minorHAnsi" w:cstheme="minorHAnsi"/>
          <w:b/>
          <w:bCs/>
        </w:rPr>
        <w:t>do 10 dni od podpisania umowy</w:t>
      </w:r>
      <w:r w:rsidRPr="00101864">
        <w:rPr>
          <w:rFonts w:asciiTheme="minorHAnsi" w:hAnsiTheme="minorHAnsi" w:cstheme="minorHAnsi"/>
        </w:rPr>
        <w:t>,</w:t>
      </w:r>
    </w:p>
    <w:p w14:paraId="140C757C" w14:textId="14713C7D" w:rsidR="006C142C" w:rsidRPr="007A00C0" w:rsidRDefault="00101864" w:rsidP="007A00C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 xml:space="preserve">Jednak nie później niż </w:t>
      </w:r>
      <w:r w:rsidRPr="00101864">
        <w:rPr>
          <w:rFonts w:asciiTheme="minorHAnsi" w:hAnsiTheme="minorHAnsi" w:cstheme="minorHAnsi"/>
          <w:b/>
          <w:bCs/>
        </w:rPr>
        <w:t>do 29 grudnia 2025 r.</w:t>
      </w:r>
      <w:r w:rsidRPr="00101864">
        <w:rPr>
          <w:rFonts w:asciiTheme="minorHAnsi" w:hAnsiTheme="minorHAnsi" w:cstheme="minorHAnsi"/>
        </w:rPr>
        <w:t xml:space="preserve"> (koniec roku budżetowego).</w:t>
      </w:r>
    </w:p>
    <w:p w14:paraId="2D986BF6" w14:textId="77777777" w:rsidR="006C142C" w:rsidRDefault="009C3021" w:rsidP="007A00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0" w:lineRule="atLeast"/>
        <w:ind w:left="357" w:hanging="357"/>
        <w:rPr>
          <w:rFonts w:asciiTheme="minorHAnsi" w:hAnsiTheme="minorHAnsi" w:cstheme="minorHAnsi"/>
          <w:b/>
          <w:bCs/>
        </w:rPr>
      </w:pPr>
      <w:r w:rsidRPr="006C142C">
        <w:rPr>
          <w:rFonts w:asciiTheme="minorHAnsi" w:hAnsiTheme="minorHAnsi" w:cstheme="minorHAnsi"/>
          <w:b/>
          <w:bCs/>
        </w:rPr>
        <w:t>Miejsce realizacji zamówienia:</w:t>
      </w:r>
    </w:p>
    <w:p w14:paraId="03897CFE" w14:textId="2BF0D9A9" w:rsidR="006C142C" w:rsidRPr="00101864" w:rsidRDefault="009C3021" w:rsidP="00101864">
      <w:pPr>
        <w:overflowPunct w:val="0"/>
        <w:autoSpaceDE w:val="0"/>
        <w:autoSpaceDN w:val="0"/>
        <w:adjustRightInd w:val="0"/>
        <w:spacing w:before="60" w:line="20" w:lineRule="atLeast"/>
        <w:ind w:left="357"/>
        <w:rPr>
          <w:rFonts w:asciiTheme="minorHAnsi" w:hAnsiTheme="minorHAnsi" w:cstheme="minorHAnsi"/>
          <w:b/>
          <w:bCs/>
        </w:rPr>
      </w:pPr>
      <w:r w:rsidRPr="006C142C">
        <w:rPr>
          <w:rFonts w:asciiTheme="minorHAnsi" w:hAnsiTheme="minorHAnsi" w:cstheme="minorHAnsi"/>
        </w:rPr>
        <w:t>Wojewódzki Magazyn Przeciwpowodziowy</w:t>
      </w:r>
      <w:r w:rsidR="00101864">
        <w:rPr>
          <w:rFonts w:asciiTheme="minorHAnsi" w:hAnsiTheme="minorHAnsi" w:cstheme="minorHAnsi"/>
        </w:rPr>
        <w:t xml:space="preserve">, </w:t>
      </w:r>
      <w:r w:rsidRPr="006C142C">
        <w:rPr>
          <w:rFonts w:asciiTheme="minorHAnsi" w:hAnsiTheme="minorHAnsi" w:cstheme="minorHAnsi"/>
          <w:b/>
          <w:bCs/>
        </w:rPr>
        <w:t>Lubieszyn 10H, 72-002 Dołuje</w:t>
      </w:r>
      <w:r w:rsidRPr="006C142C">
        <w:rPr>
          <w:rFonts w:asciiTheme="minorHAnsi" w:hAnsiTheme="minorHAnsi" w:cstheme="minorHAnsi"/>
        </w:rPr>
        <w:t>.</w:t>
      </w:r>
    </w:p>
    <w:p w14:paraId="7469FCBA" w14:textId="6405EF64" w:rsidR="009C3021" w:rsidRPr="009C3021" w:rsidRDefault="009C3021" w:rsidP="007A00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0" w:lineRule="atLeast"/>
        <w:ind w:left="357" w:hanging="357"/>
        <w:rPr>
          <w:rFonts w:asciiTheme="minorHAnsi" w:hAnsiTheme="minorHAnsi" w:cstheme="minorHAnsi"/>
          <w:b/>
          <w:bCs/>
        </w:rPr>
      </w:pPr>
      <w:r w:rsidRPr="009C3021">
        <w:rPr>
          <w:rFonts w:asciiTheme="minorHAnsi" w:hAnsiTheme="minorHAnsi" w:cstheme="minorHAnsi"/>
          <w:b/>
          <w:bCs/>
        </w:rPr>
        <w:t>Kryteria oceny ofert:</w:t>
      </w:r>
    </w:p>
    <w:p w14:paraId="034326A0" w14:textId="77777777" w:rsidR="002519BA" w:rsidRPr="002519BA" w:rsidRDefault="002519BA" w:rsidP="002519BA">
      <w:pPr>
        <w:numPr>
          <w:ilvl w:val="1"/>
          <w:numId w:val="6"/>
        </w:numPr>
        <w:tabs>
          <w:tab w:val="num" w:pos="1276"/>
        </w:tabs>
        <w:spacing w:before="60" w:line="20" w:lineRule="atLeast"/>
        <w:ind w:left="794" w:hanging="397"/>
        <w:rPr>
          <w:rStyle w:val="Pogrubienie"/>
        </w:rPr>
      </w:pPr>
      <w:r w:rsidRPr="002519BA">
        <w:rPr>
          <w:rStyle w:val="Pogrubienie"/>
        </w:rPr>
        <w:t>Cena brutto – 60%</w:t>
      </w:r>
    </w:p>
    <w:p w14:paraId="18D1D545" w14:textId="77777777" w:rsidR="00101864" w:rsidRPr="00101864" w:rsidRDefault="00101864" w:rsidP="00101864">
      <w:pPr>
        <w:overflowPunct w:val="0"/>
        <w:autoSpaceDE w:val="0"/>
        <w:autoSpaceDN w:val="0"/>
        <w:adjustRightInd w:val="0"/>
        <w:spacing w:before="60" w:line="20" w:lineRule="atLeast"/>
        <w:ind w:left="794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Najniższa cena = 60 pkt, pozostałe wg wzoru:</w:t>
      </w:r>
      <w:r w:rsidRPr="00101864">
        <w:rPr>
          <w:rFonts w:asciiTheme="minorHAnsi" w:hAnsiTheme="minorHAnsi" w:cstheme="minorHAnsi"/>
        </w:rPr>
        <w:br/>
        <w:t>(najniższa cena / cena badanej oferty) × 60</w:t>
      </w:r>
    </w:p>
    <w:p w14:paraId="2AE5B8B6" w14:textId="6F38DD07" w:rsidR="00101864" w:rsidRPr="00101864" w:rsidRDefault="00101864" w:rsidP="00101864">
      <w:pPr>
        <w:numPr>
          <w:ilvl w:val="1"/>
          <w:numId w:val="6"/>
        </w:numPr>
        <w:tabs>
          <w:tab w:val="num" w:pos="1276"/>
        </w:tabs>
        <w:spacing w:before="60" w:line="20" w:lineRule="atLeast"/>
        <w:ind w:left="794" w:hanging="397"/>
        <w:rPr>
          <w:b/>
          <w:bCs/>
        </w:rPr>
      </w:pPr>
      <w:r w:rsidRPr="00101864">
        <w:rPr>
          <w:b/>
          <w:bCs/>
        </w:rPr>
        <w:t>Funkcjonalność hełmu – 30%</w:t>
      </w:r>
    </w:p>
    <w:p w14:paraId="49EBF99B" w14:textId="77777777" w:rsidR="00101864" w:rsidRPr="00101864" w:rsidRDefault="00101864" w:rsidP="00101864">
      <w:pPr>
        <w:overflowPunct w:val="0"/>
        <w:autoSpaceDE w:val="0"/>
        <w:autoSpaceDN w:val="0"/>
        <w:adjustRightInd w:val="0"/>
        <w:spacing w:before="60" w:line="20" w:lineRule="atLeast"/>
        <w:ind w:left="794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Punktowane wyposażenie taktyczne:</w:t>
      </w:r>
    </w:p>
    <w:p w14:paraId="7CD380D4" w14:textId="77777777" w:rsidR="00101864" w:rsidRPr="00101864" w:rsidRDefault="00101864" w:rsidP="00101864">
      <w:pPr>
        <w:numPr>
          <w:ilvl w:val="1"/>
          <w:numId w:val="8"/>
        </w:numPr>
        <w:tabs>
          <w:tab w:val="num" w:pos="720"/>
        </w:tabs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Uchwyt NVG – 10 pkt</w:t>
      </w:r>
    </w:p>
    <w:p w14:paraId="590236D5" w14:textId="77777777" w:rsidR="00101864" w:rsidRPr="00101864" w:rsidRDefault="00101864" w:rsidP="00101864">
      <w:pPr>
        <w:numPr>
          <w:ilvl w:val="1"/>
          <w:numId w:val="8"/>
        </w:numPr>
        <w:tabs>
          <w:tab w:val="num" w:pos="720"/>
        </w:tabs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Szyny boczne (</w:t>
      </w:r>
      <w:proofErr w:type="spellStart"/>
      <w:r w:rsidRPr="00101864">
        <w:rPr>
          <w:rFonts w:asciiTheme="minorHAnsi" w:hAnsiTheme="minorHAnsi" w:cstheme="minorHAnsi"/>
        </w:rPr>
        <w:t>rails</w:t>
      </w:r>
      <w:proofErr w:type="spellEnd"/>
      <w:r w:rsidRPr="00101864">
        <w:rPr>
          <w:rFonts w:asciiTheme="minorHAnsi" w:hAnsiTheme="minorHAnsi" w:cstheme="minorHAnsi"/>
        </w:rPr>
        <w:t>) – 10 pkt</w:t>
      </w:r>
    </w:p>
    <w:p w14:paraId="44FE5FEC" w14:textId="77777777" w:rsidR="00101864" w:rsidRPr="00101864" w:rsidRDefault="00101864" w:rsidP="00101864">
      <w:pPr>
        <w:numPr>
          <w:ilvl w:val="1"/>
          <w:numId w:val="8"/>
        </w:numPr>
        <w:tabs>
          <w:tab w:val="num" w:pos="720"/>
        </w:tabs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System wewnętrznych padów – 10 pkt</w:t>
      </w:r>
    </w:p>
    <w:p w14:paraId="6DB2B2B4" w14:textId="77777777" w:rsidR="00101864" w:rsidRDefault="00101864" w:rsidP="00101864">
      <w:pPr>
        <w:tabs>
          <w:tab w:val="num" w:pos="1276"/>
        </w:tabs>
        <w:overflowPunct w:val="0"/>
        <w:autoSpaceDE w:val="0"/>
        <w:autoSpaceDN w:val="0"/>
        <w:adjustRightInd w:val="0"/>
        <w:spacing w:before="60" w:line="20" w:lineRule="atLeast"/>
        <w:ind w:left="794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Wszystkie trzy elementy = 30 pkt.</w:t>
      </w:r>
    </w:p>
    <w:p w14:paraId="42B322D9" w14:textId="1F9BBB76" w:rsidR="00101864" w:rsidRPr="00101864" w:rsidRDefault="00101864" w:rsidP="00101864">
      <w:pPr>
        <w:numPr>
          <w:ilvl w:val="1"/>
          <w:numId w:val="6"/>
        </w:numPr>
        <w:tabs>
          <w:tab w:val="num" w:pos="1276"/>
        </w:tabs>
        <w:spacing w:before="60" w:line="20" w:lineRule="atLeast"/>
        <w:ind w:left="794" w:hanging="397"/>
        <w:rPr>
          <w:b/>
          <w:bCs/>
        </w:rPr>
      </w:pPr>
      <w:r w:rsidRPr="00101864">
        <w:rPr>
          <w:b/>
          <w:bCs/>
        </w:rPr>
        <w:t>Gwarancja i serwis – 10%</w:t>
      </w:r>
    </w:p>
    <w:p w14:paraId="6D4CB320" w14:textId="77777777" w:rsidR="00101864" w:rsidRPr="00101864" w:rsidRDefault="00101864" w:rsidP="00101864">
      <w:pPr>
        <w:numPr>
          <w:ilvl w:val="1"/>
          <w:numId w:val="8"/>
        </w:numPr>
        <w:tabs>
          <w:tab w:val="num" w:pos="720"/>
          <w:tab w:val="num" w:pos="1276"/>
        </w:tabs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Dostępność serwisu w Polsce – 10 pkt (spełnia / nie spełnia)</w:t>
      </w:r>
    </w:p>
    <w:p w14:paraId="6116ED6C" w14:textId="6905594B" w:rsidR="002519BA" w:rsidRPr="00671C70" w:rsidRDefault="00101864" w:rsidP="007F1E0E">
      <w:pPr>
        <w:numPr>
          <w:ilvl w:val="1"/>
          <w:numId w:val="8"/>
        </w:numPr>
        <w:tabs>
          <w:tab w:val="num" w:pos="720"/>
          <w:tab w:val="num" w:pos="1276"/>
        </w:tabs>
        <w:overflowPunct w:val="0"/>
        <w:autoSpaceDE w:val="0"/>
        <w:autoSpaceDN w:val="0"/>
        <w:adjustRightInd w:val="0"/>
        <w:spacing w:before="60" w:line="22" w:lineRule="atLeast"/>
        <w:rPr>
          <w:rFonts w:asciiTheme="minorHAnsi" w:hAnsiTheme="minorHAnsi" w:cstheme="minorHAnsi"/>
        </w:rPr>
      </w:pPr>
      <w:r w:rsidRPr="00671C70">
        <w:rPr>
          <w:rFonts w:asciiTheme="minorHAnsi" w:hAnsiTheme="minorHAnsi" w:cstheme="minorHAnsi"/>
        </w:rPr>
        <w:t>Okres gwarancji min. 24 miesiące</w:t>
      </w:r>
      <w:r w:rsidR="00102F2E" w:rsidRPr="00671C70">
        <w:rPr>
          <w:rFonts w:asciiTheme="minorHAnsi" w:hAnsiTheme="minorHAnsi" w:cstheme="minorHAnsi"/>
        </w:rPr>
        <w:t>.</w:t>
      </w:r>
      <w:bookmarkEnd w:id="0"/>
    </w:p>
    <w:sectPr w:rsidR="002519BA" w:rsidRPr="00671C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1A20" w14:textId="77777777" w:rsidR="00ED437B" w:rsidRDefault="00ED437B" w:rsidP="006C142C">
      <w:r>
        <w:separator/>
      </w:r>
    </w:p>
  </w:endnote>
  <w:endnote w:type="continuationSeparator" w:id="0">
    <w:p w14:paraId="679F3C24" w14:textId="77777777" w:rsidR="00ED437B" w:rsidRDefault="00ED437B" w:rsidP="006C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896268"/>
      <w:docPartObj>
        <w:docPartGallery w:val="Page Numbers (Bottom of Page)"/>
        <w:docPartUnique/>
      </w:docPartObj>
    </w:sdtPr>
    <w:sdtEndPr>
      <w:rPr>
        <w:sz w:val="20"/>
        <w:szCs w:val="16"/>
      </w:rPr>
    </w:sdtEndPr>
    <w:sdtContent>
      <w:p w14:paraId="5115E805" w14:textId="5B413D68" w:rsidR="006C142C" w:rsidRPr="006C142C" w:rsidRDefault="006C142C">
        <w:pPr>
          <w:pStyle w:val="Stopka"/>
          <w:jc w:val="right"/>
          <w:rPr>
            <w:sz w:val="20"/>
            <w:szCs w:val="16"/>
          </w:rPr>
        </w:pPr>
        <w:r w:rsidRPr="006C142C">
          <w:rPr>
            <w:sz w:val="20"/>
            <w:szCs w:val="16"/>
          </w:rPr>
          <w:fldChar w:fldCharType="begin"/>
        </w:r>
        <w:r w:rsidRPr="006C142C">
          <w:rPr>
            <w:sz w:val="20"/>
            <w:szCs w:val="16"/>
          </w:rPr>
          <w:instrText>PAGE   \* MERGEFORMAT</w:instrText>
        </w:r>
        <w:r w:rsidRPr="006C142C">
          <w:rPr>
            <w:sz w:val="20"/>
            <w:szCs w:val="16"/>
          </w:rPr>
          <w:fldChar w:fldCharType="separate"/>
        </w:r>
        <w:r w:rsidRPr="006C142C">
          <w:rPr>
            <w:sz w:val="20"/>
            <w:szCs w:val="16"/>
          </w:rPr>
          <w:t>2</w:t>
        </w:r>
        <w:r w:rsidRPr="006C142C">
          <w:rPr>
            <w:sz w:val="20"/>
            <w:szCs w:val="16"/>
          </w:rPr>
          <w:fldChar w:fldCharType="end"/>
        </w:r>
      </w:p>
    </w:sdtContent>
  </w:sdt>
  <w:p w14:paraId="111FE4A3" w14:textId="77777777" w:rsidR="006C142C" w:rsidRDefault="006C14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20EF" w14:textId="77777777" w:rsidR="00ED437B" w:rsidRDefault="00ED437B" w:rsidP="006C142C">
      <w:r>
        <w:separator/>
      </w:r>
    </w:p>
  </w:footnote>
  <w:footnote w:type="continuationSeparator" w:id="0">
    <w:p w14:paraId="2C64CF3E" w14:textId="77777777" w:rsidR="00ED437B" w:rsidRDefault="00ED437B" w:rsidP="006C1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1BFA"/>
    <w:multiLevelType w:val="multilevel"/>
    <w:tmpl w:val="E08AA024"/>
    <w:styleLink w:val="Styl4"/>
    <w:lvl w:ilvl="0">
      <w:start w:val="1"/>
      <w:numFmt w:val="decimal"/>
      <w:lvlText w:val="%1. "/>
      <w:lvlJc w:val="left"/>
      <w:pPr>
        <w:ind w:left="284" w:hanging="284"/>
      </w:pPr>
      <w:rPr>
        <w:b w:val="0"/>
        <w:i w:val="0"/>
        <w:sz w:val="24"/>
      </w:rPr>
    </w:lvl>
    <w:lvl w:ilvl="1">
      <w:start w:val="1"/>
      <w:numFmt w:val="decimal"/>
      <w:lvlText w:val="%2) "/>
      <w:lvlJc w:val="left"/>
      <w:pPr>
        <w:ind w:left="737" w:hanging="377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. 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lowerLetter"/>
      <w:lvlText w:val="%4) 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5C90704"/>
    <w:multiLevelType w:val="multilevel"/>
    <w:tmpl w:val="C0D6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D1418"/>
    <w:multiLevelType w:val="multilevel"/>
    <w:tmpl w:val="2F9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60826"/>
    <w:multiLevelType w:val="multilevel"/>
    <w:tmpl w:val="9270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04679"/>
    <w:multiLevelType w:val="multilevel"/>
    <w:tmpl w:val="4C56DA7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395"/>
      </w:pPr>
      <w:rPr>
        <w:rFonts w:hint="default"/>
      </w:rPr>
    </w:lvl>
    <w:lvl w:ilvl="2">
      <w:start w:val="1"/>
      <w:numFmt w:val="bullet"/>
      <w:lvlText w:val=""/>
      <w:lvlJc w:val="left"/>
      <w:pPr>
        <w:ind w:left="1154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5E33793"/>
    <w:multiLevelType w:val="multilevel"/>
    <w:tmpl w:val="8898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E30CC"/>
    <w:multiLevelType w:val="multilevel"/>
    <w:tmpl w:val="91D66004"/>
    <w:styleLink w:val="Styl7"/>
    <w:lvl w:ilvl="0">
      <w:start w:val="1"/>
      <w:numFmt w:val="decimal"/>
      <w:lvlText w:val="%1)    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B8513F"/>
    <w:multiLevelType w:val="multilevel"/>
    <w:tmpl w:val="E4FE6122"/>
    <w:styleLink w:val="Styl6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9747B5D"/>
    <w:multiLevelType w:val="multilevel"/>
    <w:tmpl w:val="D2A2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5564E"/>
    <w:multiLevelType w:val="multilevel"/>
    <w:tmpl w:val="83CC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74BD9"/>
    <w:multiLevelType w:val="multilevel"/>
    <w:tmpl w:val="0EFA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83987"/>
    <w:multiLevelType w:val="multilevel"/>
    <w:tmpl w:val="5D26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F37088"/>
    <w:multiLevelType w:val="multilevel"/>
    <w:tmpl w:val="D4D4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6B7833"/>
    <w:multiLevelType w:val="multilevel"/>
    <w:tmpl w:val="1950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9129B"/>
    <w:multiLevelType w:val="multilevel"/>
    <w:tmpl w:val="D222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D425F1"/>
    <w:multiLevelType w:val="multilevel"/>
    <w:tmpl w:val="67D255B2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FE4BB0"/>
    <w:multiLevelType w:val="multilevel"/>
    <w:tmpl w:val="AB80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F86A6B"/>
    <w:multiLevelType w:val="multilevel"/>
    <w:tmpl w:val="A4E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18456A"/>
    <w:multiLevelType w:val="multilevel"/>
    <w:tmpl w:val="67A6D390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8B57E6F"/>
    <w:multiLevelType w:val="multilevel"/>
    <w:tmpl w:val="6BCA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B42C6C"/>
    <w:multiLevelType w:val="multilevel"/>
    <w:tmpl w:val="E210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9261C6"/>
    <w:multiLevelType w:val="multilevel"/>
    <w:tmpl w:val="663C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610787">
    <w:abstractNumId w:val="15"/>
  </w:num>
  <w:num w:numId="2" w16cid:durableId="543369400">
    <w:abstractNumId w:val="0"/>
  </w:num>
  <w:num w:numId="3" w16cid:durableId="1751004803">
    <w:abstractNumId w:val="18"/>
  </w:num>
  <w:num w:numId="4" w16cid:durableId="170532186">
    <w:abstractNumId w:val="7"/>
  </w:num>
  <w:num w:numId="5" w16cid:durableId="543562251">
    <w:abstractNumId w:val="6"/>
  </w:num>
  <w:num w:numId="6" w16cid:durableId="2055277109">
    <w:abstractNumId w:val="4"/>
  </w:num>
  <w:num w:numId="7" w16cid:durableId="932738524">
    <w:abstractNumId w:val="1"/>
  </w:num>
  <w:num w:numId="8" w16cid:durableId="395931487">
    <w:abstractNumId w:val="10"/>
  </w:num>
  <w:num w:numId="9" w16cid:durableId="1185513101">
    <w:abstractNumId w:val="11"/>
  </w:num>
  <w:num w:numId="10" w16cid:durableId="1843273805">
    <w:abstractNumId w:val="14"/>
  </w:num>
  <w:num w:numId="11" w16cid:durableId="1299259063">
    <w:abstractNumId w:val="2"/>
  </w:num>
  <w:num w:numId="12" w16cid:durableId="1896500611">
    <w:abstractNumId w:val="17"/>
  </w:num>
  <w:num w:numId="13" w16cid:durableId="1237208552">
    <w:abstractNumId w:val="16"/>
  </w:num>
  <w:num w:numId="14" w16cid:durableId="1514611314">
    <w:abstractNumId w:val="12"/>
  </w:num>
  <w:num w:numId="15" w16cid:durableId="561907169">
    <w:abstractNumId w:val="5"/>
  </w:num>
  <w:num w:numId="16" w16cid:durableId="916285005">
    <w:abstractNumId w:val="19"/>
  </w:num>
  <w:num w:numId="17" w16cid:durableId="878667009">
    <w:abstractNumId w:val="13"/>
  </w:num>
  <w:num w:numId="18" w16cid:durableId="1792016585">
    <w:abstractNumId w:val="21"/>
  </w:num>
  <w:num w:numId="19" w16cid:durableId="1473524144">
    <w:abstractNumId w:val="8"/>
  </w:num>
  <w:num w:numId="20" w16cid:durableId="675154910">
    <w:abstractNumId w:val="9"/>
  </w:num>
  <w:num w:numId="21" w16cid:durableId="719940742">
    <w:abstractNumId w:val="20"/>
  </w:num>
  <w:num w:numId="22" w16cid:durableId="1104763148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D1"/>
    <w:rsid w:val="000A0010"/>
    <w:rsid w:val="000C32C8"/>
    <w:rsid w:val="000C492C"/>
    <w:rsid w:val="00101864"/>
    <w:rsid w:val="00102F2E"/>
    <w:rsid w:val="001061A2"/>
    <w:rsid w:val="001B1734"/>
    <w:rsid w:val="001D3BBA"/>
    <w:rsid w:val="0023094E"/>
    <w:rsid w:val="002519BA"/>
    <w:rsid w:val="002E4E74"/>
    <w:rsid w:val="003858F1"/>
    <w:rsid w:val="003C7479"/>
    <w:rsid w:val="00405B3D"/>
    <w:rsid w:val="00432B46"/>
    <w:rsid w:val="004D49BC"/>
    <w:rsid w:val="00575640"/>
    <w:rsid w:val="00640BB2"/>
    <w:rsid w:val="00671C70"/>
    <w:rsid w:val="006C142C"/>
    <w:rsid w:val="006E5088"/>
    <w:rsid w:val="00725315"/>
    <w:rsid w:val="007A00C0"/>
    <w:rsid w:val="0084330B"/>
    <w:rsid w:val="00853507"/>
    <w:rsid w:val="0085438B"/>
    <w:rsid w:val="00872D8A"/>
    <w:rsid w:val="008B528B"/>
    <w:rsid w:val="00903DE5"/>
    <w:rsid w:val="00904B0D"/>
    <w:rsid w:val="00924B88"/>
    <w:rsid w:val="00950937"/>
    <w:rsid w:val="009A6279"/>
    <w:rsid w:val="009B310C"/>
    <w:rsid w:val="009C3021"/>
    <w:rsid w:val="009E48D1"/>
    <w:rsid w:val="00A40151"/>
    <w:rsid w:val="00B45D22"/>
    <w:rsid w:val="00BB42C6"/>
    <w:rsid w:val="00BB461D"/>
    <w:rsid w:val="00BC6766"/>
    <w:rsid w:val="00BF1663"/>
    <w:rsid w:val="00C00B6B"/>
    <w:rsid w:val="00C252B4"/>
    <w:rsid w:val="00C802EE"/>
    <w:rsid w:val="00CA2DD1"/>
    <w:rsid w:val="00CC2243"/>
    <w:rsid w:val="00CE2965"/>
    <w:rsid w:val="00D228AB"/>
    <w:rsid w:val="00D61DB9"/>
    <w:rsid w:val="00D96D1A"/>
    <w:rsid w:val="00E61BD7"/>
    <w:rsid w:val="00ED437B"/>
    <w:rsid w:val="00ED7E9A"/>
    <w:rsid w:val="00F2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6EC6"/>
  <w15:chartTrackingRefBased/>
  <w15:docId w15:val="{4DFF90EC-6B32-42B9-9C91-6A4C5425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BB2"/>
    <w:pPr>
      <w:spacing w:after="0" w:line="240" w:lineRule="auto"/>
    </w:pPr>
    <w:rPr>
      <w:rFonts w:ascii="Calibri" w:hAnsi="Calibri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2B46"/>
    <w:pPr>
      <w:keepNext/>
      <w:keepLines/>
      <w:tabs>
        <w:tab w:val="left" w:leader="dot" w:pos="284"/>
        <w:tab w:val="left" w:leader="hyphen" w:pos="567"/>
        <w:tab w:val="left" w:leader="underscore" w:pos="851"/>
      </w:tabs>
      <w:spacing w:before="120" w:line="264" w:lineRule="auto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4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48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48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8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48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8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8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8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BB461D"/>
    <w:pPr>
      <w:numPr>
        <w:numId w:val="1"/>
      </w:numPr>
    </w:pPr>
  </w:style>
  <w:style w:type="paragraph" w:styleId="Tekstpodstawowy">
    <w:name w:val="Body Text"/>
    <w:aliases w:val="Calibri"/>
    <w:basedOn w:val="Normalny"/>
    <w:link w:val="TekstpodstawowyZnak"/>
    <w:semiHidden/>
    <w:qFormat/>
    <w:rsid w:val="00BF1663"/>
    <w:pPr>
      <w:framePr w:wrap="around" w:hAnchor="text"/>
      <w:jc w:val="center"/>
    </w:pPr>
  </w:style>
  <w:style w:type="character" w:customStyle="1" w:styleId="TekstpodstawowyZnak">
    <w:name w:val="Tekst podstawowy Znak"/>
    <w:aliases w:val="Calibri Znak"/>
    <w:basedOn w:val="Domylnaczcionkaakapitu"/>
    <w:link w:val="Tekstpodstawowy"/>
    <w:semiHidden/>
    <w:rsid w:val="00BF1663"/>
    <w:rPr>
      <w:rFonts w:ascii="Calibri" w:eastAsia="Times New Roman" w:hAnsi="Calibri" w:cs="Times New Roman"/>
      <w:sz w:val="24"/>
      <w:szCs w:val="20"/>
      <w:lang w:eastAsia="pl-PL"/>
    </w:rPr>
  </w:style>
  <w:style w:type="numbering" w:customStyle="1" w:styleId="Styl4">
    <w:name w:val="Styl4"/>
    <w:uiPriority w:val="99"/>
    <w:rsid w:val="00725315"/>
    <w:pPr>
      <w:numPr>
        <w:numId w:val="2"/>
      </w:numPr>
    </w:pPr>
  </w:style>
  <w:style w:type="numbering" w:customStyle="1" w:styleId="Styl5">
    <w:name w:val="Styl5"/>
    <w:uiPriority w:val="99"/>
    <w:rsid w:val="00725315"/>
    <w:pPr>
      <w:numPr>
        <w:numId w:val="3"/>
      </w:numPr>
    </w:pPr>
  </w:style>
  <w:style w:type="numbering" w:customStyle="1" w:styleId="Styl6">
    <w:name w:val="Styl6"/>
    <w:uiPriority w:val="99"/>
    <w:rsid w:val="00725315"/>
    <w:pPr>
      <w:numPr>
        <w:numId w:val="4"/>
      </w:numPr>
    </w:pPr>
  </w:style>
  <w:style w:type="numbering" w:customStyle="1" w:styleId="Styl7">
    <w:name w:val="Styl7"/>
    <w:uiPriority w:val="99"/>
    <w:rsid w:val="00725315"/>
    <w:pPr>
      <w:numPr>
        <w:numId w:val="5"/>
      </w:numPr>
    </w:pPr>
  </w:style>
  <w:style w:type="character" w:customStyle="1" w:styleId="Styl1Znak">
    <w:name w:val="Styl1 Znak"/>
    <w:basedOn w:val="Domylnaczcionkaakapitu"/>
    <w:rsid w:val="001B1734"/>
    <w:rPr>
      <w:rFonts w:ascii="Calibri" w:eastAsiaTheme="minorEastAsia" w:hAnsi="Calibri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32B46"/>
    <w:rPr>
      <w:rFonts w:eastAsiaTheme="majorEastAsia" w:cstheme="majorBidi"/>
      <w:bCs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48D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48D1"/>
    <w:rPr>
      <w:rFonts w:eastAsiaTheme="majorEastAsia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48D1"/>
    <w:rPr>
      <w:rFonts w:eastAsiaTheme="majorEastAsia" w:cstheme="majorBidi"/>
      <w:i/>
      <w:iCs/>
      <w:color w:val="2F5496" w:themeColor="accent1" w:themeShade="BF"/>
      <w:kern w:val="0"/>
      <w:sz w:val="24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48D1"/>
    <w:rPr>
      <w:rFonts w:eastAsiaTheme="majorEastAsia" w:cstheme="majorBidi"/>
      <w:color w:val="2F5496" w:themeColor="accent1" w:themeShade="BF"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48D1"/>
    <w:rPr>
      <w:rFonts w:eastAsiaTheme="majorEastAsia" w:cstheme="majorBidi"/>
      <w:i/>
      <w:iCs/>
      <w:color w:val="595959" w:themeColor="text1" w:themeTint="A6"/>
      <w:kern w:val="0"/>
      <w:sz w:val="24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48D1"/>
    <w:rPr>
      <w:rFonts w:eastAsiaTheme="majorEastAsia" w:cstheme="majorBidi"/>
      <w:color w:val="595959" w:themeColor="text1" w:themeTint="A6"/>
      <w:kern w:val="0"/>
      <w:sz w:val="24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8D1"/>
    <w:rPr>
      <w:rFonts w:eastAsiaTheme="majorEastAsia" w:cstheme="majorBidi"/>
      <w:i/>
      <w:iCs/>
      <w:color w:val="272727" w:themeColor="text1" w:themeTint="D8"/>
      <w:kern w:val="0"/>
      <w:sz w:val="24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8D1"/>
    <w:rPr>
      <w:rFonts w:eastAsiaTheme="majorEastAsia" w:cstheme="majorBidi"/>
      <w:color w:val="272727" w:themeColor="text1" w:themeTint="D8"/>
      <w:kern w:val="0"/>
      <w:sz w:val="24"/>
      <w:szCs w:val="2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E4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8D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48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48D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E48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8D1"/>
    <w:rPr>
      <w:rFonts w:ascii="Calibri" w:hAnsi="Calibri" w:cs="Times New Roman"/>
      <w:i/>
      <w:iCs/>
      <w:color w:val="404040" w:themeColor="text1" w:themeTint="BF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E48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48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8D1"/>
    <w:rPr>
      <w:rFonts w:ascii="Calibri" w:hAnsi="Calibri" w:cs="Times New Roman"/>
      <w:i/>
      <w:iCs/>
      <w:color w:val="2F5496" w:themeColor="accent1" w:themeShade="BF"/>
      <w:kern w:val="0"/>
      <w:sz w:val="24"/>
      <w:szCs w:val="2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E48D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04B0D"/>
    <w:rPr>
      <w:rFonts w:ascii="Times New Roman" w:hAnsi="Times New Roman"/>
      <w:szCs w:val="24"/>
    </w:rPr>
  </w:style>
  <w:style w:type="character" w:styleId="Pogrubienie">
    <w:name w:val="Strong"/>
    <w:basedOn w:val="Domylnaczcionkaakapitu"/>
    <w:uiPriority w:val="22"/>
    <w:qFormat/>
    <w:rsid w:val="006C142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C1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42C"/>
    <w:rPr>
      <w:rFonts w:ascii="Calibri" w:hAnsi="Calibri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C14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42C"/>
    <w:rPr>
      <w:rFonts w:ascii="Calibri" w:hAnsi="Calibri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dc:description/>
  <cp:lastModifiedBy>Arkadiusz Głowacki</cp:lastModifiedBy>
  <cp:revision>5</cp:revision>
  <dcterms:created xsi:type="dcterms:W3CDTF">2025-12-11T05:05:00Z</dcterms:created>
  <dcterms:modified xsi:type="dcterms:W3CDTF">2025-12-11T11:46:00Z</dcterms:modified>
</cp:coreProperties>
</file>