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45B8" w14:textId="77777777" w:rsidR="0061002E" w:rsidRPr="00FD1AA8" w:rsidRDefault="0061002E" w:rsidP="0061002E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ZAPROSZENIE DO ZŁOŻENIA OFERTY</w:t>
      </w:r>
    </w:p>
    <w:p w14:paraId="7DAE9A9A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2E6E0267" w14:textId="78BEAC3F" w:rsidR="0061002E" w:rsidRPr="00FD1AA8" w:rsidRDefault="0061002E" w:rsidP="0061002E">
      <w:pPr>
        <w:ind w:left="1276" w:hanging="1276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Zamawiający</w:t>
      </w:r>
      <w:r w:rsidRPr="00FD1AA8">
        <w:rPr>
          <w:rFonts w:ascii="Lato" w:hAnsi="Lato" w:cstheme="minorHAnsi"/>
          <w:sz w:val="20"/>
          <w:szCs w:val="20"/>
        </w:rPr>
        <w:t>:</w:t>
      </w:r>
      <w:r w:rsidR="005657C4">
        <w:rPr>
          <w:rFonts w:ascii="Lato" w:hAnsi="Lato" w:cstheme="minorHAnsi"/>
          <w:sz w:val="20"/>
          <w:szCs w:val="20"/>
        </w:rPr>
        <w:t xml:space="preserve"> 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Ministerstwo Rodziny, Pracy i Polityki Społecznej, ul. Nowogrodzka 1/3/5,  </w:t>
      </w:r>
      <w:r w:rsidR="005657C4">
        <w:rPr>
          <w:rFonts w:ascii="Lato" w:hAnsi="Lato" w:cstheme="minorHAnsi"/>
          <w:b/>
          <w:bCs/>
          <w:sz w:val="20"/>
          <w:szCs w:val="20"/>
        </w:rPr>
        <w:br/>
        <w:t xml:space="preserve">   </w:t>
      </w:r>
      <w:r w:rsidRPr="00FD1AA8">
        <w:rPr>
          <w:rFonts w:ascii="Lato" w:hAnsi="Lato" w:cstheme="minorHAnsi"/>
          <w:b/>
          <w:bCs/>
          <w:sz w:val="20"/>
          <w:szCs w:val="20"/>
        </w:rPr>
        <w:t>00</w:t>
      </w:r>
      <w:r w:rsidRPr="00FD1AA8">
        <w:rPr>
          <w:rFonts w:ascii="Cambria Math" w:hAnsi="Cambria Math" w:cs="Cambria Math"/>
          <w:b/>
          <w:bCs/>
          <w:sz w:val="20"/>
          <w:szCs w:val="20"/>
        </w:rPr>
        <w:t>‐</w:t>
      </w:r>
      <w:r w:rsidRPr="00FD1AA8">
        <w:rPr>
          <w:rFonts w:ascii="Lato" w:hAnsi="Lato" w:cstheme="minorHAnsi"/>
          <w:b/>
          <w:bCs/>
          <w:sz w:val="20"/>
          <w:szCs w:val="20"/>
        </w:rPr>
        <w:t>513 Warszawa.</w:t>
      </w:r>
    </w:p>
    <w:p w14:paraId="2838A0E4" w14:textId="57C230C8" w:rsidR="00E45756" w:rsidRDefault="0061002E" w:rsidP="00E45756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Zamawiający zaprasza</w:t>
      </w:r>
      <w:r w:rsidRPr="00FD1AA8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Pr="00FD1AA8">
        <w:rPr>
          <w:rFonts w:ascii="Lato" w:hAnsi="Lato" w:cstheme="minorHAnsi"/>
          <w:sz w:val="20"/>
          <w:szCs w:val="20"/>
        </w:rPr>
        <w:t xml:space="preserve">– w ramach rozpoznania rynku bez stosowania ustawy Prawo zamówień publicznych – do złożenia oferty </w:t>
      </w:r>
      <w:r w:rsidR="004252A4">
        <w:rPr>
          <w:rFonts w:ascii="Lato" w:hAnsi="Lato" w:cstheme="minorHAnsi"/>
          <w:sz w:val="20"/>
          <w:szCs w:val="20"/>
        </w:rPr>
        <w:t xml:space="preserve">na wykonanie </w:t>
      </w:r>
      <w:r w:rsidR="00E45756">
        <w:rPr>
          <w:rFonts w:ascii="Lato" w:hAnsi="Lato" w:cstheme="minorHAnsi"/>
          <w:sz w:val="20"/>
          <w:szCs w:val="20"/>
        </w:rPr>
        <w:t>niżej opisanego przedmiotu zamówienia:</w:t>
      </w:r>
    </w:p>
    <w:p w14:paraId="4F5DA00C" w14:textId="77777777" w:rsidR="0061002E" w:rsidRPr="00FD1AA8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Przedmiot zamówienia: </w:t>
      </w:r>
    </w:p>
    <w:p w14:paraId="7E7571C2" w14:textId="1A194835" w:rsidR="00E45756" w:rsidRPr="00E45756" w:rsidRDefault="0061002E" w:rsidP="00E45756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Przedmiotem zamówienia jest</w:t>
      </w:r>
      <w:r w:rsidR="00E45756">
        <w:rPr>
          <w:rFonts w:ascii="Lato" w:hAnsi="Lato" w:cstheme="minorHAnsi"/>
          <w:sz w:val="20"/>
          <w:szCs w:val="20"/>
        </w:rPr>
        <w:t xml:space="preserve"> </w:t>
      </w:r>
      <w:bookmarkStart w:id="0" w:name="_Hlk230851221"/>
      <w:bookmarkStart w:id="1" w:name="_Hlk230851700"/>
      <w:r w:rsidR="00E45756" w:rsidRPr="00E45756">
        <w:rPr>
          <w:rFonts w:ascii="Lato" w:hAnsi="Lato" w:cstheme="minorHAnsi"/>
          <w:b/>
          <w:bCs/>
          <w:sz w:val="20"/>
          <w:szCs w:val="20"/>
        </w:rPr>
        <w:t>wykonanie</w:t>
      </w:r>
      <w:r w:rsidRPr="00E45756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>usługi jednorazowego przeglądu technicznego</w:t>
      </w:r>
      <w:r w:rsidR="00010F65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 xml:space="preserve">oraz </w:t>
      </w:r>
      <w:r w:rsidR="009431B4">
        <w:rPr>
          <w:rFonts w:ascii="Lato" w:hAnsi="Lato" w:cstheme="minorHAnsi"/>
          <w:b/>
          <w:bCs/>
          <w:sz w:val="20"/>
          <w:szCs w:val="20"/>
        </w:rPr>
        <w:t>usunięcie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9431B4">
        <w:rPr>
          <w:rFonts w:ascii="Lato" w:hAnsi="Lato" w:cstheme="minorHAnsi"/>
          <w:b/>
          <w:bCs/>
          <w:sz w:val="20"/>
          <w:szCs w:val="20"/>
        </w:rPr>
        <w:t>stwierdzonych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 xml:space="preserve"> </w:t>
      </w:r>
      <w:r w:rsidR="009431B4">
        <w:rPr>
          <w:rFonts w:ascii="Lato" w:hAnsi="Lato" w:cstheme="minorHAnsi"/>
          <w:b/>
          <w:bCs/>
          <w:sz w:val="20"/>
          <w:szCs w:val="20"/>
        </w:rPr>
        <w:t xml:space="preserve">usterek i awarii </w:t>
      </w:r>
      <w:r w:rsidR="00B869C0">
        <w:rPr>
          <w:rFonts w:ascii="Lato" w:hAnsi="Lato" w:cstheme="minorHAnsi"/>
          <w:b/>
          <w:bCs/>
          <w:sz w:val="20"/>
          <w:szCs w:val="20"/>
        </w:rPr>
        <w:t xml:space="preserve">całej instalacji centralnego ogrzewania 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>w budynk</w:t>
      </w:r>
      <w:r w:rsidR="00E45756">
        <w:rPr>
          <w:rFonts w:ascii="Lato" w:hAnsi="Lato" w:cstheme="minorHAnsi"/>
          <w:b/>
          <w:bCs/>
          <w:sz w:val="20"/>
          <w:szCs w:val="20"/>
        </w:rPr>
        <w:t>u</w:t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 xml:space="preserve"> Ministerstwa Rodziny </w:t>
      </w:r>
      <w:r w:rsidR="00B869C0">
        <w:rPr>
          <w:rFonts w:ascii="Lato" w:hAnsi="Lato" w:cstheme="minorHAnsi"/>
          <w:b/>
          <w:bCs/>
          <w:sz w:val="20"/>
          <w:szCs w:val="20"/>
        </w:rPr>
        <w:br/>
      </w:r>
      <w:r w:rsidR="00E45756" w:rsidRPr="00E45756">
        <w:rPr>
          <w:rFonts w:ascii="Lato" w:hAnsi="Lato" w:cstheme="minorHAnsi"/>
          <w:b/>
          <w:bCs/>
          <w:sz w:val="20"/>
          <w:szCs w:val="20"/>
        </w:rPr>
        <w:t>i Polityki Społecznej w Warszawie przy ul. Żurawia 4a.</w:t>
      </w:r>
      <w:bookmarkEnd w:id="0"/>
    </w:p>
    <w:bookmarkEnd w:id="1"/>
    <w:p w14:paraId="55D1CA18" w14:textId="7A9A1C61" w:rsidR="0061002E" w:rsidRPr="0079311B" w:rsidRDefault="00E45756" w:rsidP="00E45756">
      <w:pPr>
        <w:jc w:val="both"/>
        <w:rPr>
          <w:rFonts w:ascii="Lato" w:hAnsi="Lato" w:cstheme="minorHAnsi"/>
          <w:b/>
          <w:bCs/>
          <w:sz w:val="20"/>
          <w:szCs w:val="20"/>
        </w:rPr>
      </w:pPr>
      <w:r w:rsidRPr="0079311B">
        <w:rPr>
          <w:rFonts w:ascii="Lato" w:hAnsi="Lato" w:cstheme="minorHAnsi"/>
          <w:b/>
          <w:bCs/>
          <w:sz w:val="20"/>
          <w:szCs w:val="20"/>
        </w:rPr>
        <w:t>Przedmiot zamówienia:</w:t>
      </w:r>
    </w:p>
    <w:p w14:paraId="2AD3E73F" w14:textId="338DE596" w:rsidR="0061002E" w:rsidRPr="00E45756" w:rsidRDefault="0061002E" w:rsidP="00E45756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FD1AA8">
        <w:rPr>
          <w:rFonts w:ascii="Lato" w:hAnsi="Lato" w:cstheme="minorHAnsi"/>
          <w:b/>
          <w:sz w:val="20"/>
          <w:szCs w:val="20"/>
        </w:rPr>
        <w:t xml:space="preserve">Zakres </w:t>
      </w:r>
      <w:r w:rsidR="00E45756">
        <w:rPr>
          <w:rFonts w:ascii="Lato" w:hAnsi="Lato" w:cstheme="minorHAnsi"/>
          <w:b/>
          <w:sz w:val="20"/>
          <w:szCs w:val="20"/>
        </w:rPr>
        <w:t>czynności</w:t>
      </w:r>
      <w:r w:rsidRPr="00FD1AA8">
        <w:rPr>
          <w:rFonts w:ascii="Lato" w:hAnsi="Lato" w:cstheme="minorHAnsi"/>
          <w:b/>
          <w:sz w:val="20"/>
          <w:szCs w:val="20"/>
        </w:rPr>
        <w:t xml:space="preserve">: </w:t>
      </w:r>
    </w:p>
    <w:p w14:paraId="40EC5386" w14:textId="4307BBF8" w:rsidR="00010F65" w:rsidRDefault="000456C3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S</w:t>
      </w:r>
      <w:r w:rsidR="00010F65">
        <w:rPr>
          <w:rFonts w:ascii="Lato" w:hAnsi="Lato" w:cstheme="minorHAnsi"/>
          <w:sz w:val="20"/>
          <w:szCs w:val="20"/>
        </w:rPr>
        <w:t>prawdzenie stanu technicznego instalacji, w tym:</w:t>
      </w:r>
    </w:p>
    <w:p w14:paraId="053CA254" w14:textId="4416CAB0" w:rsidR="00010F65" w:rsidRDefault="00010F65" w:rsidP="00010F65">
      <w:pPr>
        <w:pStyle w:val="Akapitzlist"/>
        <w:numPr>
          <w:ilvl w:val="0"/>
          <w:numId w:val="11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pionów i poziom</w:t>
      </w:r>
      <w:r w:rsidR="000456C3">
        <w:rPr>
          <w:rFonts w:ascii="Lato" w:hAnsi="Lato" w:cstheme="minorHAnsi"/>
          <w:sz w:val="20"/>
          <w:szCs w:val="20"/>
        </w:rPr>
        <w:t>ów</w:t>
      </w:r>
      <w:r>
        <w:rPr>
          <w:rFonts w:ascii="Lato" w:hAnsi="Lato" w:cstheme="minorHAnsi"/>
          <w:sz w:val="20"/>
          <w:szCs w:val="20"/>
        </w:rPr>
        <w:t xml:space="preserve"> instalacji,</w:t>
      </w:r>
    </w:p>
    <w:p w14:paraId="2CC36D11" w14:textId="6B7EDA3C" w:rsidR="00010F65" w:rsidRDefault="00010F65" w:rsidP="00010F65">
      <w:pPr>
        <w:pStyle w:val="Akapitzlist"/>
        <w:numPr>
          <w:ilvl w:val="0"/>
          <w:numId w:val="11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przewodów instalacyjnych,</w:t>
      </w:r>
    </w:p>
    <w:p w14:paraId="7134AC58" w14:textId="7482B321" w:rsidR="00010F65" w:rsidRDefault="00010F65" w:rsidP="00010F65">
      <w:pPr>
        <w:pStyle w:val="Akapitzlist"/>
        <w:numPr>
          <w:ilvl w:val="0"/>
          <w:numId w:val="11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grzejników,</w:t>
      </w:r>
    </w:p>
    <w:p w14:paraId="551EE7F5" w14:textId="4A093216" w:rsidR="00010F65" w:rsidRDefault="00010F65" w:rsidP="00010F65">
      <w:pPr>
        <w:pStyle w:val="Akapitzlist"/>
        <w:numPr>
          <w:ilvl w:val="0"/>
          <w:numId w:val="11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zaworów</w:t>
      </w:r>
      <w:r w:rsidR="00537480">
        <w:rPr>
          <w:rFonts w:ascii="Lato" w:hAnsi="Lato" w:cstheme="minorHAnsi"/>
          <w:sz w:val="20"/>
          <w:szCs w:val="20"/>
        </w:rPr>
        <w:t xml:space="preserve"> odcinających, regulacyjnych i termostatycznych,</w:t>
      </w:r>
    </w:p>
    <w:p w14:paraId="5DD35B98" w14:textId="599425E5" w:rsidR="00537480" w:rsidRDefault="00537480" w:rsidP="00010F65">
      <w:pPr>
        <w:pStyle w:val="Akapitzlist"/>
        <w:numPr>
          <w:ilvl w:val="0"/>
          <w:numId w:val="11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zaworów odpowietrzających,</w:t>
      </w:r>
    </w:p>
    <w:p w14:paraId="1E5B2B77" w14:textId="6B222431" w:rsidR="0061002E" w:rsidRDefault="000456C3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Kontrola szczelności instalacji centralnego ogrzewania.</w:t>
      </w:r>
    </w:p>
    <w:p w14:paraId="7C3BF6C3" w14:textId="1543222F" w:rsidR="00010F65" w:rsidRDefault="000456C3" w:rsidP="0061002E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Sprawdzenie poprawności działania:</w:t>
      </w:r>
    </w:p>
    <w:p w14:paraId="4B8329DC" w14:textId="1E0FCF8B" w:rsidR="000456C3" w:rsidRDefault="000456C3" w:rsidP="000456C3">
      <w:pPr>
        <w:pStyle w:val="Akapitzlist"/>
        <w:numPr>
          <w:ilvl w:val="0"/>
          <w:numId w:val="1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układów regulacji temperatury</w:t>
      </w:r>
      <w:r w:rsidR="004E2573">
        <w:rPr>
          <w:rFonts w:ascii="Lato" w:hAnsi="Lato" w:cstheme="minorHAnsi"/>
          <w:sz w:val="20"/>
          <w:szCs w:val="20"/>
        </w:rPr>
        <w:t>,</w:t>
      </w:r>
    </w:p>
    <w:p w14:paraId="5F99B7F9" w14:textId="46339AE1" w:rsidR="004E2573" w:rsidRDefault="004E2573" w:rsidP="000456C3">
      <w:pPr>
        <w:pStyle w:val="Akapitzlist"/>
        <w:numPr>
          <w:ilvl w:val="0"/>
          <w:numId w:val="1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pomp obiegowych,</w:t>
      </w:r>
    </w:p>
    <w:p w14:paraId="44C97C89" w14:textId="383F5DB8" w:rsidR="004E2573" w:rsidRDefault="004E2573" w:rsidP="000456C3">
      <w:pPr>
        <w:pStyle w:val="Akapitzlist"/>
        <w:numPr>
          <w:ilvl w:val="0"/>
          <w:numId w:val="1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urządzeń zabezpieczających,</w:t>
      </w:r>
    </w:p>
    <w:p w14:paraId="71FB257F" w14:textId="2312C200" w:rsidR="004E2573" w:rsidRDefault="004E2573" w:rsidP="000456C3">
      <w:pPr>
        <w:pStyle w:val="Akapitzlist"/>
        <w:numPr>
          <w:ilvl w:val="0"/>
          <w:numId w:val="1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automatyki sterującej.</w:t>
      </w:r>
    </w:p>
    <w:p w14:paraId="4250C40D" w14:textId="49797D8F" w:rsidR="004E2573" w:rsidRDefault="004E2573" w:rsidP="004E2573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Wykonanie napraw </w:t>
      </w:r>
      <w:r w:rsidR="00ED43C9">
        <w:rPr>
          <w:rFonts w:ascii="Lato" w:hAnsi="Lato" w:cstheme="minorHAnsi"/>
          <w:sz w:val="20"/>
          <w:szCs w:val="20"/>
        </w:rPr>
        <w:t>oraz robót</w:t>
      </w:r>
      <w:r>
        <w:rPr>
          <w:rFonts w:ascii="Lato" w:hAnsi="Lato" w:cstheme="minorHAnsi"/>
          <w:sz w:val="20"/>
          <w:szCs w:val="20"/>
        </w:rPr>
        <w:t>, w tym:</w:t>
      </w:r>
    </w:p>
    <w:p w14:paraId="5916D5CC" w14:textId="3C9B34E7" w:rsidR="004E2573" w:rsidRDefault="004E2573" w:rsidP="004E2573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usunięcie stwierdzonych nieszczelności,</w:t>
      </w:r>
    </w:p>
    <w:p w14:paraId="724B24EF" w14:textId="77777777" w:rsidR="003615DD" w:rsidRDefault="004E2573" w:rsidP="004E2573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wymiana uszkodzonych uszczelek, </w:t>
      </w:r>
    </w:p>
    <w:p w14:paraId="29494D13" w14:textId="4BDC8582" w:rsidR="004E2573" w:rsidRDefault="003615DD" w:rsidP="004E2573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wymiana </w:t>
      </w:r>
      <w:r w:rsidR="004E2573">
        <w:rPr>
          <w:rFonts w:ascii="Lato" w:hAnsi="Lato" w:cstheme="minorHAnsi"/>
          <w:sz w:val="20"/>
          <w:szCs w:val="20"/>
        </w:rPr>
        <w:t>zaworów odcinających, regulacyjnych i termostatycznych,</w:t>
      </w:r>
    </w:p>
    <w:p w14:paraId="01147087" w14:textId="729E1406" w:rsidR="004E2573" w:rsidRPr="00FE6F21" w:rsidRDefault="004E2573" w:rsidP="004E2573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20"/>
          <w:szCs w:val="20"/>
        </w:rPr>
      </w:pPr>
      <w:r w:rsidRPr="00FE6F21">
        <w:rPr>
          <w:rFonts w:ascii="Lato" w:hAnsi="Lato" w:cstheme="minorHAnsi"/>
          <w:sz w:val="20"/>
          <w:szCs w:val="20"/>
        </w:rPr>
        <w:t>wymiana zaworów odpowietrzających,</w:t>
      </w:r>
    </w:p>
    <w:p w14:paraId="4390F69B" w14:textId="3BD81B37" w:rsidR="003E7199" w:rsidRPr="003E7199" w:rsidRDefault="003E7199" w:rsidP="003E7199">
      <w:pPr>
        <w:pStyle w:val="Akapitzlist"/>
        <w:numPr>
          <w:ilvl w:val="0"/>
          <w:numId w:val="1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przywrócenie pełnej sprawności technicznej instalacji.</w:t>
      </w:r>
    </w:p>
    <w:p w14:paraId="07BAC9F7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00A98D21" w14:textId="649C9B62" w:rsidR="003E7199" w:rsidRDefault="003E7199" w:rsidP="003E7199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 xml:space="preserve">Charakterystyka obiektu -  </w:t>
      </w:r>
      <w:r w:rsidRPr="003E7199">
        <w:rPr>
          <w:rFonts w:ascii="Lato" w:hAnsi="Lato" w:cstheme="minorHAnsi"/>
          <w:sz w:val="20"/>
          <w:szCs w:val="20"/>
        </w:rPr>
        <w:t>budynek położony przy ul. Żurawiej 4a w Warszawie</w:t>
      </w:r>
    </w:p>
    <w:p w14:paraId="6701E939" w14:textId="2AE531B1" w:rsidR="003E7199" w:rsidRDefault="003E7199" w:rsidP="003E7199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</w:t>
      </w:r>
      <w:r w:rsidRPr="003E7199">
        <w:rPr>
          <w:rFonts w:ascii="Lato" w:hAnsi="Lato" w:cstheme="minorHAnsi"/>
          <w:sz w:val="20"/>
          <w:szCs w:val="20"/>
        </w:rPr>
        <w:t>rzeznaczenie obiektu: obiekt użyteczności publicznej; funkcja biurowa</w:t>
      </w:r>
      <w:r>
        <w:rPr>
          <w:rFonts w:ascii="Lato" w:hAnsi="Lato" w:cstheme="minorHAnsi"/>
          <w:sz w:val="20"/>
          <w:szCs w:val="20"/>
        </w:rPr>
        <w:t>,</w:t>
      </w:r>
    </w:p>
    <w:p w14:paraId="7DC2CCB4" w14:textId="022BB547" w:rsidR="003E7199" w:rsidRDefault="003E7199" w:rsidP="003E7199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k</w:t>
      </w:r>
      <w:r w:rsidRPr="003E7199">
        <w:rPr>
          <w:rFonts w:ascii="Lato" w:hAnsi="Lato" w:cstheme="minorHAnsi"/>
          <w:sz w:val="20"/>
          <w:szCs w:val="20"/>
        </w:rPr>
        <w:t>ubatura to 26 107 m3, powierzchnia użytkowa wynosi ok. 6 225 m2</w:t>
      </w:r>
      <w:r>
        <w:rPr>
          <w:rFonts w:ascii="Lato" w:hAnsi="Lato" w:cstheme="minorHAnsi"/>
          <w:sz w:val="20"/>
          <w:szCs w:val="20"/>
        </w:rPr>
        <w:t>,</w:t>
      </w:r>
    </w:p>
    <w:p w14:paraId="569B31E7" w14:textId="7BEE8D9B" w:rsidR="003E7199" w:rsidRPr="003E7199" w:rsidRDefault="003E7199" w:rsidP="003E7199">
      <w:pPr>
        <w:pStyle w:val="Akapitzlist"/>
        <w:numPr>
          <w:ilvl w:val="0"/>
          <w:numId w:val="16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</w:t>
      </w:r>
      <w:r w:rsidRPr="003E7199">
        <w:rPr>
          <w:rFonts w:ascii="Lato" w:hAnsi="Lato" w:cstheme="minorHAnsi"/>
          <w:sz w:val="20"/>
          <w:szCs w:val="20"/>
        </w:rPr>
        <w:t>biekt składa się z zespołu dwóch budynków połączonych ze sobą łącznikiem oraz wewnętrznego</w:t>
      </w:r>
    </w:p>
    <w:p w14:paraId="61D62395" w14:textId="09BB72D7" w:rsidR="003E7199" w:rsidRDefault="003E7199" w:rsidP="003E7199">
      <w:pPr>
        <w:pStyle w:val="Akapitzlist"/>
        <w:spacing w:line="256" w:lineRule="auto"/>
        <w:ind w:left="502"/>
        <w:jc w:val="both"/>
        <w:rPr>
          <w:rFonts w:ascii="Lato" w:hAnsi="Lato" w:cstheme="minorHAnsi"/>
          <w:sz w:val="20"/>
          <w:szCs w:val="20"/>
        </w:rPr>
      </w:pPr>
      <w:r w:rsidRPr="003E7199">
        <w:rPr>
          <w:rFonts w:ascii="Lato" w:hAnsi="Lato" w:cstheme="minorHAnsi"/>
          <w:sz w:val="20"/>
          <w:szCs w:val="20"/>
        </w:rPr>
        <w:t>dziedzińca:</w:t>
      </w:r>
    </w:p>
    <w:p w14:paraId="0A3A076A" w14:textId="77777777" w:rsidR="003E7199" w:rsidRPr="003E7199" w:rsidRDefault="003E7199" w:rsidP="003E7199">
      <w:pPr>
        <w:pStyle w:val="Akapitzlist"/>
        <w:numPr>
          <w:ilvl w:val="0"/>
          <w:numId w:val="17"/>
        </w:numPr>
        <w:jc w:val="both"/>
        <w:rPr>
          <w:rFonts w:ascii="Lato" w:hAnsi="Lato" w:cstheme="minorHAnsi"/>
          <w:sz w:val="20"/>
          <w:szCs w:val="20"/>
        </w:rPr>
      </w:pPr>
      <w:r w:rsidRPr="003E7199">
        <w:rPr>
          <w:rFonts w:ascii="Lato" w:hAnsi="Lato" w:cstheme="minorHAnsi"/>
          <w:sz w:val="20"/>
          <w:szCs w:val="20"/>
        </w:rPr>
        <w:t>budynek D (główny) - 7 kondygnacji naziemnych + piwnica,</w:t>
      </w:r>
    </w:p>
    <w:p w14:paraId="77315B93" w14:textId="1E7FF6E0" w:rsidR="003E7199" w:rsidRDefault="003E7199" w:rsidP="003E7199">
      <w:pPr>
        <w:pStyle w:val="Akapitzlist"/>
        <w:numPr>
          <w:ilvl w:val="0"/>
          <w:numId w:val="17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3E7199">
        <w:rPr>
          <w:rFonts w:ascii="Lato" w:hAnsi="Lato" w:cstheme="minorHAnsi"/>
          <w:sz w:val="20"/>
          <w:szCs w:val="20"/>
        </w:rPr>
        <w:t>budynek E (pawilon) - usytuowany za budynkiem głównym, 3 kondygnacje naziemne.</w:t>
      </w:r>
    </w:p>
    <w:p w14:paraId="2E2EA0D4" w14:textId="4C255470" w:rsidR="003E7199" w:rsidRDefault="003E7199" w:rsidP="003E7199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</w:t>
      </w:r>
      <w:r w:rsidRPr="003E7199">
        <w:rPr>
          <w:rFonts w:ascii="Lato" w:hAnsi="Lato" w:cstheme="minorHAnsi"/>
          <w:sz w:val="20"/>
          <w:szCs w:val="20"/>
        </w:rPr>
        <w:t>agospodarowanie obiektu:</w:t>
      </w:r>
    </w:p>
    <w:p w14:paraId="645A45F8" w14:textId="77777777" w:rsidR="00294C71" w:rsidRPr="00294C71" w:rsidRDefault="00294C71" w:rsidP="00294C71">
      <w:pPr>
        <w:pStyle w:val="Akapitzlist"/>
        <w:numPr>
          <w:ilvl w:val="0"/>
          <w:numId w:val="18"/>
        </w:numPr>
        <w:jc w:val="both"/>
        <w:rPr>
          <w:rFonts w:ascii="Lato" w:hAnsi="Lato" w:cstheme="minorHAnsi"/>
          <w:sz w:val="20"/>
          <w:szCs w:val="20"/>
        </w:rPr>
      </w:pPr>
      <w:r w:rsidRPr="00294C71">
        <w:rPr>
          <w:rFonts w:ascii="Lato" w:hAnsi="Lato" w:cstheme="minorHAnsi"/>
          <w:sz w:val="20"/>
          <w:szCs w:val="20"/>
        </w:rPr>
        <w:t>naziemne kondygnacje obiektu - pomieszczenia biurowe;</w:t>
      </w:r>
    </w:p>
    <w:p w14:paraId="763B378C" w14:textId="476C990B" w:rsidR="00294C71" w:rsidRPr="00294C71" w:rsidRDefault="00294C71" w:rsidP="00294C71">
      <w:pPr>
        <w:pStyle w:val="Akapitzlist"/>
        <w:numPr>
          <w:ilvl w:val="0"/>
          <w:numId w:val="18"/>
        </w:numPr>
        <w:jc w:val="both"/>
        <w:rPr>
          <w:rFonts w:ascii="Lato" w:hAnsi="Lato" w:cstheme="minorHAnsi"/>
          <w:sz w:val="20"/>
          <w:szCs w:val="20"/>
        </w:rPr>
      </w:pPr>
      <w:r w:rsidRPr="00294C71">
        <w:rPr>
          <w:rFonts w:ascii="Lato" w:hAnsi="Lato" w:cstheme="minorHAnsi"/>
          <w:sz w:val="20"/>
          <w:szCs w:val="20"/>
        </w:rPr>
        <w:t xml:space="preserve"> podziemne kondygnacje budynku D - pomieszczenia techniczne i magazynowe,</w:t>
      </w:r>
    </w:p>
    <w:p w14:paraId="58CEEABF" w14:textId="529A4D54" w:rsidR="00294C71" w:rsidRPr="00294C71" w:rsidRDefault="00294C71" w:rsidP="00294C71">
      <w:pPr>
        <w:pStyle w:val="Akapitzlist"/>
        <w:numPr>
          <w:ilvl w:val="0"/>
          <w:numId w:val="18"/>
        </w:numPr>
        <w:jc w:val="both"/>
        <w:rPr>
          <w:rFonts w:ascii="Lato" w:hAnsi="Lato" w:cstheme="minorHAnsi"/>
          <w:sz w:val="20"/>
          <w:szCs w:val="20"/>
        </w:rPr>
      </w:pPr>
      <w:r w:rsidRPr="00294C71">
        <w:rPr>
          <w:rFonts w:ascii="Lato" w:hAnsi="Lato" w:cstheme="minorHAnsi"/>
          <w:sz w:val="20"/>
          <w:szCs w:val="20"/>
        </w:rPr>
        <w:t>instalacje: elektryczna, wodnokanalizacyjna i deszczowa, c.o., ciepłej i zimnej wody, odgromowa,</w:t>
      </w:r>
    </w:p>
    <w:p w14:paraId="15108904" w14:textId="77777777" w:rsidR="00294C71" w:rsidRPr="00294C71" w:rsidRDefault="00294C71" w:rsidP="00294C71">
      <w:pPr>
        <w:pStyle w:val="Akapitzlist"/>
        <w:ind w:left="862"/>
        <w:jc w:val="both"/>
        <w:rPr>
          <w:rFonts w:ascii="Lato" w:hAnsi="Lato" w:cstheme="minorHAnsi"/>
          <w:sz w:val="20"/>
          <w:szCs w:val="20"/>
        </w:rPr>
      </w:pPr>
      <w:r w:rsidRPr="00294C71">
        <w:rPr>
          <w:rFonts w:ascii="Lato" w:hAnsi="Lato" w:cstheme="minorHAnsi"/>
          <w:sz w:val="20"/>
          <w:szCs w:val="20"/>
        </w:rPr>
        <w:t>system kontroli dostępu, ochrony przeciwpożarowej; wentylacja grawitacyjna, mechaniczna,</w:t>
      </w:r>
    </w:p>
    <w:p w14:paraId="4F253344" w14:textId="1594515D" w:rsidR="00294C71" w:rsidRDefault="00294C71" w:rsidP="00294C71">
      <w:pPr>
        <w:pStyle w:val="Akapitzlist"/>
        <w:spacing w:line="256" w:lineRule="auto"/>
        <w:ind w:left="862"/>
        <w:jc w:val="both"/>
        <w:rPr>
          <w:rFonts w:ascii="Lato" w:hAnsi="Lato" w:cstheme="minorHAnsi"/>
          <w:sz w:val="20"/>
          <w:szCs w:val="20"/>
        </w:rPr>
      </w:pPr>
      <w:r w:rsidRPr="00294C71">
        <w:rPr>
          <w:rFonts w:ascii="Lato" w:hAnsi="Lato" w:cstheme="minorHAnsi"/>
          <w:sz w:val="20"/>
          <w:szCs w:val="20"/>
        </w:rPr>
        <w:t>urządzenia służące gospodarce odpadami</w:t>
      </w:r>
      <w:r>
        <w:rPr>
          <w:rFonts w:ascii="Lato" w:hAnsi="Lato" w:cstheme="minorHAnsi"/>
          <w:sz w:val="20"/>
          <w:szCs w:val="20"/>
        </w:rPr>
        <w:t>.</w:t>
      </w:r>
    </w:p>
    <w:p w14:paraId="76022D08" w14:textId="6C3B5F4D" w:rsidR="00294C71" w:rsidRDefault="00294C71" w:rsidP="00294C71">
      <w:pPr>
        <w:pStyle w:val="Akapitzlist"/>
        <w:numPr>
          <w:ilvl w:val="0"/>
          <w:numId w:val="16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</w:t>
      </w:r>
      <w:r w:rsidRPr="00294C71">
        <w:rPr>
          <w:rFonts w:ascii="Lato" w:hAnsi="Lato" w:cstheme="minorHAnsi"/>
          <w:sz w:val="20"/>
          <w:szCs w:val="20"/>
        </w:rPr>
        <w:t>biekt jest obsługiwany przez jeden węzeł cieplny 3-funkcyjny.</w:t>
      </w:r>
    </w:p>
    <w:p w14:paraId="21B4332B" w14:textId="77777777" w:rsidR="00294C71" w:rsidRPr="003E7199" w:rsidRDefault="00294C71" w:rsidP="00294C71">
      <w:pPr>
        <w:pStyle w:val="Akapitzlist"/>
        <w:spacing w:line="256" w:lineRule="auto"/>
        <w:ind w:left="502"/>
        <w:jc w:val="both"/>
        <w:rPr>
          <w:rFonts w:ascii="Lato" w:hAnsi="Lato" w:cstheme="minorHAnsi"/>
          <w:sz w:val="20"/>
          <w:szCs w:val="20"/>
        </w:rPr>
      </w:pPr>
    </w:p>
    <w:p w14:paraId="23E2B6F7" w14:textId="54E56D93" w:rsidR="0061002E" w:rsidRPr="00FD1AA8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 xml:space="preserve">Planowany termin realizacji usługi: </w:t>
      </w:r>
    </w:p>
    <w:p w14:paraId="4B91D7FA" w14:textId="57605695" w:rsidR="0061002E" w:rsidRPr="00FD1AA8" w:rsidRDefault="008302FC" w:rsidP="0061002E">
      <w:pPr>
        <w:pStyle w:val="Akapitzlist"/>
        <w:spacing w:line="256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14</w:t>
      </w:r>
      <w:r w:rsidR="00753BDC" w:rsidRPr="007F11B9">
        <w:rPr>
          <w:rFonts w:ascii="Lato" w:hAnsi="Lato" w:cstheme="minorHAnsi"/>
          <w:sz w:val="20"/>
          <w:szCs w:val="20"/>
        </w:rPr>
        <w:t xml:space="preserve"> dni od</w:t>
      </w:r>
      <w:r w:rsidR="00435CDF" w:rsidRPr="007F11B9">
        <w:rPr>
          <w:rFonts w:ascii="Lato" w:hAnsi="Lato" w:cstheme="minorHAnsi"/>
          <w:sz w:val="20"/>
          <w:szCs w:val="20"/>
        </w:rPr>
        <w:t xml:space="preserve"> dnia</w:t>
      </w:r>
      <w:r w:rsidR="0061002E" w:rsidRPr="007F11B9">
        <w:rPr>
          <w:rFonts w:ascii="Lato" w:hAnsi="Lato" w:cstheme="minorHAnsi"/>
          <w:sz w:val="20"/>
          <w:szCs w:val="20"/>
        </w:rPr>
        <w:t xml:space="preserve"> podpisania umowy</w:t>
      </w:r>
      <w:r w:rsidR="0028586B" w:rsidRPr="00435CDF">
        <w:rPr>
          <w:rFonts w:ascii="Lato" w:hAnsi="Lato" w:cstheme="minorHAnsi"/>
          <w:sz w:val="20"/>
          <w:szCs w:val="20"/>
        </w:rPr>
        <w:t xml:space="preserve"> </w:t>
      </w:r>
    </w:p>
    <w:p w14:paraId="35177F24" w14:textId="77777777" w:rsidR="0061002E" w:rsidRPr="00FD1AA8" w:rsidRDefault="0061002E" w:rsidP="0061002E">
      <w:pPr>
        <w:pStyle w:val="Akapitzlist"/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61756271" w14:textId="77777777" w:rsidR="0061002E" w:rsidRPr="00FD1AA8" w:rsidRDefault="0061002E" w:rsidP="0061002E">
      <w:pPr>
        <w:pStyle w:val="Akapitzlist"/>
        <w:numPr>
          <w:ilvl w:val="0"/>
          <w:numId w:val="1"/>
        </w:numPr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Kryteria oceny ofert:</w:t>
      </w:r>
    </w:p>
    <w:p w14:paraId="6F4E6523" w14:textId="77777777" w:rsidR="0061002E" w:rsidRPr="00FD1AA8" w:rsidRDefault="0061002E" w:rsidP="0061002E">
      <w:pPr>
        <w:pStyle w:val="Akapitzlist"/>
        <w:spacing w:after="0" w:line="360" w:lineRule="auto"/>
        <w:jc w:val="both"/>
        <w:rPr>
          <w:rFonts w:ascii="Lato" w:hAnsi="Lato" w:cstheme="minorHAnsi"/>
          <w:bCs/>
          <w:sz w:val="20"/>
          <w:szCs w:val="20"/>
        </w:rPr>
      </w:pPr>
      <w:r w:rsidRPr="00FD1AA8">
        <w:rPr>
          <w:rFonts w:ascii="Lato" w:hAnsi="Lato" w:cstheme="minorHAnsi"/>
          <w:color w:val="000000"/>
          <w:sz w:val="20"/>
          <w:szCs w:val="20"/>
        </w:rPr>
        <w:lastRenderedPageBreak/>
        <w:t>Cena oferty będzie stanowiła jedyne kryterium oceny ofert.</w:t>
      </w:r>
    </w:p>
    <w:p w14:paraId="2D8AD29F" w14:textId="77777777" w:rsidR="0061002E" w:rsidRPr="00FD1AA8" w:rsidRDefault="0061002E" w:rsidP="0061002E">
      <w:pPr>
        <w:pStyle w:val="Akapitzlist"/>
        <w:jc w:val="both"/>
        <w:rPr>
          <w:rFonts w:ascii="Lato" w:hAnsi="Lato" w:cstheme="minorHAnsi"/>
          <w:b/>
          <w:bCs/>
          <w:sz w:val="20"/>
          <w:szCs w:val="20"/>
        </w:rPr>
      </w:pPr>
      <w:r w:rsidRPr="00FD1AA8">
        <w:rPr>
          <w:rFonts w:ascii="Lato" w:hAnsi="Lato" w:cstheme="minorHAnsi"/>
          <w:b/>
          <w:bCs/>
          <w:sz w:val="20"/>
          <w:szCs w:val="20"/>
        </w:rPr>
        <w:t>Cena (C) – waga 100%.</w:t>
      </w:r>
    </w:p>
    <w:p w14:paraId="41BEEE9C" w14:textId="77777777" w:rsidR="0061002E" w:rsidRPr="00FD1AA8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FD1AA8">
        <w:rPr>
          <w:rFonts w:ascii="Lato" w:hAnsi="Lato" w:cstheme="minorHAnsi"/>
          <w:sz w:val="20"/>
          <w:szCs w:val="20"/>
        </w:rPr>
        <w:t>Punkty za kryterium „Cena" (C) – 100 pkt (1 pkt – 1%), zostaną obliczone w następujący sposób:</w:t>
      </w:r>
    </w:p>
    <w:p w14:paraId="54D4B023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                                         </w:t>
      </w:r>
    </w:p>
    <w:p w14:paraId="7E7603E8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  <w:r w:rsidRPr="00673525">
        <w:rPr>
          <w:rFonts w:cstheme="minorHAnsi"/>
          <w:sz w:val="20"/>
          <w:szCs w:val="20"/>
        </w:rPr>
        <w:t xml:space="preserve"> </w:t>
      </w:r>
      <m:oMath>
        <m:r>
          <w:rPr>
            <w:rFonts w:ascii="Cambria Math" w:hAnsi="Cambria Math" w:cstheme="minorHAnsi"/>
            <w:sz w:val="20"/>
            <w:szCs w:val="20"/>
          </w:rPr>
          <m:t>C</m:t>
        </m:r>
        <m:r>
          <m:rPr>
            <m:sty m:val="p"/>
          </m:rPr>
          <w:rPr>
            <w:rFonts w:ascii="Cambria Math" w:hAnsi="Cambria Math" w:cstheme="minorHAnsi"/>
            <w:sz w:val="20"/>
            <w:szCs w:val="20"/>
          </w:rPr>
          <m:t>=</m:t>
        </m:r>
        <m:f>
          <m:fPr>
            <m:ctrlPr>
              <w:rPr>
                <w:rFonts w:ascii="Cambria Math" w:hAnsi="Cambria Math" w:cstheme="minorHAnsi"/>
                <w:sz w:val="20"/>
                <w:szCs w:val="20"/>
              </w:rPr>
            </m:ctrlPr>
          </m:fPr>
          <m:num>
            <m:r>
              <w:rPr>
                <w:rFonts w:ascii="Cambria Math" w:hAnsi="Cambria Math" w:cstheme="minorHAnsi"/>
                <w:sz w:val="20"/>
                <w:szCs w:val="20"/>
              </w:rPr>
              <m:t>Cmin</m:t>
            </m:r>
          </m:num>
          <m:den>
            <m:r>
              <w:rPr>
                <w:rFonts w:ascii="Cambria Math" w:hAnsi="Cambria Math" w:cstheme="minorHAnsi"/>
                <w:sz w:val="20"/>
                <w:szCs w:val="20"/>
              </w:rPr>
              <m:t>Cbad</m:t>
            </m:r>
            <m:r>
              <m:rPr>
                <m:sty m:val="p"/>
              </m:rPr>
              <w:rPr>
                <w:rFonts w:ascii="Cambria Math" w:hAnsi="Cambria Math" w:cstheme="minorHAnsi"/>
                <w:sz w:val="20"/>
                <w:szCs w:val="20"/>
              </w:rPr>
              <m:t xml:space="preserve"> </m:t>
            </m:r>
          </m:den>
        </m:f>
      </m:oMath>
      <w:r w:rsidRPr="00673525">
        <w:rPr>
          <w:rFonts w:cstheme="minorHAnsi"/>
          <w:sz w:val="20"/>
          <w:szCs w:val="20"/>
        </w:rPr>
        <w:t xml:space="preserve"> x 100%</w:t>
      </w:r>
    </w:p>
    <w:p w14:paraId="1080C947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sz w:val="20"/>
          <w:szCs w:val="20"/>
        </w:rPr>
      </w:pPr>
    </w:p>
    <w:p w14:paraId="37B675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gdzie:</w:t>
      </w:r>
    </w:p>
    <w:p w14:paraId="6DB8E9CD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- ilość punktów, jakie otrzyma oferta za kryterium „Cena”;</w:t>
      </w:r>
    </w:p>
    <w:p w14:paraId="69EE43BF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 min  - najniższa cena spośród ofert niepodlegających odrzuceniu;</w:t>
      </w:r>
    </w:p>
    <w:p w14:paraId="74A9F45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C bad - cena oferty badanej.</w:t>
      </w:r>
    </w:p>
    <w:p w14:paraId="370F9468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</w:r>
    </w:p>
    <w:p w14:paraId="6BBD3BB6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Punktacja przyznawana ofertom będzie liczona z dokładnością do dwóch miejsc po przecinku. Najwyższa liczba punktów wyznaczy najkorzystniejszą ofertę.</w:t>
      </w:r>
    </w:p>
    <w:p w14:paraId="55A89E77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ab/>
        <w:t>Zamawiający udzieli zamówienia Wykonawcy, którego oferta odpowiadać będzie wszystkim wymaganiom i zostanie oceniona jako najkorzystniejsza w oparciu o podane kryterium wyboru.</w:t>
      </w:r>
    </w:p>
    <w:p w14:paraId="40D4240E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Jeżeli nie można wybrać oferty najkorzystniejszej z uwagi na to, że dwie lub więcej ofert przedstawia taką samą najkorzystniejszą cenę, Zamawiający wezwie Wykonawców, którzy złożyli te oferty, do złożenia w terminie określonym przez Zamawiającego ofert dodatkowych.</w:t>
      </w:r>
    </w:p>
    <w:p w14:paraId="25780B59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nie przewiduje przeprowadzenia dogrywki w formie aukcji elektronicznej.</w:t>
      </w:r>
    </w:p>
    <w:p w14:paraId="09581C25" w14:textId="77777777" w:rsidR="0061002E" w:rsidRPr="000316BD" w:rsidRDefault="0061002E" w:rsidP="0061002E">
      <w:p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</w:p>
    <w:p w14:paraId="143C5D82" w14:textId="77777777" w:rsidR="0061002E" w:rsidRPr="000316BD" w:rsidRDefault="0061002E" w:rsidP="0061002E">
      <w:pPr>
        <w:pStyle w:val="Akapitzlist"/>
        <w:numPr>
          <w:ilvl w:val="0"/>
          <w:numId w:val="1"/>
        </w:numPr>
        <w:tabs>
          <w:tab w:val="center" w:pos="4590"/>
        </w:tabs>
        <w:spacing w:after="0" w:line="240" w:lineRule="auto"/>
        <w:ind w:left="142" w:right="-289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Wynagrodzenie:</w:t>
      </w:r>
    </w:p>
    <w:p w14:paraId="6ADC0231" w14:textId="05B5CF34" w:rsidR="0061002E" w:rsidRPr="000316BD" w:rsidRDefault="00753BDC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Przewiduje się wynagrodzenie ryczałtowe za świadczenie usługi,</w:t>
      </w:r>
    </w:p>
    <w:p w14:paraId="4437D60B" w14:textId="3BA49E1F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="Times New Roman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</w:t>
      </w:r>
      <w:r w:rsidR="00753BDC">
        <w:rPr>
          <w:rFonts w:ascii="Lato" w:hAnsi="Lato" w:cs="Times New Roman"/>
          <w:sz w:val="20"/>
          <w:szCs w:val="20"/>
        </w:rPr>
        <w:t>do wystawienia faktury Vat będzie podpisany przez Zamawiającego i wykonawcę</w:t>
      </w:r>
      <w:r w:rsidRPr="000316BD">
        <w:rPr>
          <w:rFonts w:ascii="Lato" w:hAnsi="Lato" w:cs="Times New Roman"/>
          <w:sz w:val="20"/>
          <w:szCs w:val="20"/>
        </w:rPr>
        <w:t xml:space="preserve"> protokół odbioru końcowego za wykonany nadzór inwestorski</w:t>
      </w:r>
      <w:r w:rsidR="00435CDF">
        <w:rPr>
          <w:rFonts w:ascii="Lato" w:hAnsi="Lato" w:cs="Times New Roman"/>
          <w:sz w:val="20"/>
          <w:szCs w:val="20"/>
        </w:rPr>
        <w:t>,</w:t>
      </w:r>
    </w:p>
    <w:p w14:paraId="2D1B4E3F" w14:textId="243C7CD2" w:rsidR="0061002E" w:rsidRPr="000316BD" w:rsidRDefault="0061002E" w:rsidP="0061002E">
      <w:pPr>
        <w:pStyle w:val="Akapitzlist"/>
        <w:numPr>
          <w:ilvl w:val="0"/>
          <w:numId w:val="4"/>
        </w:numPr>
        <w:tabs>
          <w:tab w:val="center" w:pos="4590"/>
        </w:tabs>
        <w:spacing w:after="0" w:line="240" w:lineRule="auto"/>
        <w:ind w:right="-289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="Times New Roman"/>
          <w:sz w:val="20"/>
          <w:szCs w:val="20"/>
        </w:rPr>
        <w:t xml:space="preserve">Podstawą do podpisania protokołu odbioru końcowego przez Zamawiającego będzie zakończenie </w:t>
      </w:r>
      <w:r w:rsidR="001C2835">
        <w:rPr>
          <w:rFonts w:ascii="Lato" w:hAnsi="Lato" w:cs="Times New Roman"/>
          <w:sz w:val="20"/>
          <w:szCs w:val="20"/>
        </w:rPr>
        <w:br/>
      </w:r>
      <w:r w:rsidRPr="000316BD">
        <w:rPr>
          <w:rFonts w:ascii="Lato" w:hAnsi="Lato" w:cs="Times New Roman"/>
          <w:sz w:val="20"/>
          <w:szCs w:val="20"/>
        </w:rPr>
        <w:t xml:space="preserve">i odbiór </w:t>
      </w:r>
      <w:r w:rsidR="008302FC">
        <w:rPr>
          <w:rFonts w:ascii="Lato" w:hAnsi="Lato" w:cs="Times New Roman"/>
          <w:sz w:val="20"/>
          <w:szCs w:val="20"/>
        </w:rPr>
        <w:t>przeglądu instalacji centralnego ogrzewania oraz usunięcie wykrytych usterek i awarii</w:t>
      </w:r>
      <w:r w:rsidRPr="000316BD">
        <w:rPr>
          <w:rFonts w:ascii="Lato" w:hAnsi="Lato" w:cs="Times New Roman"/>
          <w:sz w:val="20"/>
          <w:szCs w:val="20"/>
        </w:rPr>
        <w:t xml:space="preserve">. </w:t>
      </w:r>
    </w:p>
    <w:p w14:paraId="03C5ADF5" w14:textId="77777777" w:rsidR="0061002E" w:rsidRPr="00673525" w:rsidRDefault="0061002E" w:rsidP="0061002E">
      <w:pPr>
        <w:tabs>
          <w:tab w:val="center" w:pos="4590"/>
        </w:tabs>
        <w:spacing w:after="0" w:line="240" w:lineRule="auto"/>
        <w:ind w:left="360" w:right="-289"/>
        <w:jc w:val="both"/>
        <w:rPr>
          <w:rFonts w:cstheme="minorHAnsi"/>
          <w:sz w:val="20"/>
          <w:szCs w:val="20"/>
        </w:rPr>
      </w:pPr>
    </w:p>
    <w:p w14:paraId="51AF3D2F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sz w:val="20"/>
          <w:szCs w:val="20"/>
        </w:rPr>
      </w:pPr>
      <w:r w:rsidRPr="000316BD">
        <w:rPr>
          <w:rFonts w:ascii="Lato" w:hAnsi="Lato" w:cstheme="minorHAnsi"/>
          <w:b/>
          <w:sz w:val="20"/>
          <w:szCs w:val="20"/>
        </w:rPr>
        <w:t xml:space="preserve">Warunki udziału: </w:t>
      </w:r>
    </w:p>
    <w:p w14:paraId="5F8F8C4A" w14:textId="6A9C7D69" w:rsidR="004F4D05" w:rsidRPr="004F4D05" w:rsidRDefault="0061002E" w:rsidP="004F4D05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0316BD">
        <w:rPr>
          <w:rFonts w:ascii="Lato" w:hAnsi="Lato" w:cstheme="minorHAnsi"/>
          <w:bCs/>
          <w:sz w:val="20"/>
          <w:szCs w:val="20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</w:t>
      </w:r>
      <w:r w:rsidR="00855EC2">
        <w:rPr>
          <w:rFonts w:ascii="Lato" w:hAnsi="Lato" w:cstheme="minorHAnsi"/>
          <w:bCs/>
          <w:sz w:val="20"/>
          <w:szCs w:val="20"/>
        </w:rPr>
        <w:t>,</w:t>
      </w:r>
    </w:p>
    <w:p w14:paraId="78157528" w14:textId="7BABF785" w:rsidR="004F4D05" w:rsidRPr="004F4D05" w:rsidRDefault="004F4D05" w:rsidP="004F4D05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4F4D05">
        <w:rPr>
          <w:rFonts w:ascii="Lato" w:hAnsi="Lato" w:cstheme="minorHAnsi"/>
          <w:bCs/>
          <w:sz w:val="20"/>
          <w:szCs w:val="20"/>
        </w:rPr>
        <w:t xml:space="preserve">Zamawiający uzna Wykonawcę, który wykaże, że w okresie ostatnich pięciu lat, przed upływem terminu składania ofert, a jeżeli okres prowadzonej działalności jest krótszy, w tym okresie, wykonał należycie co najmniej jedną usługę polegającą na wykonaniu </w:t>
      </w:r>
      <w:r w:rsidR="00A01ED4">
        <w:rPr>
          <w:rFonts w:ascii="Lato" w:hAnsi="Lato" w:cstheme="minorHAnsi"/>
          <w:bCs/>
          <w:sz w:val="20"/>
          <w:szCs w:val="20"/>
        </w:rPr>
        <w:t xml:space="preserve">przeglądu bądź </w:t>
      </w:r>
      <w:r w:rsidRPr="004F4D05">
        <w:rPr>
          <w:rFonts w:ascii="Lato" w:hAnsi="Lato" w:cstheme="minorHAnsi"/>
          <w:bCs/>
          <w:sz w:val="20"/>
          <w:szCs w:val="20"/>
        </w:rPr>
        <w:t>wymiany instalacji centralnego ogrzewania</w:t>
      </w:r>
      <w:r w:rsidR="00A01ED4">
        <w:rPr>
          <w:rFonts w:ascii="Lato" w:hAnsi="Lato" w:cstheme="minorHAnsi"/>
          <w:bCs/>
          <w:sz w:val="20"/>
          <w:szCs w:val="20"/>
        </w:rPr>
        <w:t xml:space="preserve"> </w:t>
      </w:r>
      <w:r w:rsidRPr="004F4D05">
        <w:rPr>
          <w:rFonts w:ascii="Lato" w:hAnsi="Lato" w:cstheme="minorHAnsi"/>
          <w:bCs/>
          <w:sz w:val="20"/>
          <w:szCs w:val="20"/>
        </w:rPr>
        <w:t xml:space="preserve">w budynkach użyteczności publicznej, </w:t>
      </w:r>
    </w:p>
    <w:p w14:paraId="6A3C8A25" w14:textId="5ECCBDE7" w:rsidR="004F4D05" w:rsidRDefault="004F4D05" w:rsidP="004F4D05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4F4D05">
        <w:rPr>
          <w:rFonts w:ascii="Lato" w:hAnsi="Lato" w:cstheme="minorHAnsi"/>
          <w:bCs/>
          <w:sz w:val="20"/>
          <w:szCs w:val="20"/>
        </w:rPr>
        <w:t>Zamawiający wymaga aby wykonawca posiadał polisę OC na kwotę min. 100 000,00  zł.,</w:t>
      </w:r>
    </w:p>
    <w:p w14:paraId="37ED48E7" w14:textId="3FDC0E32" w:rsidR="000970D4" w:rsidRPr="000970D4" w:rsidRDefault="004F4D05" w:rsidP="000970D4">
      <w:pPr>
        <w:pStyle w:val="Akapitzlist"/>
        <w:numPr>
          <w:ilvl w:val="0"/>
          <w:numId w:val="5"/>
        </w:numPr>
        <w:jc w:val="both"/>
        <w:rPr>
          <w:rFonts w:ascii="Lato" w:hAnsi="Lato" w:cstheme="minorHAnsi"/>
          <w:bCs/>
          <w:sz w:val="20"/>
          <w:szCs w:val="20"/>
        </w:rPr>
      </w:pPr>
      <w:r w:rsidRPr="000970D4">
        <w:rPr>
          <w:rFonts w:ascii="Lato" w:hAnsi="Lato" w:cstheme="minorHAnsi"/>
          <w:bCs/>
          <w:sz w:val="20"/>
          <w:szCs w:val="20"/>
        </w:rPr>
        <w:t xml:space="preserve">Zamawiający wymaga </w:t>
      </w:r>
      <w:r w:rsidR="004C6BDA" w:rsidRPr="00A558CF">
        <w:rPr>
          <w:rFonts w:ascii="Lato" w:hAnsi="Lato" w:cstheme="minorHAnsi"/>
          <w:b/>
          <w:sz w:val="20"/>
          <w:szCs w:val="20"/>
        </w:rPr>
        <w:t xml:space="preserve">obowiązkowo </w:t>
      </w:r>
      <w:r w:rsidRPr="00A558CF">
        <w:rPr>
          <w:rFonts w:ascii="Lato" w:hAnsi="Lato" w:cstheme="minorHAnsi"/>
          <w:b/>
          <w:sz w:val="20"/>
          <w:szCs w:val="20"/>
        </w:rPr>
        <w:t>obecności Oferenta w wizji lokalnej</w:t>
      </w:r>
      <w:r w:rsidR="000970D4" w:rsidRPr="000970D4">
        <w:rPr>
          <w:rFonts w:ascii="Lato" w:hAnsi="Lato" w:cstheme="minorHAnsi"/>
          <w:bCs/>
          <w:sz w:val="20"/>
          <w:szCs w:val="20"/>
        </w:rPr>
        <w:t>, której termin należy uzgo</w:t>
      </w:r>
      <w:r w:rsidR="000970D4">
        <w:rPr>
          <w:rFonts w:ascii="Lato" w:hAnsi="Lato" w:cstheme="minorHAnsi"/>
          <w:bCs/>
          <w:sz w:val="20"/>
          <w:szCs w:val="20"/>
        </w:rPr>
        <w:t>d</w:t>
      </w:r>
      <w:r w:rsidR="000970D4" w:rsidRPr="000970D4">
        <w:rPr>
          <w:rFonts w:ascii="Lato" w:hAnsi="Lato" w:cstheme="minorHAnsi"/>
          <w:bCs/>
          <w:sz w:val="20"/>
          <w:szCs w:val="20"/>
        </w:rPr>
        <w:t>nić z Zamawiającym najpóźniej</w:t>
      </w:r>
      <w:r w:rsidRPr="000970D4">
        <w:rPr>
          <w:rFonts w:ascii="Lato" w:hAnsi="Lato" w:cstheme="minorHAnsi"/>
          <w:bCs/>
          <w:sz w:val="20"/>
          <w:szCs w:val="20"/>
        </w:rPr>
        <w:t xml:space="preserve"> </w:t>
      </w:r>
      <w:r w:rsidR="0023235F" w:rsidRPr="000970D4">
        <w:rPr>
          <w:rFonts w:ascii="Lato" w:hAnsi="Lato" w:cstheme="minorHAnsi"/>
          <w:bCs/>
          <w:sz w:val="20"/>
          <w:szCs w:val="20"/>
        </w:rPr>
        <w:t>do dnia</w:t>
      </w:r>
      <w:r w:rsidRPr="000970D4">
        <w:rPr>
          <w:rFonts w:ascii="Lato" w:hAnsi="Lato" w:cstheme="minorHAnsi"/>
          <w:bCs/>
          <w:sz w:val="20"/>
          <w:szCs w:val="20"/>
        </w:rPr>
        <w:t xml:space="preserve"> </w:t>
      </w:r>
      <w:r w:rsidR="00A01ED4" w:rsidRPr="00C30AC6">
        <w:rPr>
          <w:rFonts w:ascii="Lato" w:hAnsi="Lato" w:cstheme="minorHAnsi"/>
          <w:bCs/>
          <w:sz w:val="20"/>
          <w:szCs w:val="20"/>
        </w:rPr>
        <w:t>1</w:t>
      </w:r>
      <w:r w:rsidR="00B96C45">
        <w:rPr>
          <w:rFonts w:ascii="Lato" w:hAnsi="Lato" w:cstheme="minorHAnsi"/>
          <w:bCs/>
          <w:sz w:val="20"/>
          <w:szCs w:val="20"/>
        </w:rPr>
        <w:t>8</w:t>
      </w:r>
      <w:r w:rsidR="00A01ED4" w:rsidRPr="00C30AC6">
        <w:rPr>
          <w:rFonts w:ascii="Lato" w:hAnsi="Lato" w:cstheme="minorHAnsi"/>
          <w:bCs/>
          <w:sz w:val="20"/>
          <w:szCs w:val="20"/>
        </w:rPr>
        <w:t>.06.2026</w:t>
      </w:r>
      <w:r w:rsidRPr="000970D4">
        <w:rPr>
          <w:rFonts w:ascii="Lato" w:hAnsi="Lato" w:cstheme="minorHAnsi"/>
          <w:bCs/>
          <w:sz w:val="20"/>
          <w:szCs w:val="20"/>
        </w:rPr>
        <w:t xml:space="preserve"> r. </w:t>
      </w:r>
      <w:r w:rsidR="0023235F" w:rsidRPr="000970D4">
        <w:rPr>
          <w:rFonts w:ascii="Lato" w:hAnsi="Lato" w:cstheme="minorHAnsi"/>
          <w:bCs/>
          <w:sz w:val="20"/>
          <w:szCs w:val="20"/>
        </w:rPr>
        <w:t>d</w:t>
      </w:r>
      <w:r w:rsidRPr="000970D4">
        <w:rPr>
          <w:rFonts w:ascii="Lato" w:hAnsi="Lato" w:cstheme="minorHAnsi"/>
          <w:bCs/>
          <w:sz w:val="20"/>
          <w:szCs w:val="20"/>
        </w:rPr>
        <w:t>o godzi</w:t>
      </w:r>
      <w:r w:rsidR="0023235F" w:rsidRPr="000970D4">
        <w:rPr>
          <w:rFonts w:ascii="Lato" w:hAnsi="Lato" w:cstheme="minorHAnsi"/>
          <w:bCs/>
          <w:sz w:val="20"/>
          <w:szCs w:val="20"/>
        </w:rPr>
        <w:t>ny</w:t>
      </w:r>
      <w:r w:rsidRPr="000970D4">
        <w:rPr>
          <w:rFonts w:ascii="Lato" w:hAnsi="Lato" w:cstheme="minorHAnsi"/>
          <w:bCs/>
          <w:sz w:val="20"/>
          <w:szCs w:val="20"/>
        </w:rPr>
        <w:t xml:space="preserve"> 1</w:t>
      </w:r>
      <w:r w:rsidR="0023235F" w:rsidRPr="000970D4">
        <w:rPr>
          <w:rFonts w:ascii="Lato" w:hAnsi="Lato" w:cstheme="minorHAnsi"/>
          <w:bCs/>
          <w:sz w:val="20"/>
          <w:szCs w:val="20"/>
        </w:rPr>
        <w:t>4</w:t>
      </w:r>
      <w:r w:rsidRPr="000970D4">
        <w:rPr>
          <w:rFonts w:ascii="Lato" w:hAnsi="Lato" w:cstheme="minorHAnsi"/>
          <w:bCs/>
          <w:sz w:val="20"/>
          <w:szCs w:val="20"/>
        </w:rPr>
        <w:t>:00</w:t>
      </w:r>
      <w:r w:rsidR="000970D4" w:rsidRPr="000970D4">
        <w:rPr>
          <w:rFonts w:ascii="Lato" w:hAnsi="Lato" w:cstheme="minorHAnsi"/>
          <w:bCs/>
          <w:sz w:val="20"/>
          <w:szCs w:val="20"/>
        </w:rPr>
        <w:t xml:space="preserve"> </w:t>
      </w:r>
      <w:r w:rsidR="000970D4" w:rsidRPr="000970D4">
        <w:rPr>
          <w:rFonts w:cstheme="minorHAnsi"/>
          <w:b/>
          <w:bCs/>
        </w:rPr>
        <w:t xml:space="preserve">poprzez adres </w:t>
      </w:r>
      <w:r w:rsidR="000970D4" w:rsidRPr="000970D4">
        <w:rPr>
          <w:rFonts w:cstheme="minorHAnsi"/>
          <w:b/>
          <w:bCs/>
        </w:rPr>
        <w:br/>
        <w:t xml:space="preserve">e-mail: </w:t>
      </w:r>
      <w:hyperlink r:id="rId5" w:history="1">
        <w:r w:rsidR="000970D4" w:rsidRPr="000970D4">
          <w:rPr>
            <w:rStyle w:val="Hipercze"/>
            <w:rFonts w:cstheme="minorHAnsi"/>
          </w:rPr>
          <w:t>sekretariat.bom@mrpips.gov.pl</w:t>
        </w:r>
      </w:hyperlink>
      <w:r w:rsidR="000970D4" w:rsidRPr="000970D4">
        <w:rPr>
          <w:rFonts w:cstheme="minorHAnsi"/>
          <w:b/>
          <w:bCs/>
        </w:rPr>
        <w:t xml:space="preserve">. </w:t>
      </w:r>
    </w:p>
    <w:p w14:paraId="61B835A1" w14:textId="13B60C68" w:rsidR="000970D4" w:rsidRDefault="004F4D05" w:rsidP="000970D4">
      <w:pPr>
        <w:pStyle w:val="Akapitzlist"/>
        <w:jc w:val="both"/>
        <w:rPr>
          <w:rFonts w:ascii="Lato" w:hAnsi="Lato" w:cstheme="minorHAnsi"/>
          <w:bCs/>
          <w:sz w:val="20"/>
          <w:szCs w:val="20"/>
        </w:rPr>
      </w:pPr>
      <w:r w:rsidRPr="0023235F">
        <w:rPr>
          <w:rFonts w:ascii="Lato" w:hAnsi="Lato" w:cstheme="minorHAnsi"/>
          <w:bCs/>
          <w:sz w:val="20"/>
          <w:szCs w:val="20"/>
        </w:rPr>
        <w:t>Spotkanie Oferentów z przedstawicielem Zamawiającego odb</w:t>
      </w:r>
      <w:r w:rsidR="0023235F">
        <w:rPr>
          <w:rFonts w:ascii="Lato" w:hAnsi="Lato" w:cstheme="minorHAnsi"/>
          <w:bCs/>
          <w:sz w:val="20"/>
          <w:szCs w:val="20"/>
        </w:rPr>
        <w:t>ywać</w:t>
      </w:r>
      <w:r w:rsidRPr="0023235F">
        <w:rPr>
          <w:rFonts w:ascii="Lato" w:hAnsi="Lato" w:cstheme="minorHAnsi"/>
          <w:bCs/>
          <w:sz w:val="20"/>
          <w:szCs w:val="20"/>
        </w:rPr>
        <w:t xml:space="preserve"> się</w:t>
      </w:r>
      <w:r w:rsidR="0023235F">
        <w:rPr>
          <w:rFonts w:ascii="Lato" w:hAnsi="Lato" w:cstheme="minorHAnsi"/>
          <w:bCs/>
          <w:sz w:val="20"/>
          <w:szCs w:val="20"/>
        </w:rPr>
        <w:t xml:space="preserve"> będzie</w:t>
      </w:r>
      <w:r w:rsidRPr="0023235F">
        <w:rPr>
          <w:rFonts w:ascii="Lato" w:hAnsi="Lato" w:cstheme="minorHAnsi"/>
          <w:bCs/>
          <w:sz w:val="20"/>
          <w:szCs w:val="20"/>
        </w:rPr>
        <w:t xml:space="preserve"> w budynku  Ministerstwa Rodziny, Pracy i Polityki Społecznej przy ul. </w:t>
      </w:r>
      <w:r w:rsidR="00A01ED4" w:rsidRPr="0023235F">
        <w:rPr>
          <w:rFonts w:ascii="Lato" w:hAnsi="Lato" w:cstheme="minorHAnsi"/>
          <w:bCs/>
          <w:sz w:val="20"/>
          <w:szCs w:val="20"/>
        </w:rPr>
        <w:t>Żurawia 4a</w:t>
      </w:r>
      <w:r w:rsidRPr="0023235F">
        <w:rPr>
          <w:rFonts w:ascii="Lato" w:hAnsi="Lato" w:cstheme="minorHAnsi"/>
          <w:bCs/>
          <w:sz w:val="20"/>
          <w:szCs w:val="20"/>
        </w:rPr>
        <w:t xml:space="preserve"> (recepcja). </w:t>
      </w:r>
    </w:p>
    <w:p w14:paraId="71F1A826" w14:textId="77777777" w:rsidR="000970D4" w:rsidRPr="000970D4" w:rsidRDefault="000970D4" w:rsidP="000970D4">
      <w:pPr>
        <w:pStyle w:val="Akapitzlist"/>
        <w:jc w:val="both"/>
        <w:rPr>
          <w:rFonts w:ascii="Lato" w:hAnsi="Lato" w:cstheme="minorHAnsi"/>
          <w:bCs/>
          <w:sz w:val="20"/>
          <w:szCs w:val="20"/>
        </w:rPr>
      </w:pPr>
    </w:p>
    <w:p w14:paraId="28A853F9" w14:textId="3F3811E8" w:rsidR="0061002E" w:rsidRPr="009A4D83" w:rsidRDefault="0061002E" w:rsidP="009A4D83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Lato" w:hAnsi="Lato" w:cstheme="minorHAnsi"/>
          <w:b/>
          <w:bCs/>
          <w:sz w:val="20"/>
          <w:szCs w:val="20"/>
        </w:rPr>
      </w:pPr>
      <w:r w:rsidRPr="009A4D83">
        <w:rPr>
          <w:rFonts w:ascii="Lato" w:hAnsi="Lato" w:cstheme="minorHAnsi"/>
          <w:b/>
          <w:bCs/>
          <w:sz w:val="20"/>
          <w:szCs w:val="20"/>
        </w:rPr>
        <w:t>Sposób przygotowania i termin składania ofert:</w:t>
      </w:r>
    </w:p>
    <w:p w14:paraId="0937CDBD" w14:textId="77777777" w:rsidR="0061002E" w:rsidRPr="000316BD" w:rsidRDefault="0061002E" w:rsidP="0061002E">
      <w:pPr>
        <w:pStyle w:val="Akapitzlist"/>
        <w:numPr>
          <w:ilvl w:val="0"/>
          <w:numId w:val="8"/>
        </w:numPr>
        <w:spacing w:line="256" w:lineRule="auto"/>
        <w:ind w:left="709"/>
        <w:jc w:val="both"/>
        <w:rPr>
          <w:rFonts w:ascii="Lato" w:hAnsi="Lato" w:cstheme="minorHAnsi"/>
          <w:i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Do oferty należy dołączyć:</w:t>
      </w:r>
    </w:p>
    <w:p w14:paraId="3CDC8249" w14:textId="77777777" w:rsidR="0061002E" w:rsidRPr="000316BD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podpisane przez Wykonawcę </w:t>
      </w:r>
      <w:r w:rsidRPr="000316BD">
        <w:rPr>
          <w:rFonts w:ascii="Lato" w:hAnsi="Lato" w:cstheme="minorHAnsi"/>
          <w:i/>
          <w:iCs/>
          <w:sz w:val="20"/>
          <w:szCs w:val="20"/>
        </w:rPr>
        <w:t>oświadczenie o niepodleganiu wykluczeniu</w:t>
      </w:r>
      <w:r w:rsidRPr="000316BD">
        <w:rPr>
          <w:rFonts w:ascii="Lato" w:hAnsi="Lato" w:cstheme="minorHAnsi"/>
          <w:sz w:val="20"/>
          <w:szCs w:val="20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  <w:r w:rsidRPr="000316BD">
        <w:rPr>
          <w:rFonts w:ascii="Lato" w:hAnsi="Lato" w:cstheme="minorHAnsi"/>
          <w:b/>
          <w:bCs/>
          <w:sz w:val="20"/>
          <w:szCs w:val="20"/>
        </w:rPr>
        <w:t>Oferty złożone bez oświadczenia nie zostaną rozpatrzone</w:t>
      </w:r>
      <w:r w:rsidRPr="000316BD">
        <w:rPr>
          <w:rFonts w:ascii="Lato" w:hAnsi="Lato" w:cstheme="minorHAnsi"/>
          <w:sz w:val="20"/>
          <w:szCs w:val="20"/>
        </w:rPr>
        <w:t>.</w:t>
      </w:r>
    </w:p>
    <w:p w14:paraId="2CD13021" w14:textId="77777777" w:rsidR="001C2835" w:rsidRDefault="0061002E" w:rsidP="0061002E">
      <w:pPr>
        <w:pStyle w:val="Akapitzlist"/>
        <w:numPr>
          <w:ilvl w:val="0"/>
          <w:numId w:val="6"/>
        </w:numPr>
        <w:spacing w:line="240" w:lineRule="auto"/>
        <w:ind w:left="993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wypełniony Formularz ofertowy stanowiący załącznik nr 1. Ceny za czynności przewidziane niniejszym zaproszeniem muszą zostać podane w złotych polskich i mają zawierać podatek od towarów i usług (VAT) obliczony wg ustalonych ustawowo stawek i zasad. </w:t>
      </w:r>
      <w:r w:rsidRPr="000316BD">
        <w:rPr>
          <w:rFonts w:ascii="Lato" w:hAnsi="Lato" w:cstheme="minorHAnsi"/>
          <w:b/>
          <w:bCs/>
          <w:sz w:val="20"/>
          <w:szCs w:val="20"/>
        </w:rPr>
        <w:t>W przypadku, gdy oferta nie będzie zawierała ceny oferta taka zostanie odrzucona.</w:t>
      </w:r>
    </w:p>
    <w:p w14:paraId="1432B4FB" w14:textId="77777777" w:rsidR="00FE6F21" w:rsidRDefault="00FE6F21" w:rsidP="0061002E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</w:p>
    <w:p w14:paraId="6A8AB95A" w14:textId="2D33BDA0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b/>
          <w:bCs/>
          <w:sz w:val="20"/>
          <w:szCs w:val="20"/>
        </w:rPr>
      </w:pPr>
      <w:r w:rsidRPr="009E2475">
        <w:rPr>
          <w:rFonts w:ascii="Lato" w:hAnsi="Lato" w:cstheme="minorHAnsi"/>
          <w:b/>
          <w:bCs/>
          <w:sz w:val="20"/>
          <w:szCs w:val="20"/>
        </w:rPr>
        <w:lastRenderedPageBreak/>
        <w:t xml:space="preserve">Ofertę należy złożyć drogą elektroniczną na adres e-mail: </w:t>
      </w:r>
      <w:hyperlink r:id="rId6" w:history="1">
        <w:r w:rsidRPr="009E2475">
          <w:rPr>
            <w:rStyle w:val="Hipercze"/>
            <w:rFonts w:ascii="Lato" w:hAnsi="Lato" w:cstheme="minorHAnsi"/>
            <w:b/>
            <w:bCs/>
            <w:sz w:val="20"/>
            <w:szCs w:val="20"/>
          </w:rPr>
          <w:t>sekretariat.bom@mrpips.gov.pl</w:t>
        </w:r>
      </w:hyperlink>
      <w:r w:rsidRPr="009E2475">
        <w:rPr>
          <w:rFonts w:ascii="Lato" w:hAnsi="Lato" w:cstheme="minorHAnsi"/>
          <w:b/>
          <w:bCs/>
          <w:sz w:val="20"/>
          <w:szCs w:val="20"/>
        </w:rPr>
        <w:t xml:space="preserve"> do dnia </w:t>
      </w:r>
      <w:r w:rsidR="00B96C45">
        <w:rPr>
          <w:rFonts w:ascii="Lato" w:hAnsi="Lato" w:cstheme="minorHAnsi"/>
          <w:b/>
          <w:bCs/>
          <w:sz w:val="20"/>
          <w:szCs w:val="20"/>
        </w:rPr>
        <w:t>25</w:t>
      </w:r>
      <w:r w:rsidR="00BF0705">
        <w:rPr>
          <w:rFonts w:ascii="Lato" w:hAnsi="Lato" w:cstheme="minorHAnsi"/>
          <w:b/>
          <w:bCs/>
          <w:sz w:val="20"/>
          <w:szCs w:val="20"/>
        </w:rPr>
        <w:t>.06</w:t>
      </w:r>
      <w:r w:rsidRPr="009E2475">
        <w:rPr>
          <w:rFonts w:ascii="Lato" w:hAnsi="Lato" w:cstheme="minorHAnsi"/>
          <w:b/>
          <w:bCs/>
          <w:sz w:val="20"/>
          <w:szCs w:val="20"/>
        </w:rPr>
        <w:t>.2026r.</w:t>
      </w:r>
    </w:p>
    <w:p w14:paraId="66F59E6A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Wszelką korespondencję w sprawie należy kierować pod ww. adres e-mail.</w:t>
      </w:r>
    </w:p>
    <w:p w14:paraId="77CB37D9" w14:textId="77777777" w:rsidR="0061002E" w:rsidRPr="000316BD" w:rsidRDefault="0061002E" w:rsidP="0061002E">
      <w:pPr>
        <w:pStyle w:val="Akapitzlist"/>
        <w:ind w:left="0"/>
        <w:jc w:val="both"/>
        <w:rPr>
          <w:rFonts w:ascii="Lato" w:hAnsi="Lato" w:cstheme="minorHAnsi"/>
          <w:sz w:val="20"/>
          <w:szCs w:val="20"/>
        </w:rPr>
      </w:pPr>
    </w:p>
    <w:p w14:paraId="4A2A7CE3" w14:textId="77777777" w:rsidR="0061002E" w:rsidRPr="000316BD" w:rsidRDefault="0061002E" w:rsidP="0061002E">
      <w:pPr>
        <w:pStyle w:val="Akapitzlist"/>
        <w:numPr>
          <w:ilvl w:val="0"/>
          <w:numId w:val="1"/>
        </w:numPr>
        <w:spacing w:line="256" w:lineRule="auto"/>
        <w:ind w:left="142"/>
        <w:jc w:val="both"/>
        <w:rPr>
          <w:rFonts w:ascii="Lato" w:hAnsi="Lato" w:cstheme="minorHAnsi"/>
          <w:b/>
          <w:bCs/>
          <w:sz w:val="20"/>
          <w:szCs w:val="20"/>
        </w:rPr>
      </w:pPr>
      <w:r w:rsidRPr="000316BD">
        <w:rPr>
          <w:rFonts w:ascii="Lato" w:hAnsi="Lato" w:cstheme="minorHAnsi"/>
          <w:b/>
          <w:bCs/>
          <w:sz w:val="20"/>
          <w:szCs w:val="20"/>
        </w:rPr>
        <w:t>Dodatkowe informacje:</w:t>
      </w:r>
    </w:p>
    <w:p w14:paraId="5B05F072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0DE6396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rezygnacji z zamówienia bez podania przyczyny.</w:t>
      </w:r>
    </w:p>
    <w:p w14:paraId="5435052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Umowy zawierane są z wykorzystaniem wzorów stosowanych w Ministerstwie Rodziny, Pracy i Polityki Społecznej.</w:t>
      </w:r>
    </w:p>
    <w:p w14:paraId="11136FC1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1B2F6A3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i/>
          <w:iCs/>
          <w:sz w:val="20"/>
          <w:szCs w:val="20"/>
        </w:rPr>
        <w:t>Dokumenty potwierdzające spełnienie warunków udziału w postępowaniu będą weryfikowane w przypadku oferty najkorzystniejszej według kryterium oceny ofert.</w:t>
      </w:r>
    </w:p>
    <w:p w14:paraId="39AC958B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Zamawiający zastrzega sobie prawo do odpowiedzi tylko na ofertę wybraną, jako najkorzystniejszą. O terminie podpisania umowy Zamawiający powiadomi Wykonawcę z 5 dniowym wyprzedzeniem.</w:t>
      </w:r>
    </w:p>
    <w:p w14:paraId="2CF1D688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Okres związania ofertą wynosi 50 dni od złożenia oferty (którego bieg rozpoczyna się wraz z upływem terminu składania ofert).</w:t>
      </w:r>
    </w:p>
    <w:p w14:paraId="54BFDB7F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Oferty przysłane po terminie nie będą brane pod uwagę.</w:t>
      </w:r>
    </w:p>
    <w:p w14:paraId="5F548AE6" w14:textId="77777777" w:rsidR="0061002E" w:rsidRPr="000316BD" w:rsidRDefault="0061002E" w:rsidP="0061002E">
      <w:pPr>
        <w:pStyle w:val="Akapitzlist"/>
        <w:numPr>
          <w:ilvl w:val="0"/>
          <w:numId w:val="7"/>
        </w:num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Informacja o przetwarzaniu danych osobowych przez Ministerstwo Rodziny, Pracy i Polityki Społecznej znajduje się na stronie </w:t>
      </w:r>
      <w:hyperlink r:id="rId7" w:history="1">
        <w:r w:rsidRPr="000316BD">
          <w:rPr>
            <w:rStyle w:val="Hipercze"/>
            <w:rFonts w:ascii="Lato" w:hAnsi="Lato" w:cstheme="minorHAnsi"/>
            <w:sz w:val="20"/>
            <w:szCs w:val="20"/>
          </w:rPr>
          <w:t>https://www.gov.pl/web/rodzina/Informacja-o_przetwarzaniu-danych-osobowych-1</w:t>
        </w:r>
      </w:hyperlink>
    </w:p>
    <w:p w14:paraId="49618BBF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3E3AF155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764926A3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</w:p>
    <w:p w14:paraId="6F5C3678" w14:textId="77777777" w:rsidR="0061002E" w:rsidRPr="000316BD" w:rsidRDefault="0061002E" w:rsidP="0061002E">
      <w:pPr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>Załączniki:</w:t>
      </w:r>
    </w:p>
    <w:p w14:paraId="3FA29227" w14:textId="35D6D4D8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1 – </w:t>
      </w:r>
      <w:r w:rsidR="00AD7216">
        <w:rPr>
          <w:rFonts w:ascii="Lato" w:hAnsi="Lato" w:cstheme="minorHAnsi"/>
          <w:sz w:val="20"/>
          <w:szCs w:val="20"/>
        </w:rPr>
        <w:t>f</w:t>
      </w:r>
      <w:r w:rsidRPr="000316BD">
        <w:rPr>
          <w:rFonts w:ascii="Lato" w:hAnsi="Lato" w:cstheme="minorHAnsi"/>
          <w:sz w:val="20"/>
          <w:szCs w:val="20"/>
        </w:rPr>
        <w:t>ormularz ofertowy</w:t>
      </w:r>
    </w:p>
    <w:p w14:paraId="5ACDC60C" w14:textId="3C3A5D8E" w:rsidR="0061002E" w:rsidRPr="000316BD" w:rsidRDefault="0061002E" w:rsidP="0061002E">
      <w:pPr>
        <w:pStyle w:val="Akapitzlist"/>
        <w:numPr>
          <w:ilvl w:val="0"/>
          <w:numId w:val="3"/>
        </w:numPr>
        <w:spacing w:line="256" w:lineRule="auto"/>
        <w:jc w:val="both"/>
        <w:rPr>
          <w:rFonts w:ascii="Lato" w:hAnsi="Lato" w:cstheme="minorHAnsi"/>
          <w:sz w:val="20"/>
          <w:szCs w:val="20"/>
        </w:rPr>
      </w:pPr>
      <w:r w:rsidRPr="000316BD">
        <w:rPr>
          <w:rFonts w:ascii="Lato" w:hAnsi="Lato" w:cstheme="minorHAnsi"/>
          <w:sz w:val="20"/>
          <w:szCs w:val="20"/>
        </w:rPr>
        <w:t xml:space="preserve">Załącznik nr 2 – </w:t>
      </w:r>
      <w:r w:rsidR="00AD7216">
        <w:rPr>
          <w:rFonts w:ascii="Lato" w:hAnsi="Lato" w:cstheme="minorHAnsi"/>
          <w:sz w:val="20"/>
          <w:szCs w:val="20"/>
        </w:rPr>
        <w:t>o</w:t>
      </w:r>
      <w:r w:rsidRPr="000316BD">
        <w:rPr>
          <w:rFonts w:ascii="Lato" w:hAnsi="Lato" w:cstheme="minorHAnsi"/>
          <w:sz w:val="20"/>
          <w:szCs w:val="20"/>
        </w:rPr>
        <w:t xml:space="preserve">świadczenie o niepodleganiu wykluczenia z postępowania </w:t>
      </w:r>
    </w:p>
    <w:p w14:paraId="5096EB27" w14:textId="77777777" w:rsidR="00830E80" w:rsidRDefault="00830E80"/>
    <w:sectPr w:rsidR="0083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1B53"/>
    <w:multiLevelType w:val="hybridMultilevel"/>
    <w:tmpl w:val="F454063C"/>
    <w:lvl w:ilvl="0" w:tplc="01F6B0B0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BE178E"/>
    <w:multiLevelType w:val="hybridMultilevel"/>
    <w:tmpl w:val="41AE3BB0"/>
    <w:lvl w:ilvl="0" w:tplc="A4608C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895226"/>
    <w:multiLevelType w:val="hybridMultilevel"/>
    <w:tmpl w:val="A0AA2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C6BB9"/>
    <w:multiLevelType w:val="hybridMultilevel"/>
    <w:tmpl w:val="5D724164"/>
    <w:lvl w:ilvl="0" w:tplc="7AEAE7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CD50241"/>
    <w:multiLevelType w:val="hybridMultilevel"/>
    <w:tmpl w:val="B406F292"/>
    <w:lvl w:ilvl="0" w:tplc="75B073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70978"/>
    <w:multiLevelType w:val="hybridMultilevel"/>
    <w:tmpl w:val="B9F472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D74D1"/>
    <w:multiLevelType w:val="hybridMultilevel"/>
    <w:tmpl w:val="8A50C396"/>
    <w:lvl w:ilvl="0" w:tplc="BD12D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5460E3"/>
    <w:multiLevelType w:val="hybridMultilevel"/>
    <w:tmpl w:val="2A5464EA"/>
    <w:lvl w:ilvl="0" w:tplc="0414F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833829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D77E1"/>
    <w:multiLevelType w:val="hybridMultilevel"/>
    <w:tmpl w:val="6438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66CE3"/>
    <w:multiLevelType w:val="hybridMultilevel"/>
    <w:tmpl w:val="C9344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A2A1C"/>
    <w:multiLevelType w:val="hybridMultilevel"/>
    <w:tmpl w:val="4DA07C2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F6D2FE4"/>
    <w:multiLevelType w:val="hybridMultilevel"/>
    <w:tmpl w:val="148A3CFC"/>
    <w:lvl w:ilvl="0" w:tplc="A51458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04F7AFD"/>
    <w:multiLevelType w:val="hybridMultilevel"/>
    <w:tmpl w:val="1228CA48"/>
    <w:lvl w:ilvl="0" w:tplc="DD00F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75C7D"/>
    <w:multiLevelType w:val="hybridMultilevel"/>
    <w:tmpl w:val="BD28169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569AB"/>
    <w:multiLevelType w:val="hybridMultilevel"/>
    <w:tmpl w:val="49E0A7E4"/>
    <w:lvl w:ilvl="0" w:tplc="78D605F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17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7"/>
  </w:num>
  <w:num w:numId="14">
    <w:abstractNumId w:val="14"/>
  </w:num>
  <w:num w:numId="15">
    <w:abstractNumId w:val="1"/>
  </w:num>
  <w:num w:numId="16">
    <w:abstractNumId w:val="4"/>
  </w:num>
  <w:num w:numId="17">
    <w:abstractNumId w:val="0"/>
  </w:num>
  <w:num w:numId="18">
    <w:abstractNumId w:val="19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06"/>
    <w:rsid w:val="00010F65"/>
    <w:rsid w:val="000456C3"/>
    <w:rsid w:val="00063C5C"/>
    <w:rsid w:val="000970D4"/>
    <w:rsid w:val="0012081A"/>
    <w:rsid w:val="001C2835"/>
    <w:rsid w:val="001E70F1"/>
    <w:rsid w:val="002102A9"/>
    <w:rsid w:val="0023235F"/>
    <w:rsid w:val="0028586B"/>
    <w:rsid w:val="00294C71"/>
    <w:rsid w:val="003615DD"/>
    <w:rsid w:val="003E7199"/>
    <w:rsid w:val="004252A4"/>
    <w:rsid w:val="00435CDF"/>
    <w:rsid w:val="00445A95"/>
    <w:rsid w:val="004C6BDA"/>
    <w:rsid w:val="004E2573"/>
    <w:rsid w:val="004F05E3"/>
    <w:rsid w:val="004F4D05"/>
    <w:rsid w:val="00537480"/>
    <w:rsid w:val="005657C4"/>
    <w:rsid w:val="00584654"/>
    <w:rsid w:val="005F4993"/>
    <w:rsid w:val="0061002E"/>
    <w:rsid w:val="00753BDC"/>
    <w:rsid w:val="0079311B"/>
    <w:rsid w:val="007F11B9"/>
    <w:rsid w:val="008302FC"/>
    <w:rsid w:val="00830E80"/>
    <w:rsid w:val="00851864"/>
    <w:rsid w:val="00855EC2"/>
    <w:rsid w:val="008A148C"/>
    <w:rsid w:val="009431B4"/>
    <w:rsid w:val="0094655E"/>
    <w:rsid w:val="009A4D83"/>
    <w:rsid w:val="009E2475"/>
    <w:rsid w:val="00A01ED4"/>
    <w:rsid w:val="00A558CF"/>
    <w:rsid w:val="00A63063"/>
    <w:rsid w:val="00AD4949"/>
    <w:rsid w:val="00AD7216"/>
    <w:rsid w:val="00B869C0"/>
    <w:rsid w:val="00B96C45"/>
    <w:rsid w:val="00BA7581"/>
    <w:rsid w:val="00BF0705"/>
    <w:rsid w:val="00C30AC6"/>
    <w:rsid w:val="00C74206"/>
    <w:rsid w:val="00D761A7"/>
    <w:rsid w:val="00E45756"/>
    <w:rsid w:val="00E660E7"/>
    <w:rsid w:val="00ED43C9"/>
    <w:rsid w:val="00FE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C5DF"/>
  <w15:chartTrackingRefBased/>
  <w15:docId w15:val="{25EBB7FF-EF93-4368-BEC6-242FC3EF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2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02E"/>
    <w:pPr>
      <w:spacing w:line="259" w:lineRule="auto"/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0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02E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1002E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1002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A9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_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Gimlewicz Tomasz</dc:creator>
  <cp:keywords/>
  <dc:description/>
  <cp:lastModifiedBy>Gimlewicz Tomasz</cp:lastModifiedBy>
  <cp:revision>39</cp:revision>
  <dcterms:created xsi:type="dcterms:W3CDTF">2026-03-30T07:46:00Z</dcterms:created>
  <dcterms:modified xsi:type="dcterms:W3CDTF">2026-06-12T08:28:00Z</dcterms:modified>
</cp:coreProperties>
</file>