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1AB9" w14:textId="201D83E1" w:rsidR="00E165B9" w:rsidRDefault="00C475DA">
      <w:r>
        <w:t>Zanonimizowane uwagi:</w:t>
      </w:r>
    </w:p>
    <w:p w14:paraId="4BF907ED" w14:textId="433EDDB5" w:rsidR="00C475DA" w:rsidRPr="00C475DA" w:rsidRDefault="46CC6FE3">
      <w:r w:rsidRPr="12A19A00">
        <w:rPr>
          <w:b/>
          <w:bCs/>
          <w:sz w:val="28"/>
          <w:szCs w:val="28"/>
        </w:rPr>
        <w:t>Uwagi Ministerstwa Obrony Narodowej</w:t>
      </w:r>
    </w:p>
    <w:p w14:paraId="09097833" w14:textId="77777777" w:rsidR="00C475DA" w:rsidRDefault="00C475DA" w:rsidP="00C475DA">
      <w:pPr>
        <w:rPr>
          <w:sz w:val="20"/>
          <w:szCs w:val="20"/>
        </w:rPr>
      </w:pPr>
      <w:r w:rsidRPr="045E32CC">
        <w:rPr>
          <w:sz w:val="22"/>
          <w:szCs w:val="22"/>
        </w:rPr>
        <w:t xml:space="preserve">Szanowni Państwo, </w:t>
      </w:r>
    </w:p>
    <w:p w14:paraId="1F884932" w14:textId="4B54ED75" w:rsidR="00C475DA" w:rsidRDefault="00C475DA" w:rsidP="00C475DA">
      <w:pPr>
        <w:rPr>
          <w:sz w:val="20"/>
          <w:szCs w:val="20"/>
        </w:rPr>
      </w:pPr>
      <w:r w:rsidRPr="045E32CC">
        <w:rPr>
          <w:sz w:val="22"/>
          <w:szCs w:val="22"/>
        </w:rPr>
        <w:t>Odnośnie przesłanego projektu zestawienia wymagań dokumentów normalizacyjnych, o którym mowa w art. 45 ust. 3 ustawy o krajowym systemie cyberbezpieczeństwa, proponuję rozważenie uzupełnienia go o normę EN ISO/IEC 27017:2021 - Praktyczne zasady zabezpieczenia informacji na podstawie ISO/IEC 27002 dla usług w chmurze. Przedmiotowa norma wprowadza dodatkowe wytyczne dotyczące ochrony danych zarówno dla dostawców usług chmurowych, jak i dla klientów korzystających z tych usług.</w:t>
      </w:r>
    </w:p>
    <w:p w14:paraId="6DC4D71A" w14:textId="2F32260B" w:rsidR="00C475DA" w:rsidRPr="00DC2F34" w:rsidRDefault="00C475DA" w:rsidP="00C475DA">
      <w:pPr>
        <w:rPr>
          <w:sz w:val="20"/>
          <w:szCs w:val="20"/>
          <w:lang w:val="en-GB"/>
        </w:rPr>
      </w:pPr>
      <w:r w:rsidRPr="00DC2F34">
        <w:rPr>
          <w:sz w:val="22"/>
          <w:szCs w:val="22"/>
          <w:lang w:val="en-GB"/>
        </w:rPr>
        <w:t>Z poważaniem</w:t>
      </w:r>
    </w:p>
    <w:p w14:paraId="7D9640B1" w14:textId="6EA8F909" w:rsidR="00C475DA" w:rsidRPr="00DC2F34" w:rsidRDefault="00C475DA" w:rsidP="00C475DA">
      <w:pPr>
        <w:rPr>
          <w:b/>
          <w:bCs/>
          <w:sz w:val="28"/>
          <w:szCs w:val="28"/>
          <w:lang w:val="en-GB"/>
        </w:rPr>
      </w:pPr>
      <w:r w:rsidRPr="00DC2F34">
        <w:rPr>
          <w:b/>
          <w:bCs/>
          <w:sz w:val="28"/>
          <w:szCs w:val="28"/>
          <w:lang w:val="en-GB"/>
        </w:rPr>
        <w:t>Uwag</w:t>
      </w:r>
      <w:r w:rsidR="551CC7CE" w:rsidRPr="00DC2F34">
        <w:rPr>
          <w:b/>
          <w:bCs/>
          <w:sz w:val="28"/>
          <w:szCs w:val="28"/>
          <w:lang w:val="en-GB"/>
        </w:rPr>
        <w:t>i</w:t>
      </w:r>
      <w:r w:rsidRPr="00DC2F34">
        <w:rPr>
          <w:b/>
          <w:bCs/>
          <w:sz w:val="28"/>
          <w:szCs w:val="28"/>
          <w:lang w:val="en-GB"/>
        </w:rPr>
        <w:t xml:space="preserve"> </w:t>
      </w:r>
      <w:r w:rsidR="67E58527" w:rsidRPr="00DC2F34">
        <w:rPr>
          <w:b/>
          <w:bCs/>
          <w:sz w:val="28"/>
          <w:szCs w:val="28"/>
          <w:lang w:val="en-GB"/>
        </w:rPr>
        <w:t>SelSafety Consulting &amp; Engineering</w:t>
      </w:r>
    </w:p>
    <w:p w14:paraId="55641975" w14:textId="2E7AEAA8" w:rsidR="00C475DA" w:rsidRDefault="00C475DA" w:rsidP="00C475DA">
      <w:pPr>
        <w:rPr>
          <w:sz w:val="20"/>
          <w:szCs w:val="20"/>
        </w:rPr>
      </w:pPr>
      <w:r w:rsidRPr="409337FF">
        <w:rPr>
          <w:sz w:val="22"/>
          <w:szCs w:val="22"/>
        </w:rPr>
        <w:t>Dzień dobry,</w:t>
      </w:r>
    </w:p>
    <w:p w14:paraId="43B37E38" w14:textId="553C3434" w:rsidR="00C475DA" w:rsidRDefault="00C475DA" w:rsidP="00C475DA">
      <w:pPr>
        <w:rPr>
          <w:sz w:val="20"/>
          <w:szCs w:val="20"/>
        </w:rPr>
      </w:pPr>
      <w:r w:rsidRPr="409337FF">
        <w:rPr>
          <w:sz w:val="22"/>
          <w:szCs w:val="22"/>
        </w:rPr>
        <w:t xml:space="preserve">W zaprezentowanym zestawieniu nie występuje odniesienie do to standardu VDA ISA 6.0 (TISAX) - standard sektorowy dla motoryzacji i dostawców </w:t>
      </w:r>
      <w:proofErr w:type="spellStart"/>
      <w:r w:rsidRPr="409337FF">
        <w:rPr>
          <w:sz w:val="22"/>
          <w:szCs w:val="22"/>
        </w:rPr>
        <w:t>automotive</w:t>
      </w:r>
      <w:proofErr w:type="spellEnd"/>
      <w:r w:rsidRPr="409337FF">
        <w:rPr>
          <w:sz w:val="22"/>
          <w:szCs w:val="22"/>
        </w:rPr>
        <w:t>. VDA ISA 6.0 stanowi branżowy standard oceny dojrzałości cyberbezpieczeństwa dla sektora motoryzacyjnego. VDA ISA jest de facto standardem rynkowym wymaganym przez producentów OEM.  Stanowi podstawę oceny TISAX, dokonywanej przez niezależne jednostki certyfikujące.  Chociaż standard ten ma charakter branżowy, obejmuje szereg obszarów istotnych z perspektywy zarządzania ryzykiem, bezpieczeństwa systemów informacyjnych, ciągłości działania, bezpieczeństwa łańcucha dostaw, zarządzania incydentami itp. Uwzględnienie standardu VDA ISA 6.0 w zestawieniu pozwoliłoby podmiotom działającym w sektorze motoryzacyjnym na łatwiejsze zidentyfikowanie dedykowanych dla ich branży standardów i dobrych praktyk, wspierających budowę oraz doskonalenie systemu cyberbezpieczeństwa zgodnie z wymaganiami ustawy o krajowym systemie cyberbezpieczeństwa.</w:t>
      </w:r>
    </w:p>
    <w:p w14:paraId="428AC04C" w14:textId="57FDF0DA" w:rsidR="00C475DA" w:rsidRDefault="606CB5AE" w:rsidP="00C475DA">
      <w:r>
        <w:t>Z poważaniem,</w:t>
      </w:r>
    </w:p>
    <w:p w14:paraId="78DB087A" w14:textId="1DCB6E86" w:rsidR="00C475DA" w:rsidRPr="00C475DA" w:rsidRDefault="00C475DA" w:rsidP="00C475DA">
      <w:pPr>
        <w:rPr>
          <w:b/>
          <w:bCs/>
          <w:sz w:val="28"/>
          <w:szCs w:val="28"/>
        </w:rPr>
      </w:pPr>
      <w:r w:rsidRPr="11C6BB88">
        <w:rPr>
          <w:b/>
          <w:bCs/>
          <w:sz w:val="28"/>
          <w:szCs w:val="28"/>
        </w:rPr>
        <w:t>Uwag</w:t>
      </w:r>
      <w:r w:rsidR="3FCF517B" w:rsidRPr="11C6BB88">
        <w:rPr>
          <w:b/>
          <w:bCs/>
          <w:sz w:val="28"/>
          <w:szCs w:val="28"/>
        </w:rPr>
        <w:t>i</w:t>
      </w:r>
      <w:r w:rsidR="50D5CF9C" w:rsidRPr="1223AB95">
        <w:rPr>
          <w:b/>
          <w:bCs/>
          <w:sz w:val="28"/>
          <w:szCs w:val="28"/>
        </w:rPr>
        <w:t xml:space="preserve"> </w:t>
      </w:r>
      <w:r w:rsidR="50D5CF9C" w:rsidRPr="5C3FD8F6">
        <w:rPr>
          <w:b/>
          <w:bCs/>
          <w:sz w:val="28"/>
          <w:szCs w:val="28"/>
        </w:rPr>
        <w:t>Enea</w:t>
      </w:r>
      <w:r w:rsidR="50D5CF9C" w:rsidRPr="0FAA43BE">
        <w:rPr>
          <w:b/>
          <w:bCs/>
          <w:sz w:val="28"/>
          <w:szCs w:val="28"/>
        </w:rPr>
        <w:t xml:space="preserve"> </w:t>
      </w:r>
      <w:r w:rsidR="50D5CF9C" w:rsidRPr="10B312ED">
        <w:rPr>
          <w:b/>
          <w:bCs/>
          <w:sz w:val="28"/>
          <w:szCs w:val="28"/>
        </w:rPr>
        <w:t>S.A</w:t>
      </w:r>
      <w:r w:rsidR="718956B3" w:rsidRPr="23BAAC60">
        <w:rPr>
          <w:b/>
          <w:bCs/>
          <w:sz w:val="28"/>
          <w:szCs w:val="28"/>
        </w:rPr>
        <w:t xml:space="preserve"> </w:t>
      </w:r>
      <w:r w:rsidR="718956B3" w:rsidRPr="6B41C39D">
        <w:rPr>
          <w:b/>
          <w:bCs/>
          <w:sz w:val="28"/>
          <w:szCs w:val="28"/>
        </w:rPr>
        <w:t xml:space="preserve">- </w:t>
      </w:r>
      <w:r w:rsidR="718956B3" w:rsidRPr="2486B90B">
        <w:rPr>
          <w:b/>
          <w:bCs/>
          <w:sz w:val="28"/>
          <w:szCs w:val="28"/>
        </w:rPr>
        <w:t xml:space="preserve">MEC </w:t>
      </w:r>
      <w:r w:rsidR="718956B3" w:rsidRPr="6D211E6F">
        <w:rPr>
          <w:b/>
          <w:bCs/>
          <w:sz w:val="28"/>
          <w:szCs w:val="28"/>
        </w:rPr>
        <w:t>Piła</w:t>
      </w:r>
    </w:p>
    <w:p w14:paraId="204580A1" w14:textId="1C5786A0" w:rsidR="00C475DA" w:rsidRDefault="00C475DA" w:rsidP="00C475DA">
      <w:pPr>
        <w:rPr>
          <w:sz w:val="20"/>
          <w:szCs w:val="20"/>
        </w:rPr>
      </w:pPr>
      <w:r w:rsidRPr="1E04545A">
        <w:rPr>
          <w:sz w:val="22"/>
          <w:szCs w:val="22"/>
        </w:rPr>
        <w:t>Szanowni Państwo,</w:t>
      </w:r>
    </w:p>
    <w:p w14:paraId="1831D729" w14:textId="712B11D2" w:rsidR="00C475DA" w:rsidRDefault="00C475DA" w:rsidP="00C475DA">
      <w:pPr>
        <w:rPr>
          <w:sz w:val="20"/>
          <w:szCs w:val="20"/>
        </w:rPr>
      </w:pPr>
      <w:r w:rsidRPr="1E04545A">
        <w:rPr>
          <w:sz w:val="22"/>
          <w:szCs w:val="22"/>
        </w:rPr>
        <w:t xml:space="preserve">korzystając z możliwości przekazania uwag dotyczących projektu publikacji, o której mowa w art. 45 ust. 3 </w:t>
      </w:r>
      <w:proofErr w:type="spellStart"/>
      <w:r w:rsidRPr="1E04545A">
        <w:rPr>
          <w:sz w:val="22"/>
          <w:szCs w:val="22"/>
        </w:rPr>
        <w:t>Uksc</w:t>
      </w:r>
      <w:proofErr w:type="spellEnd"/>
      <w:r w:rsidRPr="1E04545A">
        <w:rPr>
          <w:sz w:val="22"/>
          <w:szCs w:val="22"/>
        </w:rPr>
        <w:t xml:space="preserve"> zwracam uwagę na zbyt ogólny charakter odniesienia do wymogów dokumentów normalizacyjnych. Brak jednoznacznych wskazań do konkretnych jednostek redakcyjnych dokumentów normalizacyjnych pozostawia zbyt duże pole do interpretacji spełniania zakresu wymagania np. jeżeli wymaganie dotyczące bezpieczeństwa i ciągłości łańcucha dostaw, określone art. 8 ust. 1 pkt 2 lit. e </w:t>
      </w:r>
      <w:proofErr w:type="spellStart"/>
      <w:r w:rsidRPr="1E04545A">
        <w:rPr>
          <w:sz w:val="22"/>
          <w:szCs w:val="22"/>
        </w:rPr>
        <w:t>Uksc</w:t>
      </w:r>
      <w:proofErr w:type="spellEnd"/>
      <w:r w:rsidRPr="1E04545A">
        <w:rPr>
          <w:sz w:val="22"/>
          <w:szCs w:val="22"/>
        </w:rPr>
        <w:t xml:space="preserve"> jest realizowane poprzez spełnienie wymagania określonego w części A.5.20 normy PN-EN ISO/IEC 27001:2023, to niech w zestawieniu będzie precyzyjne odniesienie do tej części, a nie ogólne odwołanie do tej normy. Stosowanie norm ma charakter dobrowolny i nawet jeżeli będzie ona ewoluowała w odniesieniu do jakiś wymagań – zostanie wycofana – to i tak wymaganie, jeśli jego spełnienie będzie uznane za adekwatne do zapewnienia określonego poziomu bezpieczeństwa, nie straci swojej roli jako </w:t>
      </w:r>
      <w:r w:rsidRPr="1E04545A">
        <w:rPr>
          <w:sz w:val="22"/>
          <w:szCs w:val="22"/>
        </w:rPr>
        <w:lastRenderedPageBreak/>
        <w:t xml:space="preserve">rekomendowanego wzorca odniesienia. Proszę również o wyraźne wyartykułowanie, że spełnienie wymagania określonego w zestawieniu jest rekomendowanym, ale nie jedynym możliwym sposobem spełnienia wymagania określonego w </w:t>
      </w:r>
      <w:proofErr w:type="spellStart"/>
      <w:r w:rsidRPr="1E04545A">
        <w:rPr>
          <w:sz w:val="22"/>
          <w:szCs w:val="22"/>
        </w:rPr>
        <w:t>Uksc</w:t>
      </w:r>
      <w:proofErr w:type="spellEnd"/>
      <w:r w:rsidRPr="1E04545A">
        <w:rPr>
          <w:sz w:val="22"/>
          <w:szCs w:val="22"/>
        </w:rPr>
        <w:t>.</w:t>
      </w:r>
    </w:p>
    <w:p w14:paraId="58F57A15" w14:textId="4B17F551" w:rsidR="00C475DA" w:rsidRPr="00C475DA" w:rsidRDefault="00C475DA" w:rsidP="00C475DA">
      <w:pPr>
        <w:rPr>
          <w:sz w:val="20"/>
          <w:szCs w:val="20"/>
        </w:rPr>
      </w:pPr>
      <w:r w:rsidRPr="1E04545A">
        <w:rPr>
          <w:sz w:val="22"/>
          <w:szCs w:val="22"/>
        </w:rPr>
        <w:t>Z poważaniem</w:t>
      </w:r>
    </w:p>
    <w:p w14:paraId="01A44184" w14:textId="037120BC" w:rsidR="00C475DA" w:rsidRPr="00C475DA" w:rsidRDefault="00C475DA" w:rsidP="00C475DA">
      <w:pPr>
        <w:rPr>
          <w:b/>
          <w:bCs/>
          <w:sz w:val="28"/>
          <w:szCs w:val="28"/>
        </w:rPr>
      </w:pPr>
      <w:r w:rsidRPr="4E72C2A9">
        <w:rPr>
          <w:b/>
          <w:bCs/>
          <w:sz w:val="28"/>
          <w:szCs w:val="28"/>
        </w:rPr>
        <w:t>Uwag</w:t>
      </w:r>
      <w:r w:rsidR="47824CC7" w:rsidRPr="4E72C2A9">
        <w:rPr>
          <w:b/>
          <w:bCs/>
          <w:sz w:val="28"/>
          <w:szCs w:val="28"/>
        </w:rPr>
        <w:t>i</w:t>
      </w:r>
      <w:r w:rsidRPr="4514FB0B">
        <w:rPr>
          <w:b/>
          <w:bCs/>
          <w:sz w:val="28"/>
          <w:szCs w:val="28"/>
        </w:rPr>
        <w:t xml:space="preserve"> </w:t>
      </w:r>
      <w:r w:rsidR="74C324C0" w:rsidRPr="0C26A0B3">
        <w:rPr>
          <w:b/>
          <w:bCs/>
          <w:sz w:val="28"/>
          <w:szCs w:val="28"/>
        </w:rPr>
        <w:t>Galach</w:t>
      </w:r>
      <w:r w:rsidR="74C324C0" w:rsidRPr="41FACBF7">
        <w:rPr>
          <w:b/>
          <w:bCs/>
          <w:sz w:val="28"/>
          <w:szCs w:val="28"/>
        </w:rPr>
        <w:t xml:space="preserve"> </w:t>
      </w:r>
      <w:r w:rsidR="74C324C0" w:rsidRPr="2DC77845">
        <w:rPr>
          <w:b/>
          <w:bCs/>
          <w:sz w:val="28"/>
          <w:szCs w:val="28"/>
        </w:rPr>
        <w:t>Consulting</w:t>
      </w:r>
    </w:p>
    <w:p w14:paraId="69A5B7FF" w14:textId="77777777" w:rsidR="00C475DA" w:rsidRDefault="00C475DA" w:rsidP="00C475DA">
      <w:pPr>
        <w:rPr>
          <w:sz w:val="20"/>
          <w:szCs w:val="20"/>
        </w:rPr>
      </w:pPr>
      <w:r w:rsidRPr="46882340">
        <w:rPr>
          <w:sz w:val="22"/>
          <w:szCs w:val="22"/>
        </w:rPr>
        <w:t>Szanowni Państwo,</w:t>
      </w:r>
    </w:p>
    <w:p w14:paraId="670F844C" w14:textId="09F9886A" w:rsidR="00C475DA" w:rsidRDefault="00C475DA" w:rsidP="00C475DA">
      <w:pPr>
        <w:rPr>
          <w:sz w:val="20"/>
          <w:szCs w:val="20"/>
        </w:rPr>
      </w:pPr>
      <w:r w:rsidRPr="46882340">
        <w:rPr>
          <w:sz w:val="22"/>
          <w:szCs w:val="22"/>
        </w:rPr>
        <w:t>W odpowiedzi na zaproszenie do konsultacji projektu zestawienia norm dotyczących KSC przesyłam poniżej zestawienie moich uwag.</w:t>
      </w:r>
    </w:p>
    <w:p w14:paraId="5953502B" w14:textId="1284C155" w:rsidR="00C475DA" w:rsidRDefault="00C475DA" w:rsidP="00C475DA">
      <w:pPr>
        <w:rPr>
          <w:sz w:val="20"/>
          <w:szCs w:val="20"/>
        </w:rPr>
      </w:pPr>
      <w:r w:rsidRPr="46882340">
        <w:rPr>
          <w:sz w:val="22"/>
          <w:szCs w:val="22"/>
        </w:rPr>
        <w:t>1. Brak w zestawieniu normy PN-EN ISO 19011 określającej zasady audytu systemów zarządzania.</w:t>
      </w:r>
    </w:p>
    <w:p w14:paraId="6C37656C" w14:textId="1A07E8EF" w:rsidR="00C475DA" w:rsidRDefault="00C475DA" w:rsidP="00C475DA">
      <w:pPr>
        <w:rPr>
          <w:sz w:val="20"/>
          <w:szCs w:val="20"/>
        </w:rPr>
      </w:pPr>
      <w:r w:rsidRPr="46882340">
        <w:rPr>
          <w:sz w:val="22"/>
          <w:szCs w:val="22"/>
        </w:rPr>
        <w:t xml:space="preserve">2. Korzystanie z CIS Controls wiąże się z ograniczeniami licencyjnymi, co może powodować istotne utrudnienia w ich praktycznym stosowaniu. </w:t>
      </w:r>
    </w:p>
    <w:p w14:paraId="243ADE57" w14:textId="182A2730" w:rsidR="00C475DA" w:rsidRDefault="00C475DA" w:rsidP="00C475DA">
      <w:pPr>
        <w:rPr>
          <w:sz w:val="20"/>
          <w:szCs w:val="20"/>
        </w:rPr>
      </w:pPr>
      <w:r w:rsidRPr="46882340">
        <w:rPr>
          <w:sz w:val="22"/>
          <w:szCs w:val="22"/>
        </w:rPr>
        <w:t>3. Norma 27005, wymieniona w wykazie jako ISO/IEC, występuje już jako polska norma.</w:t>
      </w:r>
    </w:p>
    <w:p w14:paraId="01707E0F" w14:textId="14909BBC" w:rsidR="00C475DA" w:rsidRDefault="00C475DA" w:rsidP="00C475DA">
      <w:pPr>
        <w:rPr>
          <w:sz w:val="20"/>
          <w:szCs w:val="20"/>
        </w:rPr>
      </w:pPr>
      <w:r w:rsidRPr="46882340">
        <w:rPr>
          <w:sz w:val="22"/>
          <w:szCs w:val="22"/>
        </w:rPr>
        <w:t>4. Czy nie warto odwołać się do innych dokumentów OWASP, nie tylko do ASVS?</w:t>
      </w:r>
    </w:p>
    <w:p w14:paraId="53A0BFBE" w14:textId="2D6E9C70" w:rsidR="00C475DA" w:rsidRDefault="00C475DA" w:rsidP="00C475DA">
      <w:pPr>
        <w:rPr>
          <w:sz w:val="20"/>
          <w:szCs w:val="20"/>
        </w:rPr>
      </w:pPr>
      <w:r w:rsidRPr="46882340">
        <w:rPr>
          <w:sz w:val="22"/>
          <w:szCs w:val="22"/>
        </w:rPr>
        <w:t>5. Brak normy 27017. Być może jest to celowy zabieg (norma chmurowa), pytanie, czy podmioty KSC na pewno nie będą korzystać z usług chmurowych?</w:t>
      </w:r>
    </w:p>
    <w:p w14:paraId="58E8C200" w14:textId="5C109897" w:rsidR="00C475DA" w:rsidRDefault="00C475DA" w:rsidP="00C475DA">
      <w:pPr>
        <w:rPr>
          <w:sz w:val="20"/>
          <w:szCs w:val="20"/>
        </w:rPr>
      </w:pPr>
      <w:r w:rsidRPr="46882340">
        <w:rPr>
          <w:sz w:val="22"/>
          <w:szCs w:val="22"/>
        </w:rPr>
        <w:t>6. Czy nie warto uwzględnić norm z serii 27033 (bezpieczeństwo sieci)?</w:t>
      </w:r>
    </w:p>
    <w:p w14:paraId="74676778" w14:textId="46D1BA93" w:rsidR="00C475DA" w:rsidRDefault="00C475DA" w:rsidP="00C475DA">
      <w:pPr>
        <w:rPr>
          <w:sz w:val="20"/>
          <w:szCs w:val="20"/>
        </w:rPr>
      </w:pPr>
      <w:r w:rsidRPr="46882340">
        <w:rPr>
          <w:sz w:val="22"/>
          <w:szCs w:val="22"/>
        </w:rPr>
        <w:t>7. Czy nie warto uwzględnić dwóch pozostałych norm z serii 27035 (incydenty)?</w:t>
      </w:r>
    </w:p>
    <w:p w14:paraId="3DF94EE5" w14:textId="6F9615AB" w:rsidR="00C475DA" w:rsidRDefault="00C475DA" w:rsidP="00C475DA">
      <w:pPr>
        <w:rPr>
          <w:sz w:val="20"/>
          <w:szCs w:val="20"/>
        </w:rPr>
      </w:pPr>
      <w:r w:rsidRPr="46882340">
        <w:rPr>
          <w:sz w:val="22"/>
          <w:szCs w:val="22"/>
        </w:rPr>
        <w:t>8. W kontekście ciągłości działania – czy nie warto wskazać innych norm uszczegóławiających tworzenie BCMS, np. 22317, 22318 (również w kontekście bezpieczeństwa łańcucha dostaw), 22331, 22332?</w:t>
      </w:r>
    </w:p>
    <w:p w14:paraId="6400EBEC" w14:textId="44F2F644" w:rsidR="00C475DA" w:rsidRDefault="00C475DA" w:rsidP="00C475DA">
      <w:pPr>
        <w:rPr>
          <w:sz w:val="20"/>
          <w:szCs w:val="20"/>
        </w:rPr>
      </w:pPr>
      <w:r w:rsidRPr="46882340">
        <w:rPr>
          <w:sz w:val="22"/>
          <w:szCs w:val="22"/>
        </w:rPr>
        <w:t xml:space="preserve">9. Moim zdaniem warto wziąć pod uwagę również standardy dotyczące </w:t>
      </w:r>
      <w:proofErr w:type="spellStart"/>
      <w:r w:rsidRPr="46882340">
        <w:rPr>
          <w:sz w:val="22"/>
          <w:szCs w:val="22"/>
        </w:rPr>
        <w:t>hardeningu</w:t>
      </w:r>
      <w:proofErr w:type="spellEnd"/>
      <w:r w:rsidRPr="46882340">
        <w:rPr>
          <w:sz w:val="22"/>
          <w:szCs w:val="22"/>
        </w:rPr>
        <w:t xml:space="preserve"> konfiguracji</w:t>
      </w:r>
    </w:p>
    <w:p w14:paraId="174398E9" w14:textId="1267ACE8" w:rsidR="00C475DA" w:rsidRDefault="606CB5AE" w:rsidP="00C475DA">
      <w:pPr>
        <w:rPr>
          <w:sz w:val="20"/>
          <w:szCs w:val="20"/>
        </w:rPr>
      </w:pPr>
      <w:r w:rsidRPr="7B378FFF">
        <w:rPr>
          <w:sz w:val="22"/>
          <w:szCs w:val="22"/>
        </w:rPr>
        <w:t>Z poważaniem,</w:t>
      </w:r>
    </w:p>
    <w:p w14:paraId="69EA4746" w14:textId="54C5E5FB" w:rsidR="006F19E4" w:rsidRPr="006F19E4" w:rsidRDefault="17880A5F" w:rsidP="00A326F7">
      <w:pPr>
        <w:rPr>
          <w:b/>
          <w:bCs/>
          <w:sz w:val="28"/>
          <w:szCs w:val="28"/>
        </w:rPr>
      </w:pPr>
      <w:r w:rsidRPr="7B378FFF">
        <w:rPr>
          <w:b/>
          <w:bCs/>
          <w:sz w:val="28"/>
          <w:szCs w:val="28"/>
        </w:rPr>
        <w:t>Uwag</w:t>
      </w:r>
      <w:r w:rsidR="424FEE88" w:rsidRPr="7B378FFF">
        <w:rPr>
          <w:b/>
          <w:bCs/>
          <w:sz w:val="28"/>
          <w:szCs w:val="28"/>
        </w:rPr>
        <w:t>i osoby fizycznej</w:t>
      </w:r>
      <w:r w:rsidR="2EFE6D9B" w:rsidRPr="7B378FFF">
        <w:rPr>
          <w:b/>
          <w:bCs/>
          <w:sz w:val="28"/>
          <w:szCs w:val="28"/>
        </w:rPr>
        <w:t xml:space="preserve"> nr 2</w:t>
      </w:r>
    </w:p>
    <w:p w14:paraId="41345DBA" w14:textId="41787DC9" w:rsidR="00B53539" w:rsidRDefault="00B53539" w:rsidP="00B53539">
      <w:pPr>
        <w:rPr>
          <w:sz w:val="20"/>
          <w:szCs w:val="20"/>
        </w:rPr>
      </w:pPr>
      <w:r w:rsidRPr="6A091991">
        <w:rPr>
          <w:sz w:val="22"/>
          <w:szCs w:val="22"/>
        </w:rPr>
        <w:t>Szanowni Państwo,</w:t>
      </w:r>
    </w:p>
    <w:p w14:paraId="3F272A38" w14:textId="258F3196" w:rsidR="00B53539" w:rsidRDefault="00B53539" w:rsidP="00B53539">
      <w:pPr>
        <w:rPr>
          <w:sz w:val="20"/>
          <w:szCs w:val="20"/>
        </w:rPr>
      </w:pPr>
      <w:r w:rsidRPr="6A091991">
        <w:rPr>
          <w:sz w:val="22"/>
          <w:szCs w:val="22"/>
        </w:rPr>
        <w:t>w odpowiedzi na zaproszenie do konsultacji projektu, przedstawiamy nasze uwagi i rekomendacje. Pozytywnie oceniamy inicjatywę opracowania zestawienia dokumentów normalizacyjnych, które wesprą podmioty kluczowe i ważne w realizacji obowiązków ustawowych. Widzimy jednak wyraźną potrzebę uzupełnienia tego dokumentu o rozwiązania gwarantujące odporność operacyjną w sytuacjach skrajnych. Standardowe modele oparte na normach ISO rzadko uwzględniają incydenty o charakterze systemowym, które skutkują całkowitą utratą infrastruktury teleinformatycznej.</w:t>
      </w:r>
    </w:p>
    <w:p w14:paraId="6C3D79B6" w14:textId="5DE6DB78" w:rsidR="00B53539" w:rsidRDefault="00B53539" w:rsidP="00B53539">
      <w:pPr>
        <w:rPr>
          <w:sz w:val="20"/>
          <w:szCs w:val="20"/>
        </w:rPr>
      </w:pPr>
      <w:r w:rsidRPr="6A091991">
        <w:rPr>
          <w:sz w:val="22"/>
          <w:szCs w:val="22"/>
        </w:rPr>
        <w:t>Alternatywne modele transmisji danych</w:t>
      </w:r>
    </w:p>
    <w:p w14:paraId="1902472D" w14:textId="1C0C2C90" w:rsidR="00B53539" w:rsidRDefault="00B53539" w:rsidP="00B53539">
      <w:pPr>
        <w:rPr>
          <w:sz w:val="20"/>
          <w:szCs w:val="20"/>
        </w:rPr>
      </w:pPr>
      <w:r w:rsidRPr="6A091991">
        <w:rPr>
          <w:sz w:val="22"/>
          <w:szCs w:val="22"/>
        </w:rPr>
        <w:lastRenderedPageBreak/>
        <w:t>Artykuł 8 ustawy o KSC nakłada obowiązek zapewnienia ciągłości działania oraz zdolności odtworzeniowych. Projekt zestawienia koncentruje się jednak głównie na standardach sformalizowanych, które opierają się na dostępności tradycyjnych sieci. Nie obejmują one w wystarczającym stopniu zagadnień utrzymania komunikacji w warunkach całkowitego braku dostępu do infrastruktury cyfrowej.</w:t>
      </w:r>
    </w:p>
    <w:p w14:paraId="2062035E" w14:textId="5931B72B" w:rsidR="00B53539" w:rsidRPr="00DD22F5" w:rsidRDefault="00B53539" w:rsidP="00B53539">
      <w:pPr>
        <w:rPr>
          <w:sz w:val="20"/>
          <w:szCs w:val="20"/>
        </w:rPr>
      </w:pPr>
      <w:r w:rsidRPr="6A091991">
        <w:rPr>
          <w:sz w:val="22"/>
          <w:szCs w:val="22"/>
        </w:rPr>
        <w:t>W związku z tym proponujemy rozszerzenie zestawienia o dokumenty RFC 1149 oraz RFC 2549. Opisują one model transmisji danych z wykorzystaniem awiacyjnych, fizycznych nośników informacji. Stanowi to doskonały i niezależny mechanizm przekazywania danych podczas głębokiej degradacji infrastruktury teleinformatycznej. Dokument RFC 2549 wprowadza dodatkowo mechanizmy zarządzania jakością usług (</w:t>
      </w:r>
      <w:proofErr w:type="spellStart"/>
      <w:r w:rsidRPr="6A091991">
        <w:rPr>
          <w:sz w:val="22"/>
          <w:szCs w:val="22"/>
        </w:rPr>
        <w:t>QoS</w:t>
      </w:r>
      <w:proofErr w:type="spellEnd"/>
      <w:r w:rsidRPr="6A091991">
        <w:rPr>
          <w:sz w:val="22"/>
          <w:szCs w:val="22"/>
        </w:rPr>
        <w:t xml:space="preserve">), co pozwala </w:t>
      </w:r>
      <w:proofErr w:type="spellStart"/>
      <w:r w:rsidRPr="6A091991">
        <w:rPr>
          <w:sz w:val="22"/>
          <w:szCs w:val="22"/>
        </w:rPr>
        <w:t>priorytetyzować</w:t>
      </w:r>
      <w:proofErr w:type="spellEnd"/>
      <w:r w:rsidRPr="6A091991">
        <w:rPr>
          <w:sz w:val="22"/>
          <w:szCs w:val="22"/>
        </w:rPr>
        <w:t xml:space="preserve"> ruch w sposób zbliżony do klasycznych </w:t>
      </w:r>
      <w:proofErr w:type="spellStart"/>
      <w:r w:rsidRPr="6A091991">
        <w:rPr>
          <w:sz w:val="22"/>
          <w:szCs w:val="22"/>
        </w:rPr>
        <w:t>architektur</w:t>
      </w:r>
      <w:proofErr w:type="spellEnd"/>
      <w:r w:rsidRPr="6A091991">
        <w:rPr>
          <w:sz w:val="22"/>
          <w:szCs w:val="22"/>
        </w:rPr>
        <w:t xml:space="preserve"> IP.</w:t>
      </w:r>
    </w:p>
    <w:p w14:paraId="7559BADA" w14:textId="190441FA" w:rsidR="00B53539" w:rsidRDefault="00B53539" w:rsidP="00B53539">
      <w:pPr>
        <w:rPr>
          <w:sz w:val="20"/>
          <w:szCs w:val="20"/>
        </w:rPr>
      </w:pPr>
      <w:r w:rsidRPr="6A091991">
        <w:rPr>
          <w:sz w:val="22"/>
          <w:szCs w:val="22"/>
        </w:rPr>
        <w:t>Parametry operacyjne i środowiskowe</w:t>
      </w:r>
    </w:p>
    <w:p w14:paraId="6961893B" w14:textId="55A16DEF" w:rsidR="00B53539" w:rsidRDefault="00B53539" w:rsidP="00B53539">
      <w:pPr>
        <w:rPr>
          <w:sz w:val="20"/>
          <w:szCs w:val="20"/>
        </w:rPr>
      </w:pPr>
      <w:r w:rsidRPr="6A091991">
        <w:rPr>
          <w:sz w:val="22"/>
          <w:szCs w:val="22"/>
        </w:rPr>
        <w:t xml:space="preserve">Model transmisji oparty na biologicznym transporcie nośnika danych cechuje się unikalnymi parametrami działania. Wyróżnia go całkowita niezależność od infrastruktury telekomunikacyjnej oraz klasycznych źródeł zasilania. Zapewnia to pełną odporność na ataki typu </w:t>
      </w:r>
      <w:proofErr w:type="spellStart"/>
      <w:r w:rsidRPr="6A091991">
        <w:rPr>
          <w:sz w:val="22"/>
          <w:szCs w:val="22"/>
        </w:rPr>
        <w:t>DDoS</w:t>
      </w:r>
      <w:proofErr w:type="spellEnd"/>
      <w:r w:rsidRPr="6A091991">
        <w:rPr>
          <w:sz w:val="22"/>
          <w:szCs w:val="22"/>
        </w:rPr>
        <w:t>, błędy routingu czy rozległe awarie zasilania (</w:t>
      </w:r>
      <w:proofErr w:type="spellStart"/>
      <w:r w:rsidRPr="6A091991">
        <w:rPr>
          <w:sz w:val="22"/>
          <w:szCs w:val="22"/>
        </w:rPr>
        <w:t>blackout</w:t>
      </w:r>
      <w:proofErr w:type="spellEnd"/>
      <w:r w:rsidRPr="6A091991">
        <w:rPr>
          <w:sz w:val="22"/>
          <w:szCs w:val="22"/>
        </w:rPr>
        <w:t xml:space="preserve">). </w:t>
      </w:r>
    </w:p>
    <w:p w14:paraId="5DDA906C" w14:textId="77777777" w:rsidR="00B53539" w:rsidRDefault="00B53539" w:rsidP="00B53539">
      <w:pPr>
        <w:rPr>
          <w:sz w:val="20"/>
          <w:szCs w:val="20"/>
        </w:rPr>
      </w:pPr>
      <w:r w:rsidRPr="6A091991">
        <w:rPr>
          <w:sz w:val="22"/>
          <w:szCs w:val="22"/>
        </w:rPr>
        <w:t>Przy analizie tego protokołu należy uwzględnić specyficzne wskaźniki wydajności wdrożonego rozwiązania:</w:t>
      </w:r>
    </w:p>
    <w:p w14:paraId="24E35FF8" w14:textId="77777777" w:rsidR="00B53539" w:rsidRDefault="00B53539" w:rsidP="00B53539">
      <w:pPr>
        <w:rPr>
          <w:sz w:val="20"/>
          <w:szCs w:val="20"/>
        </w:rPr>
      </w:pPr>
      <w:r w:rsidRPr="6A091991">
        <w:rPr>
          <w:sz w:val="22"/>
          <w:szCs w:val="22"/>
        </w:rPr>
        <w:t>- Deterministyczne opóźnienie wynika wprost z fizycznej odległości, warunków atmosferycznych oraz prędkości przelotowej nośnika.</w:t>
      </w:r>
    </w:p>
    <w:p w14:paraId="41E573AD" w14:textId="77777777" w:rsidR="00B53539" w:rsidRDefault="00B53539" w:rsidP="00B53539">
      <w:pPr>
        <w:rPr>
          <w:sz w:val="20"/>
          <w:szCs w:val="20"/>
        </w:rPr>
      </w:pPr>
      <w:r w:rsidRPr="6A091991">
        <w:rPr>
          <w:sz w:val="22"/>
          <w:szCs w:val="22"/>
        </w:rPr>
        <w:t>- Ryzyko utraty danych nie wynika z błędów cyfrowych, lecz z uwarunkowań środowiskowych, takich jak aktywność naturalnych drapieżników czy zmęczenie materiału biologicznego.</w:t>
      </w:r>
    </w:p>
    <w:p w14:paraId="2A4AA3A1" w14:textId="2AB617EE" w:rsidR="00B53539" w:rsidRDefault="00B53539" w:rsidP="00B53539">
      <w:pPr>
        <w:rPr>
          <w:sz w:val="20"/>
          <w:szCs w:val="20"/>
        </w:rPr>
      </w:pPr>
      <w:r w:rsidRPr="6A091991">
        <w:rPr>
          <w:sz w:val="22"/>
          <w:szCs w:val="22"/>
        </w:rPr>
        <w:t>- Efektywną przepustowość asynchroniczną osiągamy poprzez podczepienie nośników o dużej gęstości zapisu oraz skalowanie liczby jednostek transportowych w obrębie stada.</w:t>
      </w:r>
    </w:p>
    <w:p w14:paraId="5BE96AFC" w14:textId="2614D8AA" w:rsidR="00B53539" w:rsidRDefault="00B53539" w:rsidP="00B53539">
      <w:pPr>
        <w:rPr>
          <w:sz w:val="20"/>
          <w:szCs w:val="20"/>
        </w:rPr>
      </w:pPr>
      <w:r w:rsidRPr="6A091991">
        <w:rPr>
          <w:sz w:val="22"/>
          <w:szCs w:val="22"/>
        </w:rPr>
        <w:t>Zarządzanie ryzykiem i procedury testowe</w:t>
      </w:r>
    </w:p>
    <w:p w14:paraId="17357DE5" w14:textId="45061A3F" w:rsidR="00B53539" w:rsidRDefault="00B53539" w:rsidP="00B53539">
      <w:pPr>
        <w:rPr>
          <w:sz w:val="20"/>
          <w:szCs w:val="20"/>
        </w:rPr>
      </w:pPr>
      <w:r w:rsidRPr="6A091991">
        <w:rPr>
          <w:sz w:val="22"/>
          <w:szCs w:val="22"/>
        </w:rPr>
        <w:t>Ze względu na fizyczne uwarunkowania tego medium transmisyjnego, podmioty muszą wdrożyć odpowiednie mechanizmy kompensacyjne. Należą do nich między innymi redundancja transmisji (równoległe wysłanie wielu nośników z kopią danych), kontrola integralności oraz procedury retransmisji. Mechanizmy te powinny stanowić integralny element zarządzania ryzykiem w ramach Systemu Zarządzania Bezpieczeństwem Informacji.</w:t>
      </w:r>
    </w:p>
    <w:p w14:paraId="6E1296B0" w14:textId="04299A05" w:rsidR="00B53539" w:rsidRDefault="00B53539" w:rsidP="00B53539">
      <w:pPr>
        <w:rPr>
          <w:sz w:val="20"/>
          <w:szCs w:val="20"/>
        </w:rPr>
      </w:pPr>
      <w:r w:rsidRPr="6A091991">
        <w:rPr>
          <w:sz w:val="22"/>
          <w:szCs w:val="22"/>
        </w:rPr>
        <w:t>Rekomendujemy jednoznaczne wskazanie w wytycznych konieczności systematycznego testowania takich rozwiązań typu out-of-band. Scenariusze testowe muszą weryfikować zdolność do przekazywania krytycznych informacji w warunkach jednoczesnego braku prądu i łączności konwencjonalnej. Proces ten musi podlegać pełnej formalizacji, włącznie z dokumentowaniem przebiegu lotów testowych oraz identyfikacją odchyleń od założonych parametrów.</w:t>
      </w:r>
    </w:p>
    <w:p w14:paraId="07E1A592" w14:textId="5A2BD958" w:rsidR="006F19E4" w:rsidRDefault="059176A6" w:rsidP="00B53539">
      <w:pPr>
        <w:rPr>
          <w:sz w:val="20"/>
          <w:szCs w:val="20"/>
        </w:rPr>
      </w:pPr>
      <w:r w:rsidRPr="7B378FFF">
        <w:rPr>
          <w:sz w:val="22"/>
          <w:szCs w:val="22"/>
        </w:rPr>
        <w:t xml:space="preserve">W konsekwencji wnosimy o włączenie standardów RFC 1149 oraz RFC 2549 do oficjalnego zestawienia jako uzupełniającego modelu transmisji. Ich implementacja znacząco zwiększy </w:t>
      </w:r>
      <w:r w:rsidRPr="7B378FFF">
        <w:rPr>
          <w:sz w:val="22"/>
          <w:szCs w:val="22"/>
        </w:rPr>
        <w:lastRenderedPageBreak/>
        <w:t>zdolność podmiotów do reagowania na zdarzenia skrajne, wymuszając jednocześnie pożądaną integrację procedur bezpieczeństwa cyfrowego z bezpieczeństwem fizycznym.</w:t>
      </w:r>
    </w:p>
    <w:p w14:paraId="7EB10052" w14:textId="2CEDC4A9" w:rsidR="006F19E4" w:rsidRPr="006F19E4" w:rsidRDefault="009C2C3F" w:rsidP="00A326F7">
      <w:pPr>
        <w:rPr>
          <w:b/>
          <w:bCs/>
          <w:sz w:val="28"/>
          <w:szCs w:val="28"/>
        </w:rPr>
      </w:pPr>
      <w:r>
        <w:rPr>
          <w:b/>
          <w:bCs/>
          <w:sz w:val="28"/>
          <w:szCs w:val="28"/>
        </w:rPr>
        <w:t>Uwa</w:t>
      </w:r>
      <w:r w:rsidR="00547BD1">
        <w:rPr>
          <w:b/>
          <w:bCs/>
          <w:sz w:val="28"/>
          <w:szCs w:val="28"/>
        </w:rPr>
        <w:t>gi Pocz</w:t>
      </w:r>
      <w:r w:rsidR="009D77F4">
        <w:rPr>
          <w:b/>
          <w:bCs/>
          <w:sz w:val="28"/>
          <w:szCs w:val="28"/>
        </w:rPr>
        <w:t>ty</w:t>
      </w:r>
      <w:r w:rsidR="00AC272A">
        <w:rPr>
          <w:b/>
          <w:bCs/>
          <w:sz w:val="28"/>
          <w:szCs w:val="28"/>
        </w:rPr>
        <w:t xml:space="preserve"> Pols</w:t>
      </w:r>
      <w:r w:rsidR="00C664DA">
        <w:rPr>
          <w:b/>
          <w:bCs/>
          <w:sz w:val="28"/>
          <w:szCs w:val="28"/>
        </w:rPr>
        <w:t>kiej</w:t>
      </w:r>
    </w:p>
    <w:p w14:paraId="4CB57840" w14:textId="77777777" w:rsidR="003249D8" w:rsidRPr="00FE47F5" w:rsidRDefault="003249D8" w:rsidP="003249D8">
      <w:pPr>
        <w:rPr>
          <w:sz w:val="22"/>
          <w:szCs w:val="22"/>
        </w:rPr>
      </w:pPr>
      <w:r w:rsidRPr="00FE47F5">
        <w:rPr>
          <w:sz w:val="22"/>
          <w:szCs w:val="22"/>
        </w:rPr>
        <w:t>Dzień dobry</w:t>
      </w:r>
    </w:p>
    <w:p w14:paraId="6EE2A9B4" w14:textId="46530B93" w:rsidR="003249D8" w:rsidRPr="00FE47F5" w:rsidRDefault="003249D8" w:rsidP="003249D8">
      <w:pPr>
        <w:rPr>
          <w:sz w:val="22"/>
          <w:szCs w:val="22"/>
        </w:rPr>
      </w:pPr>
      <w:r w:rsidRPr="00FE47F5">
        <w:rPr>
          <w:sz w:val="22"/>
          <w:szCs w:val="22"/>
        </w:rPr>
        <w:t xml:space="preserve">W zestawieniu powinny się też znaleźć dokumenty dotyczące usług zaufania, </w:t>
      </w:r>
      <w:proofErr w:type="spellStart"/>
      <w:r w:rsidRPr="00FE47F5">
        <w:rPr>
          <w:sz w:val="22"/>
          <w:szCs w:val="22"/>
        </w:rPr>
        <w:t>tj</w:t>
      </w:r>
      <w:proofErr w:type="spellEnd"/>
      <w:r w:rsidRPr="00FE47F5">
        <w:rPr>
          <w:sz w:val="22"/>
          <w:szCs w:val="22"/>
        </w:rPr>
        <w:t xml:space="preserve"> normy ETSI 319 401 i 319 411-1 i 319 411-2 oraz polski "Standard publicznej usługi rejestrowanego doręczenia elektronicznego świadczonej przez operatora wyznaczonego i kwalifikowanych dostawców usług".</w:t>
      </w:r>
    </w:p>
    <w:p w14:paraId="69F037C6" w14:textId="0895638B" w:rsidR="006F19E4" w:rsidRPr="00FE47F5" w:rsidRDefault="6EA22576" w:rsidP="003249D8">
      <w:pPr>
        <w:rPr>
          <w:sz w:val="22"/>
          <w:szCs w:val="22"/>
        </w:rPr>
      </w:pPr>
      <w:r w:rsidRPr="7B378FFF">
        <w:rPr>
          <w:sz w:val="22"/>
          <w:szCs w:val="22"/>
        </w:rPr>
        <w:t>Pozdrawiam</w:t>
      </w:r>
    </w:p>
    <w:p w14:paraId="19760DDB" w14:textId="7942D0E6" w:rsidR="006F19E4" w:rsidRPr="00F9061B" w:rsidRDefault="00891630" w:rsidP="00A326F7">
      <w:pPr>
        <w:rPr>
          <w:b/>
          <w:bCs/>
          <w:sz w:val="28"/>
          <w:szCs w:val="28"/>
        </w:rPr>
      </w:pPr>
      <w:r w:rsidRPr="00F9061B">
        <w:rPr>
          <w:b/>
          <w:bCs/>
          <w:sz w:val="28"/>
          <w:szCs w:val="28"/>
        </w:rPr>
        <w:t>Uwa</w:t>
      </w:r>
      <w:r w:rsidR="00DE2509" w:rsidRPr="00F9061B">
        <w:rPr>
          <w:b/>
          <w:bCs/>
          <w:sz w:val="28"/>
          <w:szCs w:val="28"/>
        </w:rPr>
        <w:t xml:space="preserve">gi </w:t>
      </w:r>
      <w:proofErr w:type="spellStart"/>
      <w:r w:rsidR="0044449D" w:rsidRPr="00F9061B">
        <w:rPr>
          <w:b/>
          <w:bCs/>
          <w:sz w:val="28"/>
          <w:szCs w:val="28"/>
        </w:rPr>
        <w:t>U</w:t>
      </w:r>
      <w:r w:rsidR="00DD0B89" w:rsidRPr="00F9061B">
        <w:rPr>
          <w:b/>
          <w:bCs/>
          <w:sz w:val="28"/>
          <w:szCs w:val="28"/>
        </w:rPr>
        <w:t>ni</w:t>
      </w:r>
      <w:r w:rsidR="001A24AD" w:rsidRPr="00F9061B">
        <w:rPr>
          <w:b/>
          <w:bCs/>
          <w:sz w:val="28"/>
          <w:szCs w:val="28"/>
        </w:rPr>
        <w:t>mo</w:t>
      </w:r>
      <w:r w:rsidR="005207B0" w:rsidRPr="00F9061B">
        <w:rPr>
          <w:b/>
          <w:bCs/>
          <w:sz w:val="28"/>
          <w:szCs w:val="28"/>
        </w:rPr>
        <w:t>t</w:t>
      </w:r>
      <w:proofErr w:type="spellEnd"/>
      <w:r w:rsidR="009C2465" w:rsidRPr="00F9061B">
        <w:rPr>
          <w:b/>
          <w:bCs/>
          <w:sz w:val="28"/>
          <w:szCs w:val="28"/>
        </w:rPr>
        <w:t xml:space="preserve"> S.</w:t>
      </w:r>
      <w:r w:rsidR="00B6415E" w:rsidRPr="00F9061B">
        <w:rPr>
          <w:b/>
          <w:bCs/>
          <w:sz w:val="28"/>
          <w:szCs w:val="28"/>
        </w:rPr>
        <w:t>A.</w:t>
      </w:r>
    </w:p>
    <w:p w14:paraId="55BD598A" w14:textId="64E982E3" w:rsidR="00D07600" w:rsidRPr="00605921" w:rsidRDefault="05400BD8" w:rsidP="00A326F7">
      <w:pPr>
        <w:rPr>
          <w:sz w:val="22"/>
          <w:szCs w:val="22"/>
          <w:lang w:val="en-US"/>
        </w:rPr>
      </w:pPr>
      <w:r w:rsidRPr="7B378FFF">
        <w:rPr>
          <w:sz w:val="22"/>
          <w:szCs w:val="22"/>
          <w:lang w:val="en-US"/>
        </w:rPr>
        <w:t>CLC/TS 50701:2023 „Railway applications – Cybersecurity”</w:t>
      </w:r>
    </w:p>
    <w:p w14:paraId="6D357192" w14:textId="6606B830" w:rsidR="00D757A0" w:rsidRPr="00DC2F34" w:rsidRDefault="00D757A0" w:rsidP="00D757A0">
      <w:pPr>
        <w:rPr>
          <w:sz w:val="22"/>
          <w:szCs w:val="22"/>
          <w:lang w:val="en-GB"/>
        </w:rPr>
      </w:pPr>
    </w:p>
    <w:sectPr w:rsidR="00D757A0" w:rsidRPr="00DC2F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FF1B" w14:textId="77777777" w:rsidR="003A698D" w:rsidRDefault="003A698D" w:rsidP="00DC2F34">
      <w:pPr>
        <w:spacing w:after="0" w:line="240" w:lineRule="auto"/>
      </w:pPr>
      <w:r>
        <w:separator/>
      </w:r>
    </w:p>
  </w:endnote>
  <w:endnote w:type="continuationSeparator" w:id="0">
    <w:p w14:paraId="54F69017" w14:textId="77777777" w:rsidR="003A698D" w:rsidRDefault="003A698D" w:rsidP="00DC2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DC321" w14:textId="77777777" w:rsidR="003A698D" w:rsidRDefault="003A698D" w:rsidP="00DC2F34">
      <w:pPr>
        <w:spacing w:after="0" w:line="240" w:lineRule="auto"/>
      </w:pPr>
      <w:r>
        <w:separator/>
      </w:r>
    </w:p>
  </w:footnote>
  <w:footnote w:type="continuationSeparator" w:id="0">
    <w:p w14:paraId="0AA58A80" w14:textId="77777777" w:rsidR="003A698D" w:rsidRDefault="003A698D" w:rsidP="00DC2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ED07F"/>
    <w:multiLevelType w:val="hybridMultilevel"/>
    <w:tmpl w:val="FFFFFFFF"/>
    <w:lvl w:ilvl="0" w:tplc="56624F80">
      <w:start w:val="1"/>
      <w:numFmt w:val="decimal"/>
      <w:lvlText w:val="%1."/>
      <w:lvlJc w:val="left"/>
      <w:pPr>
        <w:ind w:left="720" w:hanging="360"/>
      </w:pPr>
    </w:lvl>
    <w:lvl w:ilvl="1" w:tplc="4C48DF3A">
      <w:start w:val="1"/>
      <w:numFmt w:val="lowerLetter"/>
      <w:lvlText w:val="%2."/>
      <w:lvlJc w:val="left"/>
      <w:pPr>
        <w:ind w:left="1440" w:hanging="360"/>
      </w:pPr>
    </w:lvl>
    <w:lvl w:ilvl="2" w:tplc="47C23252">
      <w:start w:val="1"/>
      <w:numFmt w:val="lowerRoman"/>
      <w:lvlText w:val="%3."/>
      <w:lvlJc w:val="right"/>
      <w:pPr>
        <w:ind w:left="2160" w:hanging="180"/>
      </w:pPr>
    </w:lvl>
    <w:lvl w:ilvl="3" w:tplc="CE38F700">
      <w:start w:val="1"/>
      <w:numFmt w:val="decimal"/>
      <w:lvlText w:val="%4."/>
      <w:lvlJc w:val="left"/>
      <w:pPr>
        <w:ind w:left="2880" w:hanging="360"/>
      </w:pPr>
    </w:lvl>
    <w:lvl w:ilvl="4" w:tplc="442A561C">
      <w:start w:val="1"/>
      <w:numFmt w:val="lowerLetter"/>
      <w:lvlText w:val="%5."/>
      <w:lvlJc w:val="left"/>
      <w:pPr>
        <w:ind w:left="3600" w:hanging="360"/>
      </w:pPr>
    </w:lvl>
    <w:lvl w:ilvl="5" w:tplc="03D41C8C">
      <w:start w:val="1"/>
      <w:numFmt w:val="lowerRoman"/>
      <w:lvlText w:val="%6."/>
      <w:lvlJc w:val="right"/>
      <w:pPr>
        <w:ind w:left="4320" w:hanging="180"/>
      </w:pPr>
    </w:lvl>
    <w:lvl w:ilvl="6" w:tplc="6D04A5C4">
      <w:start w:val="1"/>
      <w:numFmt w:val="decimal"/>
      <w:lvlText w:val="%7."/>
      <w:lvlJc w:val="left"/>
      <w:pPr>
        <w:ind w:left="5040" w:hanging="360"/>
      </w:pPr>
    </w:lvl>
    <w:lvl w:ilvl="7" w:tplc="C22A58CA">
      <w:start w:val="1"/>
      <w:numFmt w:val="lowerLetter"/>
      <w:lvlText w:val="%8."/>
      <w:lvlJc w:val="left"/>
      <w:pPr>
        <w:ind w:left="5760" w:hanging="360"/>
      </w:pPr>
    </w:lvl>
    <w:lvl w:ilvl="8" w:tplc="CE621CC0">
      <w:start w:val="1"/>
      <w:numFmt w:val="lowerRoman"/>
      <w:lvlText w:val="%9."/>
      <w:lvlJc w:val="right"/>
      <w:pPr>
        <w:ind w:left="6480" w:hanging="180"/>
      </w:pPr>
    </w:lvl>
  </w:abstractNum>
  <w:num w:numId="1" w16cid:durableId="160229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DA"/>
    <w:rsid w:val="00022FAF"/>
    <w:rsid w:val="00073C47"/>
    <w:rsid w:val="000774F4"/>
    <w:rsid w:val="000A7442"/>
    <w:rsid w:val="000B09D2"/>
    <w:rsid w:val="000B2953"/>
    <w:rsid w:val="000C1FF1"/>
    <w:rsid w:val="000D69DE"/>
    <w:rsid w:val="000E64DD"/>
    <w:rsid w:val="000F756D"/>
    <w:rsid w:val="00127A8E"/>
    <w:rsid w:val="001342F5"/>
    <w:rsid w:val="00136441"/>
    <w:rsid w:val="00147FCA"/>
    <w:rsid w:val="00150B76"/>
    <w:rsid w:val="00151FC2"/>
    <w:rsid w:val="00157D38"/>
    <w:rsid w:val="00166B30"/>
    <w:rsid w:val="00170CB6"/>
    <w:rsid w:val="0017307A"/>
    <w:rsid w:val="00193A90"/>
    <w:rsid w:val="00197CF2"/>
    <w:rsid w:val="001A24AD"/>
    <w:rsid w:val="001A82BA"/>
    <w:rsid w:val="001B4502"/>
    <w:rsid w:val="001C0FE1"/>
    <w:rsid w:val="001F18CF"/>
    <w:rsid w:val="001F2F23"/>
    <w:rsid w:val="00211726"/>
    <w:rsid w:val="00243F34"/>
    <w:rsid w:val="00276C1C"/>
    <w:rsid w:val="002C6D3B"/>
    <w:rsid w:val="002D17BA"/>
    <w:rsid w:val="002E0292"/>
    <w:rsid w:val="002F2C8A"/>
    <w:rsid w:val="003249D8"/>
    <w:rsid w:val="0034583E"/>
    <w:rsid w:val="0035113D"/>
    <w:rsid w:val="00364F1D"/>
    <w:rsid w:val="00376264"/>
    <w:rsid w:val="00376D49"/>
    <w:rsid w:val="003A0A08"/>
    <w:rsid w:val="003A698D"/>
    <w:rsid w:val="003B4D0A"/>
    <w:rsid w:val="003D67E6"/>
    <w:rsid w:val="0040705D"/>
    <w:rsid w:val="00417318"/>
    <w:rsid w:val="004258CD"/>
    <w:rsid w:val="00434D95"/>
    <w:rsid w:val="0044449D"/>
    <w:rsid w:val="0044591B"/>
    <w:rsid w:val="0044691B"/>
    <w:rsid w:val="004677C5"/>
    <w:rsid w:val="00470C8B"/>
    <w:rsid w:val="004B3190"/>
    <w:rsid w:val="004C756F"/>
    <w:rsid w:val="004E2B7A"/>
    <w:rsid w:val="004F092A"/>
    <w:rsid w:val="005031F7"/>
    <w:rsid w:val="00503BBD"/>
    <w:rsid w:val="0050663A"/>
    <w:rsid w:val="005207B0"/>
    <w:rsid w:val="00524FD0"/>
    <w:rsid w:val="00533134"/>
    <w:rsid w:val="00543F65"/>
    <w:rsid w:val="005440F1"/>
    <w:rsid w:val="005443EF"/>
    <w:rsid w:val="00547343"/>
    <w:rsid w:val="00547BD1"/>
    <w:rsid w:val="00566625"/>
    <w:rsid w:val="005711C6"/>
    <w:rsid w:val="0057451A"/>
    <w:rsid w:val="005973CB"/>
    <w:rsid w:val="005B4A28"/>
    <w:rsid w:val="005F2AF9"/>
    <w:rsid w:val="00605921"/>
    <w:rsid w:val="00634622"/>
    <w:rsid w:val="006364A9"/>
    <w:rsid w:val="00636FE9"/>
    <w:rsid w:val="00650797"/>
    <w:rsid w:val="00650905"/>
    <w:rsid w:val="006618FF"/>
    <w:rsid w:val="006674F8"/>
    <w:rsid w:val="006705E8"/>
    <w:rsid w:val="00690464"/>
    <w:rsid w:val="006921F1"/>
    <w:rsid w:val="006A1AA4"/>
    <w:rsid w:val="006A72E2"/>
    <w:rsid w:val="006C41BD"/>
    <w:rsid w:val="006C7528"/>
    <w:rsid w:val="006D60C2"/>
    <w:rsid w:val="006E79E2"/>
    <w:rsid w:val="006F19E4"/>
    <w:rsid w:val="007006D5"/>
    <w:rsid w:val="0072321D"/>
    <w:rsid w:val="0073157D"/>
    <w:rsid w:val="00756640"/>
    <w:rsid w:val="00763334"/>
    <w:rsid w:val="00765066"/>
    <w:rsid w:val="0078727B"/>
    <w:rsid w:val="007B35F5"/>
    <w:rsid w:val="007B4E91"/>
    <w:rsid w:val="007C5AEB"/>
    <w:rsid w:val="007E1A36"/>
    <w:rsid w:val="007E54BD"/>
    <w:rsid w:val="00805050"/>
    <w:rsid w:val="00807C7C"/>
    <w:rsid w:val="00807D95"/>
    <w:rsid w:val="00810DCF"/>
    <w:rsid w:val="00836E9C"/>
    <w:rsid w:val="00841685"/>
    <w:rsid w:val="00841FC7"/>
    <w:rsid w:val="0084799D"/>
    <w:rsid w:val="00852F11"/>
    <w:rsid w:val="00874DD4"/>
    <w:rsid w:val="00876F75"/>
    <w:rsid w:val="00891630"/>
    <w:rsid w:val="0089379B"/>
    <w:rsid w:val="008A1E18"/>
    <w:rsid w:val="008A5DD2"/>
    <w:rsid w:val="008C023B"/>
    <w:rsid w:val="008C30DF"/>
    <w:rsid w:val="008D2CA7"/>
    <w:rsid w:val="008D5CB8"/>
    <w:rsid w:val="008D7F03"/>
    <w:rsid w:val="008E5EC6"/>
    <w:rsid w:val="00933088"/>
    <w:rsid w:val="00970E12"/>
    <w:rsid w:val="009762B7"/>
    <w:rsid w:val="009A35E0"/>
    <w:rsid w:val="009C2465"/>
    <w:rsid w:val="009C2C3F"/>
    <w:rsid w:val="009D4E59"/>
    <w:rsid w:val="009D77F4"/>
    <w:rsid w:val="009E3E2C"/>
    <w:rsid w:val="00A326F7"/>
    <w:rsid w:val="00A35A54"/>
    <w:rsid w:val="00A476B7"/>
    <w:rsid w:val="00A47A99"/>
    <w:rsid w:val="00A66EDE"/>
    <w:rsid w:val="00A73B0F"/>
    <w:rsid w:val="00AA414B"/>
    <w:rsid w:val="00AC272A"/>
    <w:rsid w:val="00AC2B49"/>
    <w:rsid w:val="00AD272E"/>
    <w:rsid w:val="00AD2A52"/>
    <w:rsid w:val="00AD2BB7"/>
    <w:rsid w:val="00AD4A42"/>
    <w:rsid w:val="00AD5FDC"/>
    <w:rsid w:val="00AD63A4"/>
    <w:rsid w:val="00AE2EF3"/>
    <w:rsid w:val="00AF07A6"/>
    <w:rsid w:val="00AF2905"/>
    <w:rsid w:val="00B10209"/>
    <w:rsid w:val="00B142DB"/>
    <w:rsid w:val="00B40249"/>
    <w:rsid w:val="00B4258A"/>
    <w:rsid w:val="00B53539"/>
    <w:rsid w:val="00B5368A"/>
    <w:rsid w:val="00B623F6"/>
    <w:rsid w:val="00B6270B"/>
    <w:rsid w:val="00B62721"/>
    <w:rsid w:val="00B6415E"/>
    <w:rsid w:val="00B64FC0"/>
    <w:rsid w:val="00B73369"/>
    <w:rsid w:val="00B8143C"/>
    <w:rsid w:val="00B97A17"/>
    <w:rsid w:val="00BA1393"/>
    <w:rsid w:val="00BB4191"/>
    <w:rsid w:val="00BB7E51"/>
    <w:rsid w:val="00BE2077"/>
    <w:rsid w:val="00BF5876"/>
    <w:rsid w:val="00C25DC1"/>
    <w:rsid w:val="00C335C9"/>
    <w:rsid w:val="00C41C57"/>
    <w:rsid w:val="00C41CAC"/>
    <w:rsid w:val="00C4549E"/>
    <w:rsid w:val="00C475DA"/>
    <w:rsid w:val="00C57D22"/>
    <w:rsid w:val="00C62F94"/>
    <w:rsid w:val="00C664DA"/>
    <w:rsid w:val="00C70DD4"/>
    <w:rsid w:val="00C74753"/>
    <w:rsid w:val="00C766E3"/>
    <w:rsid w:val="00CC15D0"/>
    <w:rsid w:val="00CC6617"/>
    <w:rsid w:val="00CD30F0"/>
    <w:rsid w:val="00CD43C4"/>
    <w:rsid w:val="00CD568F"/>
    <w:rsid w:val="00CE72D8"/>
    <w:rsid w:val="00CF2B45"/>
    <w:rsid w:val="00D00595"/>
    <w:rsid w:val="00D07600"/>
    <w:rsid w:val="00D20F3B"/>
    <w:rsid w:val="00D2725C"/>
    <w:rsid w:val="00D44A36"/>
    <w:rsid w:val="00D502A0"/>
    <w:rsid w:val="00D53974"/>
    <w:rsid w:val="00D54335"/>
    <w:rsid w:val="00D544CB"/>
    <w:rsid w:val="00D60713"/>
    <w:rsid w:val="00D71EC0"/>
    <w:rsid w:val="00D75315"/>
    <w:rsid w:val="00D757A0"/>
    <w:rsid w:val="00D9561B"/>
    <w:rsid w:val="00D95930"/>
    <w:rsid w:val="00DA11C2"/>
    <w:rsid w:val="00DA22EB"/>
    <w:rsid w:val="00DB7437"/>
    <w:rsid w:val="00DB75FE"/>
    <w:rsid w:val="00DC2F34"/>
    <w:rsid w:val="00DD0B89"/>
    <w:rsid w:val="00DD22F5"/>
    <w:rsid w:val="00DE2509"/>
    <w:rsid w:val="00DF026B"/>
    <w:rsid w:val="00E010C4"/>
    <w:rsid w:val="00E04A49"/>
    <w:rsid w:val="00E13504"/>
    <w:rsid w:val="00E165B9"/>
    <w:rsid w:val="00E30151"/>
    <w:rsid w:val="00E30D2C"/>
    <w:rsid w:val="00E32276"/>
    <w:rsid w:val="00E32FBE"/>
    <w:rsid w:val="00E34374"/>
    <w:rsid w:val="00E40933"/>
    <w:rsid w:val="00E42D14"/>
    <w:rsid w:val="00E450D2"/>
    <w:rsid w:val="00E61913"/>
    <w:rsid w:val="00E65C7B"/>
    <w:rsid w:val="00E86341"/>
    <w:rsid w:val="00E91509"/>
    <w:rsid w:val="00F02A88"/>
    <w:rsid w:val="00F047B8"/>
    <w:rsid w:val="00F157BA"/>
    <w:rsid w:val="00F16191"/>
    <w:rsid w:val="00F325C5"/>
    <w:rsid w:val="00F4475A"/>
    <w:rsid w:val="00F458E8"/>
    <w:rsid w:val="00F52FEC"/>
    <w:rsid w:val="00F61614"/>
    <w:rsid w:val="00F638C1"/>
    <w:rsid w:val="00F85B2E"/>
    <w:rsid w:val="00F871E5"/>
    <w:rsid w:val="00F9061B"/>
    <w:rsid w:val="00FA43AF"/>
    <w:rsid w:val="00FB1CC1"/>
    <w:rsid w:val="00FC29B6"/>
    <w:rsid w:val="00FC76FB"/>
    <w:rsid w:val="00FE47F5"/>
    <w:rsid w:val="00FF125F"/>
    <w:rsid w:val="00FF6D5D"/>
    <w:rsid w:val="01D3F218"/>
    <w:rsid w:val="0365DD47"/>
    <w:rsid w:val="039E8F60"/>
    <w:rsid w:val="045E32CC"/>
    <w:rsid w:val="04A691B0"/>
    <w:rsid w:val="04FFF226"/>
    <w:rsid w:val="0537E2B0"/>
    <w:rsid w:val="05400BD8"/>
    <w:rsid w:val="059176A6"/>
    <w:rsid w:val="05D447FF"/>
    <w:rsid w:val="06680842"/>
    <w:rsid w:val="08EF0019"/>
    <w:rsid w:val="0999719E"/>
    <w:rsid w:val="0A575004"/>
    <w:rsid w:val="0C26A0B3"/>
    <w:rsid w:val="0D897128"/>
    <w:rsid w:val="0FAA43BE"/>
    <w:rsid w:val="1039B916"/>
    <w:rsid w:val="10B312ED"/>
    <w:rsid w:val="11C6BB88"/>
    <w:rsid w:val="1223AB95"/>
    <w:rsid w:val="1277A3E6"/>
    <w:rsid w:val="12A19A00"/>
    <w:rsid w:val="1593105B"/>
    <w:rsid w:val="16B1DAA1"/>
    <w:rsid w:val="1785A4E7"/>
    <w:rsid w:val="17880A5F"/>
    <w:rsid w:val="17B4A52B"/>
    <w:rsid w:val="19C773F9"/>
    <w:rsid w:val="1A3C3A54"/>
    <w:rsid w:val="1D41F65C"/>
    <w:rsid w:val="1E04545A"/>
    <w:rsid w:val="1EC5B29E"/>
    <w:rsid w:val="1FC8345A"/>
    <w:rsid w:val="203F9F30"/>
    <w:rsid w:val="2332B5DA"/>
    <w:rsid w:val="2393EDE8"/>
    <w:rsid w:val="23A26B65"/>
    <w:rsid w:val="23BAAC60"/>
    <w:rsid w:val="2486B90B"/>
    <w:rsid w:val="254F53FC"/>
    <w:rsid w:val="2727AB9E"/>
    <w:rsid w:val="2A866BE8"/>
    <w:rsid w:val="2B8CA5B2"/>
    <w:rsid w:val="2BC2B2CD"/>
    <w:rsid w:val="2DC77845"/>
    <w:rsid w:val="2E5A2147"/>
    <w:rsid w:val="2EFE6D9B"/>
    <w:rsid w:val="30C9C3C5"/>
    <w:rsid w:val="31C84DCD"/>
    <w:rsid w:val="3369A8A2"/>
    <w:rsid w:val="34ED9D3E"/>
    <w:rsid w:val="35330F06"/>
    <w:rsid w:val="3A217DF0"/>
    <w:rsid w:val="3B8778E2"/>
    <w:rsid w:val="3C373B95"/>
    <w:rsid w:val="3F98F94A"/>
    <w:rsid w:val="3FCF517B"/>
    <w:rsid w:val="409337FF"/>
    <w:rsid w:val="41FACBF7"/>
    <w:rsid w:val="422215FF"/>
    <w:rsid w:val="424FEE88"/>
    <w:rsid w:val="42D35586"/>
    <w:rsid w:val="44B10E6B"/>
    <w:rsid w:val="4514FB0B"/>
    <w:rsid w:val="45B39D8C"/>
    <w:rsid w:val="45E3D122"/>
    <w:rsid w:val="46882340"/>
    <w:rsid w:val="46CC6FE3"/>
    <w:rsid w:val="47824CC7"/>
    <w:rsid w:val="47BA4460"/>
    <w:rsid w:val="48E97624"/>
    <w:rsid w:val="4B619349"/>
    <w:rsid w:val="4C6495B8"/>
    <w:rsid w:val="4E72C2A9"/>
    <w:rsid w:val="50D5CF9C"/>
    <w:rsid w:val="50F2D6B2"/>
    <w:rsid w:val="510C2E2E"/>
    <w:rsid w:val="52C99463"/>
    <w:rsid w:val="52E0E653"/>
    <w:rsid w:val="551CC7CE"/>
    <w:rsid w:val="571902F1"/>
    <w:rsid w:val="5827B8C4"/>
    <w:rsid w:val="5ACB1C14"/>
    <w:rsid w:val="5C3FD8F6"/>
    <w:rsid w:val="5E40F1EA"/>
    <w:rsid w:val="5EBFDF0D"/>
    <w:rsid w:val="5F444D4C"/>
    <w:rsid w:val="606CB5AE"/>
    <w:rsid w:val="6090EF94"/>
    <w:rsid w:val="60AD348F"/>
    <w:rsid w:val="60D465DC"/>
    <w:rsid w:val="61725B04"/>
    <w:rsid w:val="62912E9D"/>
    <w:rsid w:val="6292AF5C"/>
    <w:rsid w:val="641F2C92"/>
    <w:rsid w:val="64D9BD6C"/>
    <w:rsid w:val="65CC13BD"/>
    <w:rsid w:val="673841E1"/>
    <w:rsid w:val="67CDB800"/>
    <w:rsid w:val="67E58527"/>
    <w:rsid w:val="6878B789"/>
    <w:rsid w:val="6A091991"/>
    <w:rsid w:val="6A6DCF49"/>
    <w:rsid w:val="6A7867BA"/>
    <w:rsid w:val="6B41C39D"/>
    <w:rsid w:val="6D211E6F"/>
    <w:rsid w:val="6EA22576"/>
    <w:rsid w:val="6F26D7DC"/>
    <w:rsid w:val="718956B3"/>
    <w:rsid w:val="725676A5"/>
    <w:rsid w:val="73950ABE"/>
    <w:rsid w:val="74C324C0"/>
    <w:rsid w:val="76BAC98F"/>
    <w:rsid w:val="79983A08"/>
    <w:rsid w:val="79BCB58C"/>
    <w:rsid w:val="79F070DA"/>
    <w:rsid w:val="7A08294E"/>
    <w:rsid w:val="7B378FFF"/>
    <w:rsid w:val="7BC68EC6"/>
    <w:rsid w:val="7C0951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7F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5DA"/>
  </w:style>
  <w:style w:type="paragraph" w:styleId="Nagwek1">
    <w:name w:val="heading 1"/>
    <w:basedOn w:val="Normalny"/>
    <w:next w:val="Normalny"/>
    <w:uiPriority w:val="9"/>
    <w:qFormat/>
    <w:rsid w:val="00C47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uiPriority w:val="9"/>
    <w:semiHidden/>
    <w:unhideWhenUsed/>
    <w:qFormat/>
    <w:rsid w:val="00C47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uiPriority w:val="9"/>
    <w:semiHidden/>
    <w:unhideWhenUsed/>
    <w:qFormat/>
    <w:rsid w:val="00C475D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uiPriority w:val="9"/>
    <w:semiHidden/>
    <w:unhideWhenUsed/>
    <w:qFormat/>
    <w:rsid w:val="00C475D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uiPriority w:val="9"/>
    <w:semiHidden/>
    <w:unhideWhenUsed/>
    <w:qFormat/>
    <w:rsid w:val="00C475D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uiPriority w:val="9"/>
    <w:semiHidden/>
    <w:unhideWhenUsed/>
    <w:qFormat/>
    <w:rsid w:val="00C475D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uiPriority w:val="9"/>
    <w:semiHidden/>
    <w:unhideWhenUsed/>
    <w:qFormat/>
    <w:rsid w:val="00C475D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uiPriority w:val="9"/>
    <w:semiHidden/>
    <w:unhideWhenUsed/>
    <w:qFormat/>
    <w:rsid w:val="00C475D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uiPriority w:val="9"/>
    <w:semiHidden/>
    <w:unhideWhenUsed/>
    <w:qFormat/>
    <w:rsid w:val="00C475D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C47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475D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475D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475D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475DA"/>
    <w:pPr>
      <w:spacing w:before="160"/>
      <w:jc w:val="center"/>
    </w:pPr>
    <w:rPr>
      <w:i/>
      <w:iCs/>
      <w:color w:val="404040" w:themeColor="text1" w:themeTint="BF"/>
    </w:rPr>
  </w:style>
  <w:style w:type="character" w:customStyle="1" w:styleId="CytatZnak">
    <w:name w:val="Cytat Znak"/>
    <w:basedOn w:val="Domylnaczcionkaakapitu"/>
    <w:link w:val="Cytat"/>
    <w:uiPriority w:val="29"/>
    <w:rsid w:val="00C475DA"/>
    <w:rPr>
      <w:i/>
      <w:iCs/>
      <w:color w:val="404040" w:themeColor="text1" w:themeTint="BF"/>
    </w:rPr>
  </w:style>
  <w:style w:type="paragraph" w:styleId="Akapitzlist">
    <w:name w:val="List Paragraph"/>
    <w:basedOn w:val="Normalny"/>
    <w:uiPriority w:val="34"/>
    <w:qFormat/>
    <w:rsid w:val="00C475DA"/>
    <w:pPr>
      <w:ind w:left="720"/>
      <w:contextualSpacing/>
    </w:pPr>
  </w:style>
  <w:style w:type="character" w:styleId="Wyrnienieintensywne">
    <w:name w:val="Intense Emphasis"/>
    <w:basedOn w:val="Domylnaczcionkaakapitu"/>
    <w:uiPriority w:val="21"/>
    <w:qFormat/>
    <w:rsid w:val="00C475DA"/>
    <w:rPr>
      <w:i/>
      <w:iCs/>
      <w:color w:val="0F4761" w:themeColor="accent1" w:themeShade="BF"/>
    </w:rPr>
  </w:style>
  <w:style w:type="paragraph" w:styleId="Cytatintensywny">
    <w:name w:val="Intense Quote"/>
    <w:basedOn w:val="Normalny"/>
    <w:next w:val="Normalny"/>
    <w:link w:val="CytatintensywnyZnak"/>
    <w:uiPriority w:val="30"/>
    <w:qFormat/>
    <w:rsid w:val="00C47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475DA"/>
    <w:rPr>
      <w:i/>
      <w:iCs/>
      <w:color w:val="0F4761" w:themeColor="accent1" w:themeShade="BF"/>
    </w:rPr>
  </w:style>
  <w:style w:type="character" w:styleId="Odwoanieintensywne">
    <w:name w:val="Intense Reference"/>
    <w:basedOn w:val="Domylnaczcionkaakapitu"/>
    <w:uiPriority w:val="32"/>
    <w:qFormat/>
    <w:rsid w:val="00C475DA"/>
    <w:rPr>
      <w:b/>
      <w:bCs/>
      <w:smallCaps/>
      <w:color w:val="0F4761" w:themeColor="accent1" w:themeShade="BF"/>
      <w:spacing w:val="5"/>
    </w:rPr>
  </w:style>
  <w:style w:type="character" w:customStyle="1" w:styleId="Nagwek1Znak">
    <w:name w:val="Nagłówek 1 Znak"/>
    <w:basedOn w:val="Domylnaczcionkaakapitu"/>
    <w:uiPriority w:val="9"/>
    <w:rsid w:val="0037626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semiHidden/>
    <w:rsid w:val="0037626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376264"/>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376264"/>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376264"/>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376264"/>
    <w:rPr>
      <w:rFonts w:eastAsiaTheme="majorEastAsia" w:cstheme="majorBidi"/>
      <w:i/>
      <w:iCs/>
      <w:color w:val="595959" w:themeColor="text1" w:themeTint="A6"/>
    </w:rPr>
  </w:style>
  <w:style w:type="character" w:customStyle="1" w:styleId="Nagwek7Znak">
    <w:name w:val="Nagłówek 7 Znak"/>
    <w:basedOn w:val="Domylnaczcionkaakapitu"/>
    <w:uiPriority w:val="9"/>
    <w:semiHidden/>
    <w:rsid w:val="00376264"/>
    <w:rPr>
      <w:rFonts w:eastAsiaTheme="majorEastAsia" w:cstheme="majorBidi"/>
      <w:color w:val="595959" w:themeColor="text1" w:themeTint="A6"/>
    </w:rPr>
  </w:style>
  <w:style w:type="character" w:customStyle="1" w:styleId="Nagwek8Znak">
    <w:name w:val="Nagłówek 8 Znak"/>
    <w:basedOn w:val="Domylnaczcionkaakapitu"/>
    <w:uiPriority w:val="9"/>
    <w:semiHidden/>
    <w:rsid w:val="00376264"/>
    <w:rPr>
      <w:rFonts w:eastAsiaTheme="majorEastAsia" w:cstheme="majorBidi"/>
      <w:i/>
      <w:iCs/>
      <w:color w:val="272727" w:themeColor="text1" w:themeTint="D8"/>
    </w:rPr>
  </w:style>
  <w:style w:type="character" w:customStyle="1" w:styleId="Nagwek9Znak">
    <w:name w:val="Nagłówek 9 Znak"/>
    <w:basedOn w:val="Domylnaczcionkaakapitu"/>
    <w:uiPriority w:val="9"/>
    <w:semiHidden/>
    <w:rsid w:val="00376264"/>
    <w:rPr>
      <w:rFonts w:eastAsiaTheme="majorEastAsia" w:cstheme="majorBidi"/>
      <w:color w:val="272727" w:themeColor="text1" w:themeTint="D8"/>
    </w:rPr>
  </w:style>
  <w:style w:type="paragraph" w:styleId="Nagwek">
    <w:name w:val="header"/>
    <w:basedOn w:val="Normalny"/>
    <w:link w:val="NagwekZnak"/>
    <w:uiPriority w:val="99"/>
    <w:unhideWhenUsed/>
    <w:rsid w:val="00DC2F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2F34"/>
  </w:style>
  <w:style w:type="paragraph" w:styleId="Stopka">
    <w:name w:val="footer"/>
    <w:basedOn w:val="Normalny"/>
    <w:link w:val="StopkaZnak"/>
    <w:uiPriority w:val="99"/>
    <w:unhideWhenUsed/>
    <w:rsid w:val="00DC2F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2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b5e84bc-ccb4-4457-85a0-05c2a812f6c1}" enabled="0" method="" siteId="{6b5e84bc-ccb4-4457-85a0-05c2a812f6c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6936</Characters>
  <Application>Microsoft Office Word</Application>
  <DocSecurity>0</DocSecurity>
  <Lines>57</Lines>
  <Paragraphs>16</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2026-07-24T07:59:00Z</dcterms:created>
  <dcterms:modified xsi:type="dcterms:W3CDTF">2026-07-24T08:00:00Z</dcterms:modified>
</cp:coreProperties>
</file>