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7CC758A3" w14:textId="36C373B4" w:rsidR="00AD08C5" w:rsidRPr="004D093B" w:rsidRDefault="00245044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PROJEKT 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A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GO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NR </w:t>
      </w:r>
      <w:r w:rsidR="00C34F0F">
        <w:rPr>
          <w:rFonts w:ascii="Lato" w:hAnsi="Lato"/>
          <w:b/>
          <w:bCs/>
          <w:color w:val="00B0F0"/>
          <w:sz w:val="36"/>
          <w:szCs w:val="36"/>
          <w:u w:val="single"/>
        </w:rPr>
        <w:t>7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9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LIPCA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5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033A85EE" w14:textId="26170AE2" w:rsidR="00245044" w:rsidRDefault="00245044" w:rsidP="00245044">
      <w:pPr>
        <w:spacing w:before="240" w:after="120" w:line="360" w:lineRule="auto"/>
        <w:jc w:val="both"/>
        <w:rPr>
          <w:rFonts w:ascii="Lato" w:hAnsi="Lato"/>
        </w:rPr>
      </w:pPr>
      <w:r w:rsidRPr="00735F08">
        <w:rPr>
          <w:rFonts w:ascii="Lato" w:hAnsi="Lato"/>
        </w:rPr>
        <w:t>Prezentowane podsumowanie projektu obwieszczenia refundacyjnego nr 7</w:t>
      </w:r>
      <w:r>
        <w:rPr>
          <w:rFonts w:ascii="Lato" w:hAnsi="Lato"/>
        </w:rPr>
        <w:t>9</w:t>
      </w:r>
      <w:r w:rsidRPr="00735F08">
        <w:rPr>
          <w:rFonts w:ascii="Lato" w:hAnsi="Lato"/>
        </w:rPr>
        <w:t xml:space="preserve"> </w:t>
      </w:r>
      <w:r w:rsidRPr="00735F08">
        <w:rPr>
          <w:rFonts w:ascii="Lato" w:hAnsi="Lato"/>
          <w:b/>
          <w:bCs/>
        </w:rPr>
        <w:t>nie stanowi jego ostatecznej wersji</w:t>
      </w:r>
      <w:r w:rsidRPr="00735F08">
        <w:rPr>
          <w:rFonts w:ascii="Lato" w:hAnsi="Lato"/>
        </w:rPr>
        <w:t xml:space="preserve">, bowiem nadal trwają prace administracyjne nad </w:t>
      </w:r>
      <w:proofErr w:type="gramStart"/>
      <w:r w:rsidRPr="00735F08">
        <w:rPr>
          <w:rFonts w:ascii="Lato" w:hAnsi="Lato"/>
        </w:rPr>
        <w:t>finalnym</w:t>
      </w:r>
      <w:proofErr w:type="gramEnd"/>
      <w:r w:rsidRPr="00735F08">
        <w:rPr>
          <w:rFonts w:ascii="Lato" w:hAnsi="Lato"/>
        </w:rPr>
        <w:t xml:space="preserve"> wykazem refundowanych leków, środków spożywczych specjalnego przeznaczenia żywieniowego oraz wyrobów medycznych obowiązującym od 1 </w:t>
      </w:r>
      <w:r>
        <w:rPr>
          <w:rFonts w:ascii="Lato" w:hAnsi="Lato"/>
        </w:rPr>
        <w:t>lipca</w:t>
      </w:r>
      <w:r w:rsidRPr="00735F08">
        <w:rPr>
          <w:rFonts w:ascii="Lato" w:hAnsi="Lato"/>
        </w:rPr>
        <w:t xml:space="preserve"> 202</w:t>
      </w:r>
      <w:r>
        <w:rPr>
          <w:rFonts w:ascii="Lato" w:hAnsi="Lato"/>
        </w:rPr>
        <w:t>5</w:t>
      </w:r>
      <w:r w:rsidRPr="00735F08">
        <w:rPr>
          <w:rFonts w:ascii="Lato" w:hAnsi="Lato"/>
        </w:rPr>
        <w:t xml:space="preserve"> r. </w:t>
      </w:r>
    </w:p>
    <w:p w14:paraId="77309E26" w14:textId="1F61B8EA" w:rsidR="00245044" w:rsidRPr="00735F08" w:rsidRDefault="00245044" w:rsidP="00245044">
      <w:pPr>
        <w:spacing w:before="240" w:after="120" w:line="360" w:lineRule="auto"/>
        <w:jc w:val="both"/>
        <w:rPr>
          <w:rFonts w:ascii="Lato" w:hAnsi="Lato"/>
        </w:rPr>
      </w:pPr>
      <w:r w:rsidRPr="00735F08">
        <w:rPr>
          <w:rFonts w:ascii="Lato" w:hAnsi="Lato"/>
        </w:rPr>
        <w:t>Uwzględniając niniejszy projekt, w trzecim wykazie w roku 202</w:t>
      </w:r>
      <w:r>
        <w:rPr>
          <w:rFonts w:ascii="Lato" w:hAnsi="Lato"/>
        </w:rPr>
        <w:t>5</w:t>
      </w:r>
      <w:r w:rsidRPr="00735F08">
        <w:rPr>
          <w:rFonts w:ascii="Lato" w:hAnsi="Lato"/>
        </w:rPr>
        <w:t xml:space="preserve">, finansowaniem ze środków publicznych zostanie objętych </w:t>
      </w:r>
      <w:r w:rsidR="00B978D7">
        <w:rPr>
          <w:rFonts w:ascii="Lato" w:hAnsi="Lato"/>
          <w:b/>
          <w:bCs/>
        </w:rPr>
        <w:t>41</w:t>
      </w:r>
      <w:r w:rsidRPr="00735F08">
        <w:rPr>
          <w:rFonts w:ascii="Lato" w:hAnsi="Lato"/>
          <w:b/>
          <w:bCs/>
        </w:rPr>
        <w:t xml:space="preserve"> nowych cząsteczko – wskazań</w:t>
      </w:r>
      <w:r w:rsidRPr="00735F08">
        <w:rPr>
          <w:rFonts w:ascii="Lato" w:hAnsi="Lato"/>
        </w:rPr>
        <w:t>, w tym:</w:t>
      </w:r>
    </w:p>
    <w:p w14:paraId="1F301BD5" w14:textId="45264676" w:rsidR="00245044" w:rsidRPr="00433870" w:rsidRDefault="00245044" w:rsidP="00245044">
      <w:pPr>
        <w:pStyle w:val="Akapitzlist"/>
        <w:numPr>
          <w:ilvl w:val="0"/>
          <w:numId w:val="27"/>
        </w:numPr>
        <w:spacing w:before="240" w:after="120" w:line="360" w:lineRule="auto"/>
        <w:jc w:val="both"/>
        <w:rPr>
          <w:rFonts w:ascii="Lato" w:hAnsi="Lato"/>
        </w:rPr>
      </w:pPr>
      <w:r w:rsidRPr="00433870">
        <w:rPr>
          <w:rFonts w:ascii="Lato" w:hAnsi="Lato"/>
        </w:rPr>
        <w:t>1</w:t>
      </w:r>
      <w:r>
        <w:rPr>
          <w:rFonts w:ascii="Lato" w:hAnsi="Lato"/>
        </w:rPr>
        <w:t>8</w:t>
      </w:r>
      <w:r w:rsidRPr="00433870">
        <w:rPr>
          <w:rFonts w:ascii="Lato" w:hAnsi="Lato"/>
        </w:rPr>
        <w:t xml:space="preserve"> cząsteczko – wskazań onkologicznych,</w:t>
      </w:r>
    </w:p>
    <w:p w14:paraId="13A886E2" w14:textId="24EEFE07" w:rsidR="00245044" w:rsidRPr="00433870" w:rsidRDefault="00BE36EB" w:rsidP="00245044">
      <w:pPr>
        <w:pStyle w:val="Akapitzlist"/>
        <w:numPr>
          <w:ilvl w:val="0"/>
          <w:numId w:val="27"/>
        </w:num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2</w:t>
      </w:r>
      <w:r w:rsidR="00B978D7">
        <w:rPr>
          <w:rFonts w:ascii="Lato" w:hAnsi="Lato"/>
        </w:rPr>
        <w:t>3</w:t>
      </w:r>
      <w:r w:rsidR="00245044" w:rsidRPr="00433870">
        <w:rPr>
          <w:rFonts w:ascii="Lato" w:hAnsi="Lato"/>
        </w:rPr>
        <w:t xml:space="preserve"> cząsteczko - wskaza</w:t>
      </w:r>
      <w:r>
        <w:rPr>
          <w:rFonts w:ascii="Lato" w:hAnsi="Lato"/>
        </w:rPr>
        <w:t>ń</w:t>
      </w:r>
      <w:r w:rsidR="00245044" w:rsidRPr="00433870">
        <w:rPr>
          <w:rFonts w:ascii="Lato" w:hAnsi="Lato"/>
        </w:rPr>
        <w:t xml:space="preserve"> nieonkologiczn</w:t>
      </w:r>
      <w:r>
        <w:rPr>
          <w:rFonts w:ascii="Lato" w:hAnsi="Lato"/>
        </w:rPr>
        <w:t>ych</w:t>
      </w:r>
      <w:r w:rsidR="00245044" w:rsidRPr="00433870">
        <w:rPr>
          <w:rFonts w:ascii="Lato" w:hAnsi="Lato"/>
        </w:rPr>
        <w:t>,</w:t>
      </w:r>
    </w:p>
    <w:p w14:paraId="434B5109" w14:textId="7EE9CA6E" w:rsidR="00245044" w:rsidRPr="006A36EA" w:rsidRDefault="007B27EE" w:rsidP="00245044">
      <w:pPr>
        <w:pStyle w:val="Akapitzlist"/>
        <w:numPr>
          <w:ilvl w:val="0"/>
          <w:numId w:val="27"/>
        </w:num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12</w:t>
      </w:r>
      <w:r w:rsidR="00245044" w:rsidRPr="00433870">
        <w:rPr>
          <w:rFonts w:ascii="Lato" w:hAnsi="Lato"/>
        </w:rPr>
        <w:t xml:space="preserve"> cząsteczko - wskazań dedykowanych chorobom rzadkim.</w:t>
      </w:r>
    </w:p>
    <w:p w14:paraId="3B70A44E" w14:textId="06C06C1E" w:rsidR="00245044" w:rsidRPr="00433870" w:rsidRDefault="00245044" w:rsidP="00245044">
      <w:pPr>
        <w:spacing w:before="240" w:after="120" w:line="360" w:lineRule="auto"/>
        <w:jc w:val="both"/>
        <w:rPr>
          <w:rFonts w:ascii="Lato" w:hAnsi="Lato"/>
          <w:b/>
          <w:bCs/>
          <w:u w:val="single"/>
        </w:rPr>
      </w:pPr>
      <w:r w:rsidRPr="00433870">
        <w:rPr>
          <w:rFonts w:ascii="Lato" w:hAnsi="Lato"/>
          <w:b/>
          <w:bCs/>
          <w:u w:val="single"/>
        </w:rPr>
        <w:t xml:space="preserve">Z uwagi na trwające prace formalno-prawne oraz merytoryczne </w:t>
      </w:r>
      <w:r>
        <w:rPr>
          <w:rFonts w:ascii="Lato" w:hAnsi="Lato"/>
          <w:b/>
          <w:bCs/>
          <w:u w:val="single"/>
        </w:rPr>
        <w:t>w zakresie opracowania</w:t>
      </w:r>
      <w:r w:rsidRPr="00433870">
        <w:rPr>
          <w:rFonts w:ascii="Lato" w:hAnsi="Lato"/>
          <w:b/>
          <w:bCs/>
          <w:u w:val="single"/>
        </w:rPr>
        <w:t xml:space="preserve"> ostatecznych treści programów lekowych, projekt obwieszczenia refundacyjnego nr 7</w:t>
      </w:r>
      <w:r>
        <w:rPr>
          <w:rFonts w:ascii="Lato" w:hAnsi="Lato"/>
          <w:b/>
          <w:bCs/>
          <w:u w:val="single"/>
        </w:rPr>
        <w:t>9</w:t>
      </w:r>
      <w:r w:rsidRPr="00433870">
        <w:rPr>
          <w:rFonts w:ascii="Lato" w:hAnsi="Lato"/>
          <w:b/>
          <w:bCs/>
          <w:u w:val="single"/>
        </w:rPr>
        <w:t xml:space="preserve"> nie uwzględnia wszystkich nowych terapii</w:t>
      </w:r>
      <w:r>
        <w:rPr>
          <w:rFonts w:ascii="Lato" w:hAnsi="Lato"/>
          <w:b/>
          <w:bCs/>
          <w:u w:val="single"/>
        </w:rPr>
        <w:t>, które ujęto w poniższym zestawieniu.</w:t>
      </w:r>
    </w:p>
    <w:p w14:paraId="6B466A0C" w14:textId="77777777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214"/>
        <w:gridCol w:w="1446"/>
        <w:gridCol w:w="1867"/>
        <w:gridCol w:w="2904"/>
        <w:gridCol w:w="6060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3100BE" w:rsidRPr="004D093B" w14:paraId="60CDF2D4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754372" w:rsidRPr="004D093B" w14:paraId="1F4280B1" w14:textId="77777777" w:rsidTr="006E66E5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95C1602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7E998FDE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D6D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643133CE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D6D8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4E9D3EED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0183E2D1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3BA121CD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okołooperacyjne pacjentów z NDRP, niezależnie od statusu PD-L1. Leczenie obejmuje zastosowanie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pembrolizumabu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neoadjuwantową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chemioterapią opartą na związkach platyny przed zabiegiem chirurgicznym, a następnie kontynuację leczenia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zabiegu chirurgicznym.</w:t>
            </w:r>
          </w:p>
        </w:tc>
      </w:tr>
      <w:tr w:rsidR="00754372" w:rsidRPr="004D093B" w14:paraId="5A345E23" w14:textId="77777777" w:rsidTr="006E66E5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50C0EA4B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2F9A7FF4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D6D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552B87B6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2D6D8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02022351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271197DE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68FBF764" w:rsidR="00754372" w:rsidRPr="002D6D8A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z NDRP po radykalnym leczeniu chirurgicznym i </w:t>
            </w:r>
            <w:proofErr w:type="spellStart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adjuwantowej</w:t>
            </w:r>
            <w:proofErr w:type="spellEnd"/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chemioterapii, u których występuje ekspresja PD-L1 &lt; 50%.</w:t>
            </w:r>
          </w:p>
        </w:tc>
      </w:tr>
      <w:tr w:rsidR="00754372" w:rsidRPr="004D093B" w14:paraId="2F304C7B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13E91485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254E9CB5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Tagrisso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53DE9C60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ozymertynib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1E21F9CD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1878E8AB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794958EB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ozymertynibem</w:t>
            </w:r>
            <w:proofErr w:type="spellEnd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chorych na miejscowo zaawansowanego lub </w:t>
            </w:r>
            <w:r w:rsidR="00BB28F3"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przerzutowego niedrobnokomórkowego</w:t>
            </w: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</w:t>
            </w:r>
            <w:proofErr w:type="gramStart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płuca  z</w:t>
            </w:r>
            <w:proofErr w:type="gramEnd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mutacją w genie EGFR</w:t>
            </w:r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54372" w:rsidRPr="004D093B" w14:paraId="41B567AC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1B64B2FB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4114316B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Enhertu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3EB8BA6D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trastuzumab</w:t>
            </w:r>
            <w:proofErr w:type="spellEnd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derukstekan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4FD4B84B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EAF0723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0BB1A727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nieoperacyjnym lub przerzutowym rakiem piersi z niską ekspresją HER2, po niepowodzeniu wcześniejszego leczenia przeciwnowotworowego.</w:t>
            </w:r>
          </w:p>
        </w:tc>
      </w:tr>
      <w:tr w:rsidR="00754372" w:rsidRPr="004D093B" w14:paraId="4D01F875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E634" w14:textId="2D175436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14D5" w14:textId="7E0DE370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1535" w14:textId="75DB2A3C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9598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6652" w14:textId="73F02506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B.141.FM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404D" w14:textId="77777777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  <w:p w14:paraId="248E505A" w14:textId="77777777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A24" w14:textId="48880A30" w:rsidR="00754372" w:rsidRPr="0039598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</w:t>
            </w:r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raka </w:t>
            </w:r>
            <w:proofErr w:type="spellStart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 w:rsidRPr="0039598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miejscowo zaawansowanego poza możliwościami miejscowego leczenia o charakterze radykalnym lub w stadium uogólnienia u osób dorosłych, u których doszło do progresji choroby podczas lub po uprzedniej chemioterapii opartej na pochodnych platyny.</w:t>
            </w:r>
          </w:p>
        </w:tc>
      </w:tr>
      <w:tr w:rsidR="00754372" w:rsidRPr="004D093B" w14:paraId="6956DF7C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6EE1" w14:textId="599E3DA2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9E6E" w14:textId="109C6BF5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Balversa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C2FE" w14:textId="5BE64642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erdafitynib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6CBB" w14:textId="2C222AEB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B.141.FM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4427" w14:textId="77777777" w:rsidR="00754372" w:rsidRPr="00490A98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  <w:p w14:paraId="000A0F57" w14:textId="77777777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  <w:highlight w:val="yellow"/>
              </w:rPr>
            </w:pP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2212" w14:textId="442A9A59" w:rsidR="00754372" w:rsidRPr="000D2F16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</w:t>
            </w: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III</w:t>
            </w: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raka </w:t>
            </w:r>
            <w:proofErr w:type="spellStart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stadium miejscowego zaawansowania - poza możliwościami miejscowego leczenia o charakterze radykalnym lub w stadium uogólnienia, u pacjentów z podatnymi zmianami genetycznymi FGFR3, u których doszło do progresji choroby podczas lub po uprzedniej terapii inhibitorem receptora programowanej śmierci komórki 1 (PD-1) lub inhibitorem ligandu programowanej śmierci komórki 1 (PD-L1).</w:t>
            </w:r>
          </w:p>
        </w:tc>
      </w:tr>
      <w:tr w:rsidR="00754372" w:rsidRPr="004D093B" w14:paraId="4193F70D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DD8DAE8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12F112E7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56EDE9E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495F1DCD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B.141.FM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2979" w14:textId="77777777" w:rsidR="00754372" w:rsidRPr="00490A98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  <w:p w14:paraId="5DEC9D95" w14:textId="7EEA91F9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0870DEA6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skojarzeniu z </w:t>
            </w:r>
            <w:proofErr w:type="spellStart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cisplatyną</w:t>
            </w:r>
            <w:proofErr w:type="spellEnd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gemcytabiną</w:t>
            </w:r>
            <w:proofErr w:type="spellEnd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</w:t>
            </w:r>
            <w:proofErr w:type="spellStart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 w:rsidRPr="00490A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stadium miejscowego zaawansowania poza możliwościami miejscowego leczenia o charakterze radykalnym lub w stadium uogólnienia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54372" w:rsidRPr="004D093B" w14:paraId="34137848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7573585E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3E03D246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Reblozyl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33A69AE7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luspatercept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199150BC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B.142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76D2F457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sz w:val="18"/>
                <w:szCs w:val="18"/>
              </w:rPr>
              <w:t>LECZENIE DOROSŁYCH PACJENTÓW Z ZESPOŁAMI MIELODYSPLASTYCZNYMI Z TOWARZYSZĄCĄ NIEDOKRWISTOŚCIĄ ZALEŻNĄ OD TRANSFUZJI (ICD-10: D46.0, D46.1)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6650" w14:textId="77777777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</w:t>
            </w:r>
            <w:r w:rsidRPr="00A155A9">
              <w:rPr>
                <w:rFonts w:ascii="Lato" w:hAnsi="Lato" w:cstheme="majorHAnsi"/>
                <w:sz w:val="18"/>
                <w:szCs w:val="18"/>
              </w:rPr>
              <w:t xml:space="preserve">czenie </w:t>
            </w:r>
            <w:proofErr w:type="spellStart"/>
            <w:r w:rsidRPr="00A155A9">
              <w:rPr>
                <w:rFonts w:ascii="Lato" w:hAnsi="Lato" w:cstheme="majorHAnsi"/>
                <w:sz w:val="18"/>
                <w:szCs w:val="18"/>
              </w:rPr>
              <w:t>luspaterceptem</w:t>
            </w:r>
            <w:proofErr w:type="spellEnd"/>
            <w:r w:rsidRPr="00A155A9">
              <w:rPr>
                <w:rFonts w:ascii="Lato" w:hAnsi="Lato" w:cstheme="majorHAnsi"/>
                <w:sz w:val="18"/>
                <w:szCs w:val="18"/>
              </w:rPr>
              <w:t xml:space="preserve"> pacjentów z zespołami </w:t>
            </w:r>
            <w:proofErr w:type="spellStart"/>
            <w:r w:rsidRPr="00A155A9">
              <w:rPr>
                <w:rFonts w:ascii="Lato" w:hAnsi="Lato" w:cstheme="majorHAnsi"/>
                <w:sz w:val="18"/>
                <w:szCs w:val="18"/>
              </w:rPr>
              <w:t>mielodysplastycznymi</w:t>
            </w:r>
            <w:proofErr w:type="spellEnd"/>
            <w:r w:rsidRPr="00A155A9">
              <w:rPr>
                <w:rFonts w:ascii="Lato" w:hAnsi="Lato" w:cstheme="majorHAnsi"/>
                <w:sz w:val="18"/>
                <w:szCs w:val="18"/>
              </w:rPr>
              <w:t xml:space="preserve"> z towarzyszącą niedokrwistością zależną od transfuzji, niezależnie od obecności syderoblastów pierścieniowatych (RS), w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1. </w:t>
            </w:r>
            <w:r w:rsidRPr="00A155A9">
              <w:rPr>
                <w:rFonts w:ascii="Lato" w:hAnsi="Lato" w:cstheme="majorHAnsi"/>
                <w:sz w:val="18"/>
                <w:szCs w:val="18"/>
              </w:rPr>
              <w:t>linii leczenia lub kolejnych liniach leczenia (po niedostatecznej odpowiedzi na leczenie lekami stymulującymi erytropoezę)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. </w:t>
            </w:r>
          </w:p>
          <w:p w14:paraId="15F4A8B7" w14:textId="5411C474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Rozszerzenie aktualnie refundowanego wskazania o </w:t>
            </w:r>
            <w:r w:rsidRPr="00A155A9">
              <w:rPr>
                <w:rFonts w:ascii="Lato" w:hAnsi="Lato" w:cstheme="majorHAnsi"/>
                <w:sz w:val="18"/>
                <w:szCs w:val="18"/>
              </w:rPr>
              <w:t>1. linię leczenia i o populację bez syderoblastów pierścieniowatych od 2. linii.</w:t>
            </w:r>
          </w:p>
          <w:p w14:paraId="75074C9F" w14:textId="65F938BD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B4EE7" w:rsidRPr="004D093B" w14:paraId="7703CA1E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258E" w14:textId="6E9D9616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93EC" w14:textId="12C181A8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47846">
              <w:rPr>
                <w:rFonts w:ascii="Lato" w:hAnsi="Lato" w:cstheme="majorHAnsi"/>
                <w:b/>
                <w:bCs/>
                <w:sz w:val="18"/>
                <w:szCs w:val="18"/>
              </w:rPr>
              <w:t>Qinlock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AEB0" w14:textId="4DEC1CC0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</w:t>
            </w:r>
            <w:r w:rsidRPr="00047846">
              <w:rPr>
                <w:rFonts w:ascii="Lato" w:hAnsi="Lato" w:cstheme="majorHAnsi"/>
                <w:i/>
                <w:iCs/>
                <w:sz w:val="18"/>
                <w:szCs w:val="18"/>
              </w:rPr>
              <w:t>ipret</w:t>
            </w:r>
            <w:r w:rsidR="00245044">
              <w:rPr>
                <w:rFonts w:ascii="Lato" w:hAnsi="Lato" w:cstheme="majorHAnsi"/>
                <w:i/>
                <w:iCs/>
                <w:sz w:val="18"/>
                <w:szCs w:val="18"/>
              </w:rPr>
              <w:t>y</w:t>
            </w:r>
            <w:r w:rsidRPr="00047846">
              <w:rPr>
                <w:rFonts w:ascii="Lato" w:hAnsi="Lato" w:cstheme="majorHAnsi"/>
                <w:i/>
                <w:iCs/>
                <w:sz w:val="18"/>
                <w:szCs w:val="18"/>
              </w:rPr>
              <w:t>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4345" w14:textId="6AB5C843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47846">
              <w:rPr>
                <w:rFonts w:ascii="Lato" w:hAnsi="Lato" w:cstheme="majorHAnsi"/>
                <w:sz w:val="18"/>
                <w:szCs w:val="18"/>
              </w:rPr>
              <w:t>B.172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83C8" w14:textId="5AD09578" w:rsidR="007B4EE7" w:rsidRPr="00A155A9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47846">
              <w:rPr>
                <w:rFonts w:ascii="Lato" w:hAnsi="Lato" w:cstheme="majorHAnsi"/>
                <w:sz w:val="18"/>
                <w:szCs w:val="18"/>
              </w:rPr>
              <w:t>LECZENIE CHORYCH Z ZAAWANSOWANYM NOWOTWOREM PODŚCIELISKOWYM PRZEWODU POKARMOWEGO (GIST) (ICD-10: C15, C16, C17, C18, C20, C48)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8810" w14:textId="4717B80F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04784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eczenie </w:t>
            </w:r>
            <w:proofErr w:type="spellStart"/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>ripretynibem</w:t>
            </w:r>
            <w:proofErr w:type="spellEnd"/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</w:t>
            </w:r>
            <w:r w:rsidRPr="00047846">
              <w:rPr>
                <w:rFonts w:ascii="Lato" w:hAnsi="Lato" w:cstheme="majorHAnsi"/>
                <w:color w:val="000000"/>
                <w:sz w:val="18"/>
                <w:szCs w:val="18"/>
              </w:rPr>
              <w:t>chorych z pierwotnym, zaawansowanym lub nawrotowym nowotworem podścieliskowym przewodu pokarmowego (GIST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których zastosowano </w:t>
            </w:r>
            <w:r w:rsidR="00245044" w:rsidRPr="002450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uprzednio 3 lub więcej inhibitorów kinaz, w tym </w:t>
            </w:r>
            <w:proofErr w:type="spellStart"/>
            <w:r w:rsidR="00245044" w:rsidRPr="00245044">
              <w:rPr>
                <w:rFonts w:ascii="Lato" w:hAnsi="Lato" w:cstheme="majorHAnsi"/>
                <w:color w:val="000000"/>
                <w:sz w:val="18"/>
                <w:szCs w:val="18"/>
              </w:rPr>
              <w:t>imatynibu</w:t>
            </w:r>
            <w:proofErr w:type="spellEnd"/>
            <w:r w:rsidR="00245044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B4EE7" w:rsidRPr="004D093B" w14:paraId="79F6918C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2E93BAE9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6F5C74BE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Daruph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8F798CE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dazatynib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5DADF35F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C.92.c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755E69DC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DASATINIB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21C5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dzieci i młodzieży do lat 18 z nowo rozpoznaną przewlekłą białaczką szpikową z chromosomem Philadelphia w fazie przewlekłej (ang. Philadelphia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chromosome-positive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chronic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myelogenous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leukaemia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chronic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phase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+ CML CP) lub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+ CML CP w przypadku oporności lub nietolerancji na uprzednie leczenie, w tym leczenie </w:t>
            </w:r>
            <w:proofErr w:type="spellStart"/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imatynibem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FEC5E5A" w14:textId="77777777" w:rsidR="007B4EE7" w:rsidRPr="00A155A9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5F6D2A24" w14:textId="29EC9018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B4EE7" w:rsidRPr="004D093B" w14:paraId="59AF2A0C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74764C4A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5D746EE7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Daruph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56CF7759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dazatynib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70226C98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C.92.c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73ACE632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DASATINIB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0A6B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dzieci i młodzieży do lat 18 z nowo rozpoznaną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+ ALL (ostra białaczka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limfoblastyczna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) w skojarzeniu z chemioterapią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E848743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2749EA53" w14:textId="0D45C765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B4EE7" w:rsidRPr="004D093B" w14:paraId="2EAEEA58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7959B64E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0096AA0E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2F067BD5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bosutynib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26C95C52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C.102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15E76EC6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BOSUTINIB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6DDE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refundacyjnego o leczenie dorosłych 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z nowo rozpoznaną przewlekłą białaczką szpikową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(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z udokumentowaną przy rozpoznaniu obecnością genu BCR-ABL1 lub chromosomu Filadelfia (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+)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fazie przewlekłej z wysokim ryzykiem wg ELTS (EUTOS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long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-term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7CDFBEFD" w14:textId="6830CE3A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B4EE7" w:rsidRPr="004D093B" w14:paraId="189EA4B0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01B3BF42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13.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2F4AE0C5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669DC386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nilotynib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4D62E357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C.103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65B85D84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NILO</w:t>
            </w:r>
            <w:r w:rsidRPr="00A155A9">
              <w:rPr>
                <w:rFonts w:ascii="Lato" w:hAnsi="Lato" w:cstheme="majorHAnsi"/>
                <w:color w:val="000000"/>
                <w:sz w:val="18"/>
                <w:szCs w:val="18"/>
              </w:rPr>
              <w:t>TINIB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73C8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refundacyjnego o leczenie dorosłych 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z nowo rozpoznaną przewlekłą białaczką szpikową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(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z udokumentowaną przy rozpoznaniu obecnością genu BCR-ABL1 lub chromosomu Filadelfia (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Ph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+)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fazie przewlekłej z wysokim ryzykiem wg ELTS (EUTOS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long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-term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3720F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0B1AA7A9" w14:textId="2CAEAFE6" w:rsidR="007B4EE7" w:rsidRPr="004D093B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B4EE7" w:rsidRPr="004D093B" w14:paraId="0387623A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660A" w14:textId="67BCF043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14.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7DA6" w14:textId="1E61B4A0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3858" w14:textId="255B14AD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nab-paklitaksel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8F84" w14:textId="3234ED51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C.104.a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850E" w14:textId="3381064E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NAB-PACLITAXEL </w:t>
            </w:r>
            <w:proofErr w:type="gram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I.V</w:t>
            </w:r>
            <w:proofErr w:type="gramEnd"/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BBEB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</w:t>
            </w:r>
            <w:proofErr w:type="spell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przerzutowego raka piersi u dorosłych pacjentów, u których leczenie pierwszego rzutu choroby przerzutowej okazało się nieskuteczne, i u których nie można zastosować standardowej terapii z </w:t>
            </w:r>
            <w:proofErr w:type="spell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antracyklinami</w:t>
            </w:r>
            <w:proofErr w:type="spellEnd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5575C95" w14:textId="43C5218E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  <w:tr w:rsidR="007B4EE7" w:rsidRPr="004D093B" w14:paraId="14F1EF89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F0FB" w14:textId="565A176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15.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0" w14:textId="7CA50FBC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6A9" w14:textId="6359A69E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nab-paklitaksel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BF94" w14:textId="0159D70A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C.104.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76F7" w14:textId="6E9B53BA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NAB-PACLITAXEL </w:t>
            </w:r>
            <w:proofErr w:type="gram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I.V</w:t>
            </w:r>
            <w:proofErr w:type="gramEnd"/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F025" w14:textId="7777777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skojarzeniu z </w:t>
            </w:r>
            <w:proofErr w:type="spellStart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0D2F1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pierwszego rzutu niedrobnokomórkowego raka płuc u dorosłych pacjentów, którzy nie kwalifikują się do radykalnego zabiegu chirurgicznego lub radioterapii.</w:t>
            </w:r>
          </w:p>
          <w:p w14:paraId="0C46D8A5" w14:textId="77F49E45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  <w:tr w:rsidR="007B4EE7" w:rsidRPr="004D093B" w14:paraId="5BF4E956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F528" w14:textId="5940ABD3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16.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F7CB" w14:textId="0DDB3D73" w:rsidR="007B4EE7" w:rsidRPr="00A45B1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C032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Stivarga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EEC1" w14:textId="2ED127EA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</w:t>
            </w:r>
            <w:r w:rsidRPr="009C032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egorafenib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2AF2" w14:textId="04A5285C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C.105.a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4EAC" w14:textId="4F09FC5B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REGORAFENIB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D11A" w14:textId="0040E8C6" w:rsidR="007B4EE7" w:rsidRDefault="007B4EE7" w:rsidP="00BB28F3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przerzutowego raka jelita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grubego, u których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wyczerpano możliwości leczenia dostępnymi lekami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(chemioterapia z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fluouropirymidynami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oksaliplatyną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irynotekanem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, leki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antyangiogenne i anty-EGFR)</w:t>
            </w:r>
          </w:p>
          <w:p w14:paraId="526DDE45" w14:textId="494A8D0A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  <w:tr w:rsidR="007B4EE7" w:rsidRPr="004D093B" w14:paraId="30679186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7423" w14:textId="210C9C97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17.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5223" w14:textId="08DF66AC" w:rsidR="007B4EE7" w:rsidRPr="00A45B1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C032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Stivarga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C004" w14:textId="7D72790C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</w:t>
            </w:r>
            <w:r w:rsidRPr="009C032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egorafenib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0EE1" w14:textId="5B9C600D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C.105.b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94C5" w14:textId="191DBE53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REGORAFENIB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5A79" w14:textId="094B2E3B" w:rsidR="007B4EE7" w:rsidRDefault="007B4EE7" w:rsidP="00BB28F3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raka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wątrobowokomórkowego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2. linii leczenia po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wcześniejszym stosowaniu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sorafenibu</w:t>
            </w:r>
            <w:proofErr w:type="spellEnd"/>
          </w:p>
          <w:p w14:paraId="76031DDE" w14:textId="77777777" w:rsidR="006E6D6B" w:rsidRDefault="006E6D6B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61D12AE6" w14:textId="29FD506D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  <w:tr w:rsidR="007B4EE7" w:rsidRPr="004D093B" w14:paraId="572FDCE4" w14:textId="77777777" w:rsidTr="00754372">
        <w:trPr>
          <w:cantSplit/>
          <w:trHeight w:val="20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7E9A" w14:textId="13D61907" w:rsidR="007B4EE7" w:rsidRDefault="00245044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18.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80E8" w14:textId="17BB1A18" w:rsidR="007B4EE7" w:rsidRPr="00A45B1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8700A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Cyramza</w:t>
            </w:r>
            <w:proofErr w:type="spellEnd"/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2F82" w14:textId="7FE4D2B9" w:rsid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</w:t>
            </w:r>
            <w:r w:rsidRPr="008700A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amucyrumab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3F01" w14:textId="0874F268" w:rsidR="007B4EE7" w:rsidRPr="007B4EE7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B4EE7">
              <w:rPr>
                <w:rFonts w:ascii="Lato" w:hAnsi="Lato" w:cstheme="majorHAnsi"/>
                <w:sz w:val="18"/>
                <w:szCs w:val="18"/>
              </w:rPr>
              <w:t>C.106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ECB7" w14:textId="10D5A9FE" w:rsidR="007B4EE7" w:rsidRPr="007B4EE7" w:rsidRDefault="00BB28F3" w:rsidP="00BB28F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D6D8A">
              <w:rPr>
                <w:rFonts w:ascii="Lato" w:hAnsi="Lato" w:cstheme="majorHAnsi"/>
                <w:sz w:val="18"/>
                <w:szCs w:val="18"/>
              </w:rPr>
              <w:t>RAM</w:t>
            </w:r>
            <w:r w:rsidRPr="002D6D8A">
              <w:rPr>
                <w:rFonts w:ascii="Lato" w:hAnsi="Lato" w:cstheme="majorHAnsi"/>
                <w:color w:val="000000"/>
                <w:sz w:val="18"/>
                <w:szCs w:val="18"/>
              </w:rPr>
              <w:t>UCI</w:t>
            </w:r>
            <w:r w:rsidRPr="00BB28F3">
              <w:rPr>
                <w:rFonts w:ascii="Lato" w:hAnsi="Lato" w:cstheme="majorHAnsi"/>
                <w:color w:val="000000"/>
                <w:sz w:val="18"/>
                <w:szCs w:val="18"/>
              </w:rPr>
              <w:t>RUMAB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4A70" w14:textId="43DE565F" w:rsidR="007B4EE7" w:rsidRDefault="007B4EE7" w:rsidP="00BB28F3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zaawansowanym lub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nieresekcyjnym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rakiem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>wątrobowokomórkowym</w:t>
            </w:r>
            <w:proofErr w:type="spellEnd"/>
            <w:r w:rsidRPr="008700A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2. linii leczenia, po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uprzednim leczeniu </w:t>
            </w:r>
            <w:proofErr w:type="spellStart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sorafenibem</w:t>
            </w:r>
            <w:proofErr w:type="spellEnd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, u których stężenie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alfa </w:t>
            </w:r>
            <w:proofErr w:type="spellStart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fetoproteiny</w:t>
            </w:r>
            <w:proofErr w:type="spellEnd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(AFP) w surowicy wynosi ≥ 400</w:t>
            </w:r>
            <w:r w:rsidR="00BB28F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/ml</w:t>
            </w:r>
          </w:p>
          <w:p w14:paraId="6D8DBCF1" w14:textId="71965DC3" w:rsidR="006E6D6B" w:rsidRDefault="006E6D6B" w:rsidP="007B4EE7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066B2324" w14:textId="1E30867A" w:rsidR="007B4EE7" w:rsidRPr="000D2F16" w:rsidRDefault="007B4EE7" w:rsidP="007B4EE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w ramach trybu określonego w art. </w:t>
            </w:r>
            <w:r w:rsidRPr="007B4EE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30a ustawy o refundacji</w:t>
            </w:r>
            <w:r w:rsidRPr="001F775E">
              <w:rPr>
                <w:rFonts w:ascii="Lato" w:hAnsi="Lato" w:cstheme="majorHAnsi"/>
                <w:color w:val="000000"/>
                <w:sz w:val="18"/>
                <w:szCs w:val="18"/>
              </w:rPr>
              <w:t>, tj. leków o ugruntowanej skuteczności klinicznej.</w:t>
            </w:r>
          </w:p>
        </w:tc>
      </w:tr>
    </w:tbl>
    <w:p w14:paraId="7F9CCF36" w14:textId="51B74B46" w:rsidR="004D093B" w:rsidRDefault="004D093B"/>
    <w:p w14:paraId="7FCF9A29" w14:textId="7E8BC2BD" w:rsidR="004D093B" w:rsidRDefault="004D093B">
      <w:pPr>
        <w:suppressAutoHyphens w:val="0"/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754372" w:rsidRPr="004D093B" w14:paraId="7522F87A" w14:textId="77777777" w:rsidTr="006E66E5">
        <w:trPr>
          <w:cantSplit/>
          <w:trHeight w:val="1082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5FF0B762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3D5C2C07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Briumvi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1411E60E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ublituksymab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0DB374F1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3899EA76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7BF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FC03" w14:textId="77777777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Kolejne przeciwciało monoklonalne anty CD20 dla pacjentów leczonych w ramach I linii leczenia rzutowo-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remisyjnej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postaci SM. </w:t>
            </w:r>
          </w:p>
          <w:p w14:paraId="5797C9BB" w14:textId="0251A322" w:rsidR="00754372" w:rsidRPr="004D093B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podawany dwa razy w roku w postaci infuzji dożylnej.</w:t>
            </w:r>
          </w:p>
        </w:tc>
      </w:tr>
      <w:tr w:rsidR="00754372" w:rsidRPr="004D093B" w14:paraId="20108675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031D" w14:textId="30B81F0B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C7CA" w14:textId="77777777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Ocrevus</w:t>
            </w:r>
            <w:proofErr w:type="spellEnd"/>
          </w:p>
          <w:p w14:paraId="12D8367F" w14:textId="0EF7CECC" w:rsidR="00754372" w:rsidRPr="000C56EF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forma  podskórna</w:t>
            </w:r>
            <w:proofErr w:type="gramEnd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5A24" w14:textId="6D648B62" w:rsidR="00754372" w:rsidRPr="000C56EF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okrelizumab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s.c.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CCCD" w14:textId="454416AD" w:rsidR="00754372" w:rsidRPr="000C56EF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B760" w14:textId="6026D039" w:rsidR="00754372" w:rsidRPr="000C56EF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57BF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11B1" w14:textId="77777777" w:rsidR="00754372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Postać podskórna obecnego już w refundacji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okrelizumabu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postaci dożylnej.</w:t>
            </w:r>
          </w:p>
          <w:p w14:paraId="5E19D516" w14:textId="79269E38" w:rsidR="00754372" w:rsidRPr="00E67904" w:rsidRDefault="00754372" w:rsidP="0075437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dla pacjentów leczonych w ramach I linii leczenia rzutowo-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remisyjnej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postaci SM.</w:t>
            </w:r>
          </w:p>
        </w:tc>
      </w:tr>
      <w:tr w:rsidR="006E66E5" w:rsidRPr="004D093B" w14:paraId="4C158F45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6B33" w14:textId="228BA6D0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2B8A" w14:textId="5F5BB11B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5C6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HyQvia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26D3" w14:textId="5BA64886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r w:rsidRPr="00D75C6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ormaln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a </w:t>
            </w:r>
            <w:r w:rsidRPr="00D75C6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immunoglobulin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a </w:t>
            </w:r>
            <w:r w:rsidRPr="00D75C6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ludzk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3BDA" w14:textId="15393637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F3D0" w14:textId="4EE1A748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75C6B">
              <w:rPr>
                <w:rFonts w:ascii="Lato" w:hAnsi="Lato" w:cstheme="majorHAnsi"/>
                <w:color w:val="000000"/>
                <w:sz w:val="18"/>
                <w:szCs w:val="18"/>
              </w:rPr>
              <w:t>LECZENIE IMMUNOGLOBULINAMI CHORÓB NEUROLOGICZNYCH (ICD-10: G61.8, G62.8, G63.1, G70, G04.8, G73.1, G73.2, G72.4, G61.0, G36.0, M33.0, M33.1, M33.2)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640D" w14:textId="77777777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75C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Preparat immunoglobuliny ludzkiej do podawania podskórnego z zastosowaniem rekombinowanej hialuronidazy (Ig+rHuPH20) jako druga immunoglobulina podskórna u dorosłych, dzieci i młodzieży (0-18 lat) u chorych z przewlekłą zapalną demielinizacyjną polineuropatią (CIDP) jako leczenie podtrzymujące po stabilizacji za pomocą </w:t>
            </w:r>
            <w:proofErr w:type="spellStart"/>
            <w:r w:rsidRPr="00D75C6B">
              <w:rPr>
                <w:rFonts w:ascii="Lato" w:hAnsi="Lato" w:cstheme="majorHAnsi"/>
                <w:color w:val="000000"/>
                <w:sz w:val="18"/>
                <w:szCs w:val="18"/>
              </w:rPr>
              <w:t>IVIg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30A52F55" w14:textId="189A19F9" w:rsidR="006E66E5" w:rsidRPr="00E67904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8110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6E66E5" w:rsidRPr="004D093B" w14:paraId="1DE3967F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6FA6" w14:textId="09EE70A9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E283" w14:textId="6AE3115D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Tavneos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7FB3" w14:textId="241E078F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awakopan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D423" w14:textId="2F14CCA5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21F4" w14:textId="4BFBABA9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UKŁADOWYMI ZAPALENIAMI NACZYŃ (ICD-10: M30.1, M31.3, M31.5, M31.6, M31.7, M31.8)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4472" w14:textId="77777777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 dodany do terapii podstawowej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rytuksymabem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cyklofosfamidem</w:t>
            </w:r>
            <w:proofErr w:type="spellEnd"/>
            <w:r>
              <w:t xml:space="preserve"> </w:t>
            </w:r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leczeniu dorosłych pacjentów z ciężką, czynną </w:t>
            </w:r>
            <w:proofErr w:type="spellStart"/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>ziarniniakowatością</w:t>
            </w:r>
            <w:proofErr w:type="spellEnd"/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zapaleniem naczyń (GPA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</w:t>
            </w:r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>lub mikroskopowym zapaleniem naczyń (MPA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), finansowany w grupie pacjentów szczególnie narażonych na ciężkie działania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glikokortykosteroidów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D973BF3" w14:textId="2C4F78EC" w:rsidR="006E66E5" w:rsidRPr="00E67904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6E66E5" w:rsidRPr="004D093B" w14:paraId="062B2B41" w14:textId="77777777" w:rsidTr="00222ECC">
        <w:trPr>
          <w:cantSplit/>
          <w:trHeight w:val="69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9922" w14:textId="1533D1CB" w:rsidR="006E66E5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9C05" w14:textId="7FDEAF5A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01EF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Ebglyss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5084" w14:textId="1CFA03B0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</w:t>
            </w:r>
            <w:r w:rsidRPr="004962C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ebr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4962C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DCF3" w14:textId="3E6C314F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4000" w14:textId="57AC6A48" w:rsidR="006E66E5" w:rsidRPr="000C56EF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2527" w14:textId="0C762A0B" w:rsidR="006E66E5" w:rsidRPr="00E67904" w:rsidRDefault="006E66E5" w:rsidP="006E66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</w:t>
            </w: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wieku </w:t>
            </w:r>
            <w:r w:rsidRPr="00757E1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12 lat i powyżej </w:t>
            </w:r>
            <w:r w:rsidRPr="004962C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ciężką postacią </w:t>
            </w:r>
            <w:r w:rsidRPr="00757E13">
              <w:rPr>
                <w:rFonts w:ascii="Lato" w:hAnsi="Lato" w:cstheme="majorHAnsi"/>
                <w:color w:val="000000"/>
                <w:sz w:val="18"/>
                <w:szCs w:val="18"/>
              </w:rPr>
              <w:t>atopowego zapalenia skóry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E36EB" w:rsidRPr="004D093B" w14:paraId="46AF0086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C11C" w14:textId="4BA88CE3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402B" w14:textId="18A49981" w:rsidR="00BE36EB" w:rsidRPr="005D6D07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Vyepti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78E2" w14:textId="220D9EE2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eptinezumab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1F9C" w14:textId="57E5971A" w:rsidR="00BE36EB" w:rsidRPr="005D6D07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5A4" w14:textId="064A8536" w:rsidR="00BE36EB" w:rsidRPr="005D6D07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E36EB">
              <w:rPr>
                <w:rFonts w:ascii="Lato" w:hAnsi="Lato" w:cstheme="majorHAnsi"/>
                <w:color w:val="000000"/>
                <w:sz w:val="18"/>
                <w:szCs w:val="18"/>
              </w:rPr>
              <w:t>PROFILAKTYCZNE LECZENIE CHORYCH NA MIGRENĘ PRZEWLEKŁĄ (ICD-10: G43)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729E" w14:textId="64AB1605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</w:t>
            </w:r>
            <w:r w:rsidRPr="00BE36EB">
              <w:rPr>
                <w:rFonts w:ascii="Lato" w:hAnsi="Lato" w:cstheme="majorHAnsi"/>
                <w:color w:val="000000"/>
                <w:sz w:val="18"/>
                <w:szCs w:val="18"/>
              </w:rPr>
              <w:t>rzeciwciało monoklonalne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podania dożylnego</w:t>
            </w:r>
            <w:r w:rsidRPr="00BE36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stanowiące</w:t>
            </w:r>
            <w:r w:rsidRPr="00BE36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alternatywę w II linii leczenia profilaktycznego migreny przewlekłej.</w:t>
            </w:r>
          </w:p>
        </w:tc>
      </w:tr>
      <w:tr w:rsidR="00BE36EB" w:rsidRPr="004D093B" w14:paraId="283ABA79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F81D" w14:textId="3AED5233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3699" w14:textId="2C37B254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D6D0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Litfulo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38B0" w14:textId="6FC0FB2F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</w:t>
            </w:r>
            <w:r w:rsidRPr="005D6D0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itle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9F1D" w14:textId="59711C87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>B.173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FA04" w14:textId="63605AF5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CIĘŻKĄ POSTACIĄ ŁYSIENIA PLACKOWATEGO (ICD-10: L63)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6D88" w14:textId="028E42C6" w:rsidR="00BE36EB" w:rsidRPr="00E67904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ciężkich przypadków łysienia plackowatego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5D6D07">
              <w:rPr>
                <w:rFonts w:ascii="Lato" w:hAnsi="Lato" w:cstheme="majorHAnsi"/>
                <w:color w:val="000000"/>
                <w:sz w:val="18"/>
                <w:szCs w:val="18"/>
              </w:rPr>
              <w:t>u dorosłych i młodzieży w wieku 12 lat i starszej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E36EB" w:rsidRPr="004D093B" w14:paraId="29ACC91F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166" w14:textId="212931F7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E093" w14:textId="26A44A46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Skyclarys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3BEB" w14:textId="07C21695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omaweloksolon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A260" w14:textId="3BE9109F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B.174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2E52" w14:textId="772F69F7" w:rsidR="00BE36EB" w:rsidRPr="000C56EF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5D8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ATAKSJĘ FRIEDREICHA (ICD-10: G11.1)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307F" w14:textId="77777777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5D8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ataksję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Friedreicha</w:t>
            </w:r>
            <w:proofErr w:type="spellEnd"/>
            <w:r w:rsidRPr="006D5D8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ramach nowego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6D5D81">
              <w:rPr>
                <w:rFonts w:ascii="Lato" w:hAnsi="Lato" w:cstheme="majorHAnsi"/>
                <w:color w:val="000000"/>
                <w:sz w:val="18"/>
                <w:szCs w:val="18"/>
              </w:rPr>
              <w:t>programu lekowego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Omaweloksolon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to pierwszy lek zarejestrowany w tej jednostce chorobowej.</w:t>
            </w:r>
          </w:p>
          <w:p w14:paraId="6CE1B36A" w14:textId="55AE7D6F" w:rsidR="00BE36EB" w:rsidRPr="00E67904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5D8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E36EB" w:rsidRPr="004D093B" w14:paraId="5ED86F3E" w14:textId="77777777" w:rsidTr="006E66E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60D25FE7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220EEA8F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2633C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Livmarli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3149449F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2633C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marali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ksybat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62DA44FA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6A951404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ZESPOŁEM ALAGILLE’A (ICD-10 Q44.7)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DE8D" w14:textId="77777777" w:rsidR="00BE36E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świądu w przebiegu </w:t>
            </w:r>
            <w:proofErr w:type="spellStart"/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cholestazy</w:t>
            </w:r>
            <w:proofErr w:type="spellEnd"/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z zespołem </w:t>
            </w:r>
            <w:proofErr w:type="spellStart"/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Alagille'a</w:t>
            </w:r>
            <w:proofErr w:type="spellEnd"/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(ALGS) w wieku 2 miesięcy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633C6">
              <w:rPr>
                <w:rFonts w:ascii="Lato" w:hAnsi="Lato" w:cstheme="majorHAnsi"/>
                <w:color w:val="000000"/>
                <w:sz w:val="18"/>
                <w:szCs w:val="18"/>
              </w:rPr>
              <w:t>i starszych.</w:t>
            </w:r>
          </w:p>
          <w:p w14:paraId="790C1040" w14:textId="1EBFC627" w:rsidR="00BE36EB" w:rsidRPr="004D093B" w:rsidRDefault="00BE36EB" w:rsidP="00BE36E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5D8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32583F93" w:rsidR="004D093B" w:rsidRDefault="004D093B">
      <w:pPr>
        <w:suppressAutoHyphens w:val="0"/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AA3CEA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650BB286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7B89C768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B.14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6FB3EDF2" w:rsidR="00AA3CEA" w:rsidRPr="00AA3CEA" w:rsidRDefault="00AA3CEA" w:rsidP="00AA3CEA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9108A">
              <w:rPr>
                <w:rFonts w:ascii="Lato" w:hAnsi="Lato"/>
                <w:bCs/>
                <w:sz w:val="18"/>
                <w:szCs w:val="18"/>
              </w:rPr>
              <w:t>LECZENIE CHORYCH NA PRZEWLEKŁĄ BIAŁACZKĘ SZPIKOWĄ (ICD-10: C92.1)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3ED8" w14:textId="77777777" w:rsidR="00AA3CEA" w:rsidRDefault="00AA3CEA" w:rsidP="00AA3CE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sz w:val="18"/>
                <w:szCs w:val="18"/>
              </w:rPr>
              <w:t>Zmiany techniczne w programie lekowym polegające na:</w:t>
            </w:r>
          </w:p>
          <w:p w14:paraId="3F428548" w14:textId="77777777" w:rsidR="00AA3CEA" w:rsidRDefault="00AA3CEA" w:rsidP="00AA3CEA">
            <w:pPr>
              <w:pStyle w:val="Akapitzlist"/>
              <w:numPr>
                <w:ilvl w:val="0"/>
                <w:numId w:val="25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D43A14">
              <w:rPr>
                <w:rFonts w:ascii="Lato" w:hAnsi="Lato" w:cstheme="majorHAnsi"/>
                <w:sz w:val="18"/>
                <w:szCs w:val="18"/>
              </w:rPr>
              <w:t xml:space="preserve">wykreśleniu zapisów dotyczących terapii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bosutynibem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i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nilotynibem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w związku ze zmianą kategorii dostępności refundacyjnej dla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bosutynibu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i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nilotynibu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do katalogu chemioterapii, odpowiednio załącznika C.102 i C.103,</w:t>
            </w:r>
          </w:p>
          <w:p w14:paraId="4BC7F39F" w14:textId="6C6A260C" w:rsidR="00AA3CEA" w:rsidRPr="00AA3CEA" w:rsidRDefault="00AA3CEA" w:rsidP="00AA3CEA">
            <w:pPr>
              <w:pStyle w:val="Akapitzlist"/>
              <w:numPr>
                <w:ilvl w:val="0"/>
                <w:numId w:val="25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A3CEA">
              <w:rPr>
                <w:rFonts w:ascii="Lato" w:hAnsi="Lato" w:cstheme="majorHAnsi"/>
                <w:sz w:val="18"/>
                <w:szCs w:val="18"/>
              </w:rPr>
              <w:t xml:space="preserve">dostosowaniu zapisów dla </w:t>
            </w:r>
            <w:proofErr w:type="spellStart"/>
            <w:r w:rsidRPr="00AA3CEA">
              <w:rPr>
                <w:rFonts w:ascii="Lato" w:hAnsi="Lato" w:cstheme="majorHAnsi"/>
                <w:sz w:val="18"/>
                <w:szCs w:val="18"/>
              </w:rPr>
              <w:t>ponatynibu</w:t>
            </w:r>
            <w:proofErr w:type="spellEnd"/>
            <w:r w:rsidRPr="00AA3CEA">
              <w:rPr>
                <w:rFonts w:ascii="Lato" w:hAnsi="Lato" w:cstheme="majorHAnsi"/>
                <w:sz w:val="18"/>
                <w:szCs w:val="18"/>
              </w:rPr>
              <w:t xml:space="preserve"> dotyczących wcześniej stosowanego leczenia, w związku z rozszerzeniem wskazania refundacyjnego dla </w:t>
            </w:r>
            <w:proofErr w:type="spellStart"/>
            <w:r w:rsidRPr="00AA3CEA">
              <w:rPr>
                <w:rFonts w:ascii="Lato" w:hAnsi="Lato" w:cstheme="majorHAnsi"/>
                <w:sz w:val="18"/>
                <w:szCs w:val="18"/>
              </w:rPr>
              <w:t>bosutynibu</w:t>
            </w:r>
            <w:proofErr w:type="spellEnd"/>
            <w:r w:rsidRPr="00AA3CEA">
              <w:rPr>
                <w:rFonts w:ascii="Lato" w:hAnsi="Lato" w:cstheme="majorHAnsi"/>
                <w:sz w:val="18"/>
                <w:szCs w:val="18"/>
              </w:rPr>
              <w:t xml:space="preserve"> i </w:t>
            </w:r>
            <w:proofErr w:type="spellStart"/>
            <w:r w:rsidRPr="00AA3CEA">
              <w:rPr>
                <w:rFonts w:ascii="Lato" w:hAnsi="Lato" w:cstheme="majorHAnsi"/>
                <w:sz w:val="18"/>
                <w:szCs w:val="18"/>
              </w:rPr>
              <w:t>nilotynibu</w:t>
            </w:r>
            <w:proofErr w:type="spellEnd"/>
            <w:r w:rsidRPr="00AA3CEA">
              <w:rPr>
                <w:rFonts w:ascii="Lato" w:hAnsi="Lato" w:cstheme="majorHAnsi"/>
                <w:sz w:val="18"/>
                <w:szCs w:val="18"/>
              </w:rPr>
              <w:t xml:space="preserve"> o 1. linię leczenia. </w:t>
            </w:r>
          </w:p>
        </w:tc>
      </w:tr>
      <w:tr w:rsidR="00AA3CEA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0CCCB48C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5B446783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B.23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6A43E9CC" w:rsidR="00AA3CEA" w:rsidRPr="00AA3CEA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Cs/>
                <w:sz w:val="18"/>
                <w:szCs w:val="18"/>
                <w:lang w:eastAsia="en-US"/>
              </w:rPr>
            </w:pPr>
            <w:r w:rsidRPr="00B2081C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GAUCHERA TYPU I ORAZ TYPU III (ICD-10 E 75.2)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4A6D35D0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Kompleksowa zmiana treści programu lekowego obejmująca wszystkie jego składowe. Główna zmiana dotyczy zniesienia kryterium wiekowego stosowania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welaglucerazy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alfa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u pacjentów poniżej </w:t>
            </w:r>
            <w:r>
              <w:rPr>
                <w:rFonts w:ascii="Lato" w:hAnsi="Lato" w:cstheme="majorHAnsi"/>
                <w:sz w:val="18"/>
                <w:szCs w:val="18"/>
              </w:rPr>
              <w:t>2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r.ż. Dodatkowo wprowadzono liczne zmiany ujednolicające i porządkujące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program lekowy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AA3CEA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2437079F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0F8664FB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B.30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40DDAEE2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AA3CEA">
              <w:rPr>
                <w:rFonts w:ascii="Lato" w:hAnsi="Lato"/>
                <w:bCs/>
                <w:sz w:val="18"/>
                <w:szCs w:val="18"/>
              </w:rPr>
              <w:t>LECZENIE PACJENTÓW PEDIATRYCZNYCH ZE SPASTYCZNOŚCIĄ KOŃCZYN Z UŻYCIEM TOKSYNY BOTULINOWEJ TYPU A (ICD–10: I61, I63, I69, G35, G80, G82, G83, T90, T91)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F3DD" w14:textId="77777777" w:rsidR="00AA3CEA" w:rsidRDefault="00AA3CEA" w:rsidP="00AA3CE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Dodanie alternatywnego sposobu dawkowania dla leku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Botox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(toksyna botulinowa typu A) </w:t>
            </w:r>
            <w:r w:rsidRPr="00191709">
              <w:rPr>
                <w:rFonts w:ascii="Lato" w:hAnsi="Lato" w:cstheme="majorHAnsi"/>
                <w:sz w:val="18"/>
                <w:szCs w:val="18"/>
              </w:rPr>
              <w:t>określ</w:t>
            </w:r>
            <w:r>
              <w:rPr>
                <w:rFonts w:ascii="Lato" w:hAnsi="Lato" w:cstheme="majorHAnsi"/>
                <w:sz w:val="18"/>
                <w:szCs w:val="18"/>
              </w:rPr>
              <w:t>ającego</w:t>
            </w:r>
            <w:r w:rsidRPr="00191709">
              <w:rPr>
                <w:rFonts w:ascii="Lato" w:hAnsi="Lato" w:cstheme="majorHAnsi"/>
                <w:sz w:val="18"/>
                <w:szCs w:val="18"/>
              </w:rPr>
              <w:t xml:space="preserve"> daw</w:t>
            </w:r>
            <w:r>
              <w:rPr>
                <w:rFonts w:ascii="Lato" w:hAnsi="Lato" w:cstheme="majorHAnsi"/>
                <w:sz w:val="18"/>
                <w:szCs w:val="18"/>
              </w:rPr>
              <w:t>kę</w:t>
            </w:r>
            <w:r w:rsidRPr="00191709">
              <w:rPr>
                <w:rFonts w:ascii="Lato" w:hAnsi="Lato" w:cstheme="majorHAnsi"/>
                <w:sz w:val="18"/>
                <w:szCs w:val="18"/>
              </w:rPr>
              <w:t xml:space="preserve"> maksymaln</w:t>
            </w:r>
            <w:r>
              <w:rPr>
                <w:rFonts w:ascii="Lato" w:hAnsi="Lato" w:cstheme="majorHAnsi"/>
                <w:sz w:val="18"/>
                <w:szCs w:val="18"/>
              </w:rPr>
              <w:t>ą</w:t>
            </w:r>
            <w:r w:rsidRPr="00191709">
              <w:rPr>
                <w:rFonts w:ascii="Lato" w:hAnsi="Lato" w:cstheme="majorHAnsi"/>
                <w:sz w:val="18"/>
                <w:szCs w:val="18"/>
              </w:rPr>
              <w:t xml:space="preserve"> na rok leczenia z możliwością zmniejszenia liczby wizyt.</w:t>
            </w:r>
          </w:p>
          <w:p w14:paraId="4FCF84DF" w14:textId="54BA1E01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F87374">
              <w:rPr>
                <w:rFonts w:ascii="Lato" w:hAnsi="Lato" w:cstheme="majorHAnsi"/>
                <w:sz w:val="18"/>
                <w:szCs w:val="18"/>
              </w:rPr>
              <w:t xml:space="preserve">sunięcie testu oceniającego stopień osłabienia siły mięśni kończyny górnej lub dolnej według skali </w:t>
            </w:r>
            <w:proofErr w:type="spellStart"/>
            <w:r w:rsidRPr="00F87374">
              <w:rPr>
                <w:rFonts w:ascii="Lato" w:hAnsi="Lato" w:cstheme="majorHAnsi"/>
                <w:sz w:val="18"/>
                <w:szCs w:val="18"/>
              </w:rPr>
              <w:t>Medical</w:t>
            </w:r>
            <w:proofErr w:type="spellEnd"/>
            <w:r w:rsidRPr="00F8737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F87374">
              <w:rPr>
                <w:rFonts w:ascii="Lato" w:hAnsi="Lato" w:cstheme="majorHAnsi"/>
                <w:sz w:val="18"/>
                <w:szCs w:val="18"/>
              </w:rPr>
              <w:t>Research</w:t>
            </w:r>
            <w:proofErr w:type="spellEnd"/>
            <w:r w:rsidRPr="00F8737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F87374">
              <w:rPr>
                <w:rFonts w:ascii="Lato" w:hAnsi="Lato" w:cstheme="majorHAnsi"/>
                <w:sz w:val="18"/>
                <w:szCs w:val="18"/>
              </w:rPr>
              <w:t>Council</w:t>
            </w:r>
            <w:proofErr w:type="spellEnd"/>
            <w:r w:rsidRPr="00F87374">
              <w:rPr>
                <w:rFonts w:ascii="Lato" w:hAnsi="Lato" w:cstheme="majorHAnsi"/>
                <w:sz w:val="18"/>
                <w:szCs w:val="18"/>
              </w:rPr>
              <w:t xml:space="preserve"> (MRC)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ze względu na </w:t>
            </w:r>
            <w:r w:rsidRPr="00F87374">
              <w:rPr>
                <w:rFonts w:ascii="Lato" w:hAnsi="Lato" w:cstheme="majorHAnsi"/>
                <w:sz w:val="18"/>
                <w:szCs w:val="18"/>
              </w:rPr>
              <w:t>niską wiarygodność wyników testu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u pacjentów pediatrycznych, z którymi są o</w:t>
            </w:r>
            <w:r w:rsidRPr="00F87374">
              <w:rPr>
                <w:rFonts w:ascii="Lato" w:hAnsi="Lato" w:cstheme="majorHAnsi"/>
                <w:sz w:val="18"/>
                <w:szCs w:val="18"/>
              </w:rPr>
              <w:t xml:space="preserve">graniczone możliwości współpracy. </w:t>
            </w:r>
          </w:p>
        </w:tc>
      </w:tr>
      <w:tr w:rsidR="00AA3CEA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30704A09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343C9787" w:rsidR="00AA3CEA" w:rsidRPr="004D093B" w:rsidRDefault="00AA3CEA" w:rsidP="00AA3CE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E910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138DF2E2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E9108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 xml:space="preserve">LECZENIE CHORYCH NA SZPICZAKA </w:t>
            </w: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br/>
            </w:r>
            <w:r w:rsidRPr="00E9108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PLAZMOCYTOWEGO (ICD-10: C90.0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47AB7D9A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w zapisach dotyczących dawkowania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elranatamabu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uwzględniająca dawkowanie zgodnie z zaktualizowaną Charakterystyką Produktu Leczniczego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elranatamabu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tj. dodanie schematu co 4 tygodnie, </w:t>
            </w:r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począwszy od 49. tygodnia leczenia </w:t>
            </w:r>
            <w:proofErr w:type="spellStart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elranatamabem</w:t>
            </w:r>
            <w:proofErr w:type="spellEnd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, u pacjentów, którzy zostali poddani co najmniej 24-tygodniowemu leczeniu w schemacie co dwa tygodnie, i u których utrzymała się odpowiedź na leczenie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A3CEA" w:rsidRPr="004D093B" w14:paraId="1EC37EE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2B9852E3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799A73AB" w:rsidR="00AA3CEA" w:rsidRPr="004D093B" w:rsidRDefault="00AA3CEA" w:rsidP="00AA3CE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B.113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35545711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>LECZENIE PACJENTÓW Z</w:t>
            </w:r>
            <w:r>
              <w:rPr>
                <w:rFonts w:ascii="Lato" w:hAnsi="Lato"/>
                <w:sz w:val="18"/>
                <w:szCs w:val="18"/>
              </w:rPr>
              <w:t xml:space="preserve"> CHOROBAMI NEREK</w:t>
            </w:r>
            <w:r w:rsidRPr="00E50AB6">
              <w:rPr>
                <w:rFonts w:ascii="Lato" w:hAnsi="Lato"/>
                <w:sz w:val="18"/>
                <w:szCs w:val="18"/>
              </w:rPr>
              <w:t xml:space="preserve"> (ICD-10</w:t>
            </w:r>
            <w:r>
              <w:rPr>
                <w:rFonts w:ascii="Lato" w:hAnsi="Lato"/>
                <w:sz w:val="18"/>
                <w:szCs w:val="18"/>
              </w:rPr>
              <w:t>: N18)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7F9CE909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Modyfikacja zapisów programu lekowego w celu uproszczenia kryteriów kwalifikacji do programu oraz redukcji ilości i stopnia zaawansowania badań wykonywanych przy kwalifikacji i monitorowaniu leczenia. Wprowadzenie 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>liczn</w:t>
            </w:r>
            <w:r>
              <w:rPr>
                <w:rFonts w:ascii="Lato" w:hAnsi="Lato" w:cstheme="majorHAnsi"/>
                <w:sz w:val="18"/>
                <w:szCs w:val="18"/>
              </w:rPr>
              <w:t>ych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zmian ujednolicając</w:t>
            </w:r>
            <w:r>
              <w:rPr>
                <w:rFonts w:ascii="Lato" w:hAnsi="Lato" w:cstheme="majorHAnsi"/>
                <w:sz w:val="18"/>
                <w:szCs w:val="18"/>
              </w:rPr>
              <w:t>ych</w:t>
            </w: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i porządkując</w:t>
            </w:r>
            <w:r>
              <w:rPr>
                <w:rFonts w:ascii="Lato" w:hAnsi="Lato" w:cstheme="majorHAnsi"/>
                <w:sz w:val="18"/>
                <w:szCs w:val="18"/>
              </w:rPr>
              <w:t>ych.</w:t>
            </w:r>
          </w:p>
        </w:tc>
      </w:tr>
      <w:tr w:rsidR="00AA3CEA" w:rsidRPr="004D093B" w14:paraId="760505A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48C8FCF6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1A4F182" w:rsidR="00AA3CEA" w:rsidRPr="004D093B" w:rsidRDefault="00AA3CEA" w:rsidP="00AA3CE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B.115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6FD1F026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9149F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ZAAWANSOWANE POSTACIE MASTOCYTOZY UKŁADOWEJ (ICD-10: C96.2, C94.3, D47.0)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DF88" w14:textId="77777777" w:rsidR="00AA3CEA" w:rsidRDefault="00AA3CEA" w:rsidP="001A60BB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nazwy programu lekowego z dotychczasowej </w:t>
            </w:r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„Leczenie agresywnej </w:t>
            </w:r>
            <w:proofErr w:type="spellStart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mastocytozy</w:t>
            </w:r>
            <w:proofErr w:type="spellEnd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układowej, </w:t>
            </w:r>
            <w:proofErr w:type="spellStart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mastocytozy</w:t>
            </w:r>
            <w:proofErr w:type="spellEnd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układowej z współistniejącym nowotworem układu krwiotwórczego oraz białaczki </w:t>
            </w:r>
            <w:proofErr w:type="spellStart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>mastocytarnej</w:t>
            </w:r>
            <w:proofErr w:type="spellEnd"/>
            <w:r w:rsidRPr="00E914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(ICD-10: C96.2, C94.3, D47.9)”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„</w:t>
            </w:r>
            <w:r w:rsidRPr="00E9149F">
              <w:rPr>
                <w:rFonts w:ascii="Lato" w:hAnsi="Lato" w:cstheme="majorHAnsi"/>
                <w:sz w:val="18"/>
                <w:szCs w:val="18"/>
              </w:rPr>
              <w:t xml:space="preserve">Leczenie chorych na zaawansowane postacie </w:t>
            </w:r>
            <w:proofErr w:type="spellStart"/>
            <w:r w:rsidRPr="00E9149F">
              <w:rPr>
                <w:rFonts w:ascii="Lato" w:hAnsi="Lato" w:cstheme="majorHAnsi"/>
                <w:sz w:val="18"/>
                <w:szCs w:val="18"/>
              </w:rPr>
              <w:t>mastocytozy</w:t>
            </w:r>
            <w:proofErr w:type="spellEnd"/>
            <w:r w:rsidRPr="00E9149F">
              <w:rPr>
                <w:rFonts w:ascii="Lato" w:hAnsi="Lato" w:cstheme="majorHAnsi"/>
                <w:sz w:val="18"/>
                <w:szCs w:val="18"/>
              </w:rPr>
              <w:t xml:space="preserve"> układowej (ICD-10: C96.2, C94.3, D47.0)”</w:t>
            </w:r>
            <w:r>
              <w:rPr>
                <w:rFonts w:ascii="Lato" w:hAnsi="Lato" w:cstheme="majorHAnsi"/>
                <w:sz w:val="18"/>
                <w:szCs w:val="18"/>
              </w:rPr>
              <w:t>, w tym zamiana kodu ICD-10 wskazanego w nazwie programu lekowego z D47.9 na D.47.0. Z</w:t>
            </w:r>
            <w:r w:rsidRPr="00E9149F">
              <w:rPr>
                <w:rFonts w:ascii="Lato" w:hAnsi="Lato" w:cstheme="majorHAnsi"/>
                <w:sz w:val="18"/>
                <w:szCs w:val="18"/>
              </w:rPr>
              <w:t>amiana ta nie wpływa na zakres wskazań refundacyjnych dla terapii refundowanych w programie, bowiem bez zmian w treści programu pozostaje kryterium kwalifikacyjne dotyczące rozpoznania ASM, SM-AHN lub MCL – zgodnie z aktualnymi kryteriami WHO. W przypadku pacjentów dotychczas zakwalifikowanych do programu lekowego z rozpoznaniem ICD-10: D47.9, w opisie programu lekowego dodano wyjaśnienie, iż będą oni mogli kontynuować leczenie w programie lekowym do czasu podjęcia przez lekarza prowadzącego decyzji o wyłączeniu świadczeniobiorcy z programu, zgodnie z kryteriami wyłączenia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10EA5CD2" w14:textId="77777777" w:rsidR="00AA3CEA" w:rsidRPr="00D43A14" w:rsidRDefault="00AA3CEA" w:rsidP="00C05070">
            <w:pPr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D43A14">
              <w:rPr>
                <w:rFonts w:ascii="Lato" w:hAnsi="Lato" w:cstheme="majorHAnsi"/>
                <w:sz w:val="18"/>
                <w:szCs w:val="18"/>
              </w:rPr>
              <w:t xml:space="preserve">Zmiana w polskim nazewnictwie dla podtypów zaawansowanych postaci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mastocytozy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układowej: SM-AHN i MCL, tj.:</w:t>
            </w:r>
          </w:p>
          <w:p w14:paraId="6BF219AD" w14:textId="77777777" w:rsidR="00C05070" w:rsidRDefault="00AA3CEA" w:rsidP="00C0507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D43A14">
              <w:rPr>
                <w:rFonts w:ascii="Lato" w:hAnsi="Lato" w:cstheme="majorHAnsi"/>
                <w:sz w:val="18"/>
                <w:szCs w:val="18"/>
              </w:rPr>
              <w:t xml:space="preserve">SM-AHN (ang.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systemic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mastocytosis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with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associated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hematological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D43A14">
              <w:rPr>
                <w:rFonts w:ascii="Lato" w:hAnsi="Lato" w:cstheme="majorHAnsi"/>
                <w:sz w:val="18"/>
                <w:szCs w:val="18"/>
              </w:rPr>
              <w:t>neoplasm</w:t>
            </w:r>
            <w:proofErr w:type="spellEnd"/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– SM-AHN) z </w:t>
            </w:r>
            <w:proofErr w:type="spellStart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>mastocytoza</w:t>
            </w:r>
            <w:proofErr w:type="spellEnd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układowa z współistniejącym nowotworem układu krwiotwórczego</w:t>
            </w:r>
            <w:r w:rsidRPr="00D43A14">
              <w:rPr>
                <w:rFonts w:ascii="Lato" w:hAnsi="Lato" w:cstheme="majorHAnsi"/>
                <w:sz w:val="18"/>
                <w:szCs w:val="18"/>
              </w:rPr>
              <w:t xml:space="preserve"> na </w:t>
            </w:r>
            <w:proofErr w:type="spellStart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>mastocytoza</w:t>
            </w:r>
            <w:proofErr w:type="spellEnd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układowa ze współistniejącym nowotworem układu </w:t>
            </w:r>
            <w:proofErr w:type="spellStart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>mieloidalnego</w:t>
            </w:r>
            <w:proofErr w:type="spellEnd"/>
            <w:r w:rsidRPr="00D43A1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lub chłonnego</w:t>
            </w:r>
            <w:r w:rsidRPr="00D43A14">
              <w:rPr>
                <w:rFonts w:ascii="Lato" w:hAnsi="Lato" w:cstheme="majorHAnsi"/>
                <w:sz w:val="18"/>
                <w:szCs w:val="18"/>
              </w:rPr>
              <w:t>,</w:t>
            </w:r>
          </w:p>
          <w:p w14:paraId="29AD3CDF" w14:textId="278D1F2F" w:rsidR="00AA3CEA" w:rsidRPr="00C05070" w:rsidRDefault="00AA3CEA" w:rsidP="00C0507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C05070">
              <w:rPr>
                <w:rFonts w:ascii="Lato" w:hAnsi="Lato" w:cstheme="majorHAnsi"/>
                <w:sz w:val="18"/>
                <w:szCs w:val="18"/>
              </w:rPr>
              <w:t xml:space="preserve">MCL (ang. </w:t>
            </w:r>
            <w:proofErr w:type="spellStart"/>
            <w:r w:rsidRPr="00C05070">
              <w:rPr>
                <w:rFonts w:ascii="Lato" w:hAnsi="Lato" w:cstheme="majorHAnsi"/>
                <w:sz w:val="18"/>
                <w:szCs w:val="18"/>
              </w:rPr>
              <w:t>mast</w:t>
            </w:r>
            <w:proofErr w:type="spellEnd"/>
            <w:r w:rsidRPr="00C0507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C05070">
              <w:rPr>
                <w:rFonts w:ascii="Lato" w:hAnsi="Lato" w:cstheme="majorHAnsi"/>
                <w:sz w:val="18"/>
                <w:szCs w:val="18"/>
              </w:rPr>
              <w:t>cell</w:t>
            </w:r>
            <w:proofErr w:type="spellEnd"/>
            <w:r w:rsidRPr="00C05070">
              <w:rPr>
                <w:rFonts w:ascii="Lato" w:hAnsi="Lato" w:cstheme="majorHAnsi"/>
                <w:sz w:val="18"/>
                <w:szCs w:val="18"/>
              </w:rPr>
              <w:t xml:space="preserve"> leukemia – MCL) z </w:t>
            </w:r>
            <w:r w:rsidRPr="00C05070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białaczka </w:t>
            </w:r>
            <w:proofErr w:type="spellStart"/>
            <w:r w:rsidRPr="00C05070">
              <w:rPr>
                <w:rFonts w:ascii="Lato" w:hAnsi="Lato" w:cstheme="majorHAnsi"/>
                <w:i/>
                <w:iCs/>
                <w:sz w:val="18"/>
                <w:szCs w:val="18"/>
              </w:rPr>
              <w:t>mastocytarna</w:t>
            </w:r>
            <w:proofErr w:type="spellEnd"/>
            <w:r w:rsidRPr="00C05070">
              <w:rPr>
                <w:rFonts w:ascii="Lato" w:hAnsi="Lato" w:cstheme="majorHAnsi"/>
                <w:sz w:val="18"/>
                <w:szCs w:val="18"/>
              </w:rPr>
              <w:t xml:space="preserve"> na </w:t>
            </w:r>
            <w:r w:rsidRPr="00C05070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białaczka </w:t>
            </w:r>
            <w:proofErr w:type="spellStart"/>
            <w:r w:rsidRPr="00C05070">
              <w:rPr>
                <w:rFonts w:ascii="Lato" w:hAnsi="Lato" w:cstheme="majorHAnsi"/>
                <w:i/>
                <w:iCs/>
                <w:sz w:val="18"/>
                <w:szCs w:val="18"/>
              </w:rPr>
              <w:t>mastocytowa</w:t>
            </w:r>
            <w:proofErr w:type="spellEnd"/>
            <w:r w:rsidRPr="00C05070">
              <w:rPr>
                <w:rFonts w:ascii="Lato" w:hAnsi="Lato" w:cstheme="majorHAnsi"/>
                <w:sz w:val="18"/>
                <w:szCs w:val="18"/>
              </w:rPr>
              <w:t xml:space="preserve">. </w:t>
            </w:r>
          </w:p>
        </w:tc>
      </w:tr>
      <w:tr w:rsidR="00AA3CEA" w:rsidRPr="004D093B" w14:paraId="51A86B5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6AF4053B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BB58" w14:textId="2EEE7D90" w:rsidR="00AA3CEA" w:rsidRPr="004D093B" w:rsidRDefault="00AA3CEA" w:rsidP="00AA3CE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9108A"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  <w:t>B.146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0E53B7AF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0B5C85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MAKROGLOBULINEMIĘ WALDENSTRÖMA (ICD-10: C88.0</w:t>
            </w: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7B28" w14:textId="41CFE640" w:rsidR="00AA3CEA" w:rsidRDefault="00AA3CEA" w:rsidP="00C05070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Zmniejszenie częstotliwości wykonywania badań laboratoryjnych po 6 miesiącach terapii z raz na miesiąc na raz na 3 miesiące.</w:t>
            </w:r>
          </w:p>
          <w:p w14:paraId="59138B6A" w14:textId="5FC10E5F" w:rsidR="00AA3CEA" w:rsidRDefault="00AA3CEA" w:rsidP="00C05070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Wykreślenie z programu konieczności wykonywania badania AST.</w:t>
            </w:r>
          </w:p>
          <w:p w14:paraId="08AF8C5C" w14:textId="0C514CA6" w:rsidR="00AA3CEA" w:rsidRPr="004D093B" w:rsidRDefault="00AA3CEA" w:rsidP="00C05070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>odyfikacj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punkcie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dotyczącym monitorowania skuteczności leczenia, tj. wykonywanie co 3 miesiące oznacz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nia całkowitego </w:t>
            </w:r>
            <w:proofErr w:type="spellStart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>IgM</w:t>
            </w:r>
            <w:proofErr w:type="spellEnd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surowicy, a nie jak dotychczas – oznaczenie stężenia monoklonalnego białka </w:t>
            </w:r>
            <w:proofErr w:type="spellStart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>IgM</w:t>
            </w:r>
            <w:proofErr w:type="spellEnd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godnie z aktualnymi zaleceniami NCCN nie ma konieczności, aby oznaczać </w:t>
            </w:r>
            <w:proofErr w:type="spellStart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>IgM</w:t>
            </w:r>
            <w:proofErr w:type="spellEnd"/>
            <w:r w:rsidRPr="00483CA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monoklonalną w surowicy, a badanie rekomenduje się obecnie jedynie do potwierdzenia całkowitej remisji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A3CEA" w:rsidRPr="004D093B" w14:paraId="6B250BB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0ABA" w14:textId="0B221428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7AE1" w14:textId="4ED64F8F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B59A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B.158.FM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E694" w14:textId="0EB70369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8B59AF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Z NIEDOBOREM KWAŚNEJ SFINGOMIELINAZY (ASMD) TYPU A/B i B (ICD-10: E75.241, E75.244)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7144" w14:textId="5D067475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Rezygnacja z wymagalności spełniania kryterium </w:t>
            </w:r>
            <w:r w:rsidRPr="008B59A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wzrost Z-</w:t>
            </w:r>
            <w:proofErr w:type="spellStart"/>
            <w:r w:rsidRPr="008B59A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score</w:t>
            </w:r>
            <w:proofErr w:type="spellEnd"/>
            <w:r w:rsidRPr="008B59A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≤−</w:t>
            </w:r>
            <w:r w:rsidRPr="008B59A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 </w:t>
            </w:r>
            <w:r w:rsidRPr="008B59A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populacji pacjentów pediatrycznych. Zmiany porządkowe w badaniach </w:t>
            </w:r>
            <w:r w:rsidR="00C05070">
              <w:rPr>
                <w:rFonts w:ascii="Lato" w:hAnsi="Lato" w:cstheme="majorHAnsi"/>
                <w:color w:val="000000"/>
                <w:sz w:val="18"/>
                <w:szCs w:val="18"/>
              </w:rPr>
              <w:t>wykonywanych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ramach programu</w:t>
            </w:r>
            <w:r w:rsidR="00C0507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lekowego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A3CEA" w:rsidRPr="004D093B" w14:paraId="5A920EB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EAB3" w14:textId="0A8453FF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BDED" w14:textId="12FE28E8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C.91.c.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1254" w14:textId="3B73F8DD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A3CEA">
              <w:rPr>
                <w:rFonts w:ascii="Lato" w:hAnsi="Lato"/>
                <w:bCs/>
                <w:sz w:val="18"/>
                <w:szCs w:val="18"/>
              </w:rPr>
              <w:t>EVEROLIMUS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E334" w14:textId="5BAE9806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0A6675">
              <w:rPr>
                <w:rFonts w:ascii="Lato" w:hAnsi="Lato" w:cstheme="majorHAnsi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ewerolimusu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z programu lekowego B.</w:t>
            </w:r>
            <w:r>
              <w:rPr>
                <w:rFonts w:ascii="Lato" w:hAnsi="Lato" w:cstheme="majorHAnsi"/>
                <w:sz w:val="18"/>
                <w:szCs w:val="18"/>
              </w:rPr>
              <w:t>89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. do katalogu chemioterapii C.</w:t>
            </w:r>
            <w:r>
              <w:rPr>
                <w:rFonts w:ascii="Lato" w:hAnsi="Lato" w:cstheme="majorHAnsi"/>
                <w:sz w:val="18"/>
                <w:szCs w:val="18"/>
              </w:rPr>
              <w:t>91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sz w:val="18"/>
                <w:szCs w:val="18"/>
              </w:rPr>
              <w:t>c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(dotyczy 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>leczeni</w:t>
            </w:r>
            <w:r>
              <w:rPr>
                <w:rFonts w:ascii="Lato" w:hAnsi="Lato" w:cstheme="majorHAnsi"/>
                <w:sz w:val="18"/>
                <w:szCs w:val="18"/>
              </w:rPr>
              <w:t>a</w:t>
            </w:r>
            <w:r w:rsidRPr="000A6675">
              <w:rPr>
                <w:rFonts w:ascii="Lato" w:hAnsi="Lato" w:cstheme="majorHAnsi"/>
                <w:sz w:val="18"/>
                <w:szCs w:val="18"/>
              </w:rPr>
              <w:t xml:space="preserve"> dzieci, młodzieży i dorosłych chorych na stwardnienie guzowate z niekwalifikującymi się do leczenia operacyjnego guzami podwyściółkowymi olbrzymiokomórkowymi</w:t>
            </w:r>
            <w:r>
              <w:rPr>
                <w:rFonts w:ascii="Lato" w:hAnsi="Lato" w:cstheme="majorHAnsi"/>
                <w:sz w:val="18"/>
                <w:szCs w:val="18"/>
              </w:rPr>
              <w:t>, SEGA)</w:t>
            </w:r>
            <w:r w:rsidR="00C05070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AA3CEA" w:rsidRPr="004D093B" w14:paraId="21957B68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7D1C" w14:textId="6B80F6D1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68B9" w14:textId="222A8841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5AF9" w14:textId="54B9F7CF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0B5C85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BOSUTINIB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CD29" w14:textId="7D64A400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bosutynibu</w:t>
            </w:r>
            <w:proofErr w:type="spellEnd"/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>4. do katalogu chemioterapii C.10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</w:tr>
      <w:tr w:rsidR="00AA3CEA" w:rsidRPr="004D093B" w14:paraId="0E91804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12A1" w14:textId="1F25EFD1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A021" w14:textId="18F4921B" w:rsidR="00AA3CEA" w:rsidRPr="004D093B" w:rsidRDefault="00AA3CEA" w:rsidP="00AA3CE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b/>
                <w:bCs/>
                <w:sz w:val="18"/>
                <w:szCs w:val="18"/>
              </w:rPr>
              <w:t>C.103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CC5B" w14:textId="7995E441" w:rsidR="00AA3CEA" w:rsidRPr="004D093B" w:rsidRDefault="00AA3CEA" w:rsidP="00AA3CE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NILOTINIB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AC01" w14:textId="066298A3" w:rsidR="00AA3CEA" w:rsidRPr="004D093B" w:rsidRDefault="00AA3CEA" w:rsidP="00AA3CE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nilotynibu</w:t>
            </w:r>
            <w:proofErr w:type="spellEnd"/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Pr="00E9108A">
              <w:rPr>
                <w:rFonts w:ascii="Lato" w:hAnsi="Lato" w:cstheme="majorHAnsi"/>
                <w:color w:val="000000"/>
                <w:sz w:val="18"/>
                <w:szCs w:val="18"/>
              </w:rPr>
              <w:t>4. do katalogu chemioterapii C.10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</w:tr>
    </w:tbl>
    <w:p w14:paraId="052EAE3A" w14:textId="79CC6C00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FA4AA9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3D2BB69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3580AE91" w:rsidR="00FA4AA9" w:rsidRPr="00CD2511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Actimodan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24B5BD2E" w:rsidR="00FA4AA9" w:rsidRPr="00CD2511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modafinil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6B2752A5" w:rsidR="00FA4AA9" w:rsidRPr="00CD2511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chorujących na narkolepsję lub narkolepsję z katapleksją potwierdzoną badaniem polisomnograficznym i wielokrotnym testem latencji snu w ośrodku medycyny snu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C3D9" w14:textId="77777777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Druga opcja terapeutyczna</w:t>
            </w:r>
            <w:r w:rsidR="002A6B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obok </w:t>
            </w:r>
            <w:proofErr w:type="spellStart"/>
            <w:r w:rsidRPr="00CD25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pitolisantu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dla </w:t>
            </w:r>
            <w:r w:rsidRPr="002A6B69">
              <w:rPr>
                <w:rFonts w:ascii="Lato" w:hAnsi="Lato" w:cstheme="majorHAnsi"/>
                <w:color w:val="000000"/>
                <w:sz w:val="18"/>
                <w:szCs w:val="18"/>
              </w:rPr>
              <w:t>pacjentów z rzadkim schorzeniem jakim</w:t>
            </w: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narkolepsja. </w:t>
            </w:r>
          </w:p>
          <w:p w14:paraId="45CC0182" w14:textId="25663DB1" w:rsidR="006E6D6B" w:rsidRPr="00CD2511" w:rsidRDefault="006E6D6B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A4AA9" w:rsidRPr="004D093B" w14:paraId="7AB8894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CB77" w14:textId="3D89BA09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62AE" w14:textId="1B99CFA9" w:rsidR="00FA4AA9" w:rsidRPr="00673643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36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Bellix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8DDF" w14:textId="76C04B67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</w:t>
            </w:r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ilast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63A1" w14:textId="4A19936C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e  wszystkich</w:t>
            </w:r>
            <w:proofErr w:type="gram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D322" w14:textId="52396A61" w:rsidR="00FA4AA9" w:rsidRPr="00673643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Objawowe leczenie alergicznego zapalenia błony śluzowej nosa i spojówek (sezonowego i całorocznego) oraz pokrzywki. Produkt leczniczy </w:t>
            </w:r>
            <w:proofErr w:type="spellStart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Bellix</w:t>
            </w:r>
            <w:proofErr w:type="spell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wskazany do stosowania u dorosłych i młodzieży (w wieku 12 lat i powyżej).</w:t>
            </w:r>
          </w:p>
        </w:tc>
      </w:tr>
      <w:tr w:rsidR="00FA4AA9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4D5AF636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74B8F7E1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36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Grazax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51C95A28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tandaryzowany wyciąg </w:t>
            </w:r>
            <w:proofErr w:type="spellStart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alergenowy</w:t>
            </w:r>
            <w:proofErr w:type="spellEnd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pyłku trawy, tymotki łąkowej (</w:t>
            </w:r>
            <w:proofErr w:type="spellStart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Phleum</w:t>
            </w:r>
            <w:proofErr w:type="spellEnd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pratense</w:t>
            </w:r>
            <w:proofErr w:type="spellEnd"/>
            <w:r w:rsidRPr="006736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742C945A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modyfikujące nieżytu nosa i zapalenia spojówek, wywołanego przez pyłki traw, dzieci od ukończonego 5. roku życia do ukończonego 18. roku życia, z klinicznymi objawami i rozpoznanym dodatnim wynikiem skórnych testów punktowych i (lub) testu w kierunku swoistej immunoglobuliny </w:t>
            </w:r>
            <w:proofErr w:type="spellStart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IgE</w:t>
            </w:r>
            <w:proofErr w:type="spell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pyłki traw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4686D319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Pojedynczy </w:t>
            </w:r>
            <w:proofErr w:type="spellStart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alergiod</w:t>
            </w:r>
            <w:proofErr w:type="spell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pyłku trawy z tymotki łąkowej w postaci </w:t>
            </w:r>
            <w:proofErr w:type="spellStart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>liofilizatu</w:t>
            </w:r>
            <w:proofErr w:type="spellEnd"/>
            <w:r w:rsidRPr="0067364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doustnego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A4AA9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9D420D4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279F2709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5D549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EpiPen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Jr.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7857200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epinefryna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225A2F60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022" w14:textId="77777777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leczeniu nagłych przypadków ciężkich reakcji alergicznych (anafilaksji) na użądlenia lub ukąszenia owadów, pożywienie, leki lub inne alergeny, a także w anafilaksji idiopatycznej lub wywołanej wysiłkiem fizycznym.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  <w:p w14:paraId="41D464AF" w14:textId="283409C5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 stosowania u d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zieci o masie ciała od 15 kg do 30 kg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A4AA9" w:rsidRPr="004D093B" w14:paraId="594B016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3C33" w14:textId="44959224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742D" w14:textId="27BA6C51" w:rsidR="00FA4AA9" w:rsidRPr="005D549E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D549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EpiPen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Senior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C1BC" w14:textId="2B8B74E5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epinefryna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059D" w14:textId="598C16E3" w:rsidR="00FA4AA9" w:rsidRPr="004D093B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D6D6" w14:textId="77777777" w:rsidR="00FA4AA9" w:rsidRDefault="00FA4AA9" w:rsidP="00FA4AA9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W leczeniu nagłych przypadków ciężkich reakcji alergicznych (anafilaksji) na użądlenia lub ukąszenia owadów, pożywienie, leki lub inne alergeny, a także w anafilaksji idiopatycznej lub wywołanej wysiłkiem fizycznym.</w:t>
            </w:r>
            <w:r w:rsidRPr="00DF2161">
              <w:rPr>
                <w:rFonts w:ascii="Lato" w:hAnsi="Lato"/>
                <w:sz w:val="18"/>
                <w:szCs w:val="18"/>
              </w:rPr>
              <w:t xml:space="preserve"> </w:t>
            </w:r>
          </w:p>
          <w:p w14:paraId="33803A58" w14:textId="757722D2" w:rsidR="00FA4AA9" w:rsidRPr="00DF2161" w:rsidRDefault="00FA4AA9" w:rsidP="00FA4AA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DF2161">
              <w:rPr>
                <w:rFonts w:ascii="Lato" w:hAnsi="Lato"/>
                <w:sz w:val="18"/>
                <w:szCs w:val="18"/>
              </w:rPr>
              <w:t>Do stosowania u d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zieci i młodzież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y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 masie ciała powyżej 30 kg oraz doro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słych</w:t>
            </w:r>
            <w:r w:rsidRPr="00DF2161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9E5A8D" w:rsidRPr="004D093B" w14:paraId="2E19FC56" w14:textId="77777777" w:rsidTr="003A4E9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6726" w14:textId="3B78C593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bookmarkStart w:id="2" w:name="_Hlk200631688"/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0E10" w14:textId="4C4FFA74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312A" w14:textId="749B9A59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97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D853" w14:textId="3FB7CF46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Cukrzyca typu 2, u </w:t>
            </w:r>
            <w:r w:rsidRPr="007E57CC">
              <w:rPr>
                <w:rFonts w:ascii="Lato" w:hAnsi="Lato"/>
                <w:sz w:val="18"/>
                <w:szCs w:val="18"/>
              </w:rPr>
              <w:t>pacjentów stosujących co najmniej jeden lek hipoglikemizujący, z HbA1c ≥7% oraz bardzo</w:t>
            </w:r>
            <w:r w:rsidRPr="008C7F17">
              <w:rPr>
                <w:rFonts w:ascii="Lato" w:hAnsi="Lato"/>
                <w:sz w:val="18"/>
                <w:szCs w:val="18"/>
              </w:rPr>
              <w:t xml:space="preserve"> wysokim ryzykiem sercowo-naczyniowym rozumianym jako: 1. potwierdzona choroba sercowo-naczyniowa, lub 2. uszkodzenie innych narządów objawiające się poprzez: białkomocz lub przerost lewej komory lub retinopatię, lub 3. obecność 3 lub więcej głównych czynników ryzyka spośród wymienionych poniżej: wiek ≥55 lat dla mężczyzn i ≥60 lat dla kobiet,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dyslipidemia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>, nadciśnienie tętnicze, palenie tytoniu, otyłość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B59B" w14:textId="2ADEF898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obecnie obowiązującego wskazania dotyczącego leczenia cukrzycy typu 2.</w:t>
            </w:r>
          </w:p>
        </w:tc>
      </w:tr>
      <w:tr w:rsidR="009E5A8D" w:rsidRPr="004D093B" w14:paraId="3276CF8E" w14:textId="77777777" w:rsidTr="003A4E9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40FD" w14:textId="234077DD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0A45" w14:textId="3F421733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C32B" w14:textId="6F839DC1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97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3B1E" w14:textId="09977405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C7F17">
              <w:rPr>
                <w:rFonts w:ascii="Lato" w:hAnsi="Lato"/>
                <w:sz w:val="18"/>
                <w:szCs w:val="18"/>
              </w:rPr>
              <w:t xml:space="preserve">Przewlekła niewydolność serca u dorosłych pacjentów w pełnym zakresie LVEF oraz utrzymującymi się objawami choroby w klasie II-IV NYHA: − pomimo zastosowania terapii opartej na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ACEi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(lub ARB/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ARNi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) i lekach z grupy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betaadrenolityków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oraz jeśli wskazane antagonistach receptora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mineralokortykoidów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(z frakcją wyrzutową z LVEF ≤40%) lub − pomimo zastosowania terapii opartej na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ACEi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(lub ARB/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ARNi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) i lekach z grupy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betaadrenolityków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oraz jeśli wskazane </w:t>
            </w:r>
            <w:proofErr w:type="spellStart"/>
            <w:r w:rsidRPr="008C7F17">
              <w:rPr>
                <w:rFonts w:ascii="Lato" w:hAnsi="Lato"/>
                <w:sz w:val="18"/>
                <w:szCs w:val="18"/>
              </w:rPr>
              <w:t>diuretykach</w:t>
            </w:r>
            <w:proofErr w:type="spellEnd"/>
            <w:r w:rsidRPr="008C7F17">
              <w:rPr>
                <w:rFonts w:ascii="Lato" w:hAnsi="Lato"/>
                <w:sz w:val="18"/>
                <w:szCs w:val="18"/>
              </w:rPr>
              <w:t xml:space="preserve"> (z frakcją wyrzutową z LVEF&gt;40</w:t>
            </w:r>
            <w:r>
              <w:rPr>
                <w:rFonts w:ascii="Lato" w:hAnsi="Lato"/>
                <w:sz w:val="18"/>
                <w:szCs w:val="18"/>
              </w:rPr>
              <w:t>%</w:t>
            </w:r>
            <w:r w:rsidRPr="008C7F17">
              <w:rPr>
                <w:rFonts w:ascii="Lato" w:hAnsi="Lato"/>
                <w:sz w:val="18"/>
                <w:szCs w:val="18"/>
              </w:rPr>
              <w:t>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8FFD" w14:textId="21D25CFD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zakresu obecnie obowiązującego wskazania dotyczącego leczenia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przewlekłej niewydolności serca.</w:t>
            </w:r>
          </w:p>
        </w:tc>
      </w:tr>
      <w:tr w:rsidR="009E5A8D" w:rsidRPr="004D093B" w14:paraId="30FF93B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628" w14:textId="7B431C7E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5F84" w14:textId="6580E6DA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33A1" w14:textId="0F059ED1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97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77CF" w14:textId="37A98442" w:rsidR="009E5A8D" w:rsidRPr="00DF2161" w:rsidRDefault="007E57CC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choroba nerek u dorosłych pacjentów z: </w:t>
            </w:r>
            <w:proofErr w:type="spellStart"/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zakresie od ≥ 20 ml/min/1,73 m2 do &lt; 45 ml/min/1,73 m2, stosujących leczenie oparte na </w:t>
            </w:r>
            <w:proofErr w:type="spellStart"/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/ARB co najmniej 4 tygodnie lub z przeciwwskazaniem do stosowania takiej terapii lub </w:t>
            </w:r>
            <w:proofErr w:type="spellStart"/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zakresie od ≥ 45 ml/min/1,73 m2 do &lt; 90 ml/min/1,73 m2 oraz albuminurią lub białkomoczem, stosujących leczenie oparte na </w:t>
            </w:r>
            <w:proofErr w:type="spellStart"/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7E57CC">
              <w:rPr>
                <w:rFonts w:ascii="Lato" w:hAnsi="Lato" w:cstheme="majorHAnsi"/>
                <w:color w:val="000000"/>
                <w:sz w:val="18"/>
                <w:szCs w:val="18"/>
              </w:rPr>
              <w:t>/ARB co najmniej 4 tygodnie lub z przeciwwskazaniem do stosowania takiej terapii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359C" w14:textId="4337EE63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zakresu obecnie obowiązującego wskazania dotyczącego leczenia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przewlekłej choroby nerek.</w:t>
            </w:r>
          </w:p>
        </w:tc>
      </w:tr>
      <w:bookmarkEnd w:id="2"/>
      <w:tr w:rsidR="009E5A8D" w:rsidRPr="004D093B" w14:paraId="557B91E2" w14:textId="77777777" w:rsidTr="006E66E5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B77A" w14:textId="58A90B5A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BEF3" w14:textId="0E78AB56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Lokelma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6564" w14:textId="4651C514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10AF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cyklokrzemian</w:t>
            </w:r>
            <w:proofErr w:type="spellEnd"/>
            <w:r w:rsidRPr="00810AF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sodowo-cyrkonowy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8392" w14:textId="4A026B01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10AF7">
              <w:rPr>
                <w:rFonts w:ascii="Lato" w:hAnsi="Lato" w:cstheme="majorHAnsi"/>
                <w:color w:val="000000"/>
                <w:sz w:val="18"/>
                <w:szCs w:val="18"/>
              </w:rPr>
              <w:t>Leczenie hiperkaliemii u dorosłych pacjentów w przebiegu przewlekłej choroby nerek w stopniu 3b-5, u chorych przyjmujących leki z grupy inhibitorów układu renina-angiotensyna-aldosteron (inhibitory ACE oraz inhibitory receptora dla angiotensyny)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5480" w14:textId="3B6A88D9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obok </w:t>
            </w:r>
            <w:proofErr w:type="spellStart"/>
            <w:proofErr w:type="gramStart"/>
            <w:r w:rsidRPr="009E4E9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patiromeru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 opcja</w:t>
            </w:r>
            <w:proofErr w:type="gram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terapeutyczna w leczeniu hiperkaliemii u dorosłych pacjentów dostępna w aptece na receptę.</w:t>
            </w:r>
          </w:p>
        </w:tc>
      </w:tr>
      <w:tr w:rsidR="009E5A8D" w:rsidRPr="004D093B" w14:paraId="1335A65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5333" w14:textId="68256604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BAB9" w14:textId="4D811033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Mibrex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13F6" w14:textId="6B5761C5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rywaroksaban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AC85" w14:textId="124EBC54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U chorych z CAD i/lub PAD, z wyłączeniem chorych z którąkolwiek z poniższych cech: z wysokim ryzykiem krwawienia; udar mózgu przebyty w czasie miesiąca od rozpoczęcia leczenia lub jakikolwiek udar krwotoczny/</w:t>
            </w:r>
            <w:proofErr w:type="spellStart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lakunarny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wywiadzie; ciężka niewydolność serca z frakcją wyrzutową &lt;30% lub objawami klasy III lub IV zgodnie z kryteriami Nowojorskiego Towarzystwa Kardiologicznego (NYHA); </w:t>
            </w:r>
            <w:proofErr w:type="spellStart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&lt;15 ml/min; konieczność stosowania podwójnej terapii przeciwpłytkowej, terapii przeciwpłytkowej innej niż ASA lub doustnej terapii przeciwzakrzepowej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3060" w14:textId="1B9F98B6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nowego wskazania dla </w:t>
            </w:r>
            <w:proofErr w:type="spellStart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rywaroksabanu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dawce 2,5mg </w:t>
            </w: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w zakresie profilaktyki zdarzeń zakrzepowych na podłożu miażdżycowym.</w:t>
            </w:r>
          </w:p>
        </w:tc>
      </w:tr>
      <w:tr w:rsidR="009E5A8D" w:rsidRPr="004D093B" w14:paraId="091C0F04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88BA" w14:textId="7DC79DFC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3ABD" w14:textId="2C84F048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Reagila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1F1A" w14:textId="0302B5F4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D25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kariprazyna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1C5C" w14:textId="1A0B032C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Schizofrenia u pacjentów dorosłych po nieskuteczności lub w przypadku przeciwwskazań do terapii co najmniej jednym lekiem </w:t>
            </w:r>
            <w:proofErr w:type="spellStart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</w:t>
            </w:r>
            <w:proofErr w:type="spellEnd"/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 generacji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CF43" w14:textId="3A1EBB71" w:rsidR="009E5A8D" w:rsidRPr="00CD251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D2511">
              <w:rPr>
                <w:rFonts w:ascii="Lato" w:hAnsi="Lato" w:cstheme="majorHAnsi"/>
                <w:color w:val="000000"/>
                <w:sz w:val="18"/>
                <w:szCs w:val="18"/>
              </w:rPr>
              <w:t>Poszerzenia aktualnego zakresu wskazań, tj. schizofrenia z objawami negatywnymi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9E5A8D" w:rsidRPr="004D093B" w14:paraId="5784846A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44CC" w14:textId="2C1537AC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F5C3" w14:textId="7CFB9175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Tolutris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27C3" w14:textId="5A08370E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2939" w14:textId="67FE20C4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</w:t>
            </w:r>
            <w:r w:rsidRPr="00B070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adciśnienie tętnicze u osób dorosłych, w przypadkach innych niż określono w </w:t>
            </w:r>
            <w:proofErr w:type="spellStart"/>
            <w:r w:rsidRPr="00B0704A">
              <w:rPr>
                <w:rFonts w:ascii="Lato" w:hAnsi="Lato" w:cstheme="majorHAnsi"/>
                <w:color w:val="000000"/>
                <w:sz w:val="18"/>
                <w:szCs w:val="18"/>
              </w:rPr>
              <w:t>ChPL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AAE3" w14:textId="77777777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label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 dla preparat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złożon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, któr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  <w:p w14:paraId="32B15131" w14:textId="6C1EBDAC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E5A8D" w:rsidRPr="004D093B" w14:paraId="2A3FE0C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413B" w14:textId="2B4B3B4D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3852" w14:textId="6A6672FE" w:rsidR="009E5A8D" w:rsidRPr="005D549E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Toujeo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6AFE" w14:textId="242510E0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</w:t>
            </w:r>
            <w:r w:rsidRPr="0089068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nsulina </w:t>
            </w:r>
            <w:proofErr w:type="spellStart"/>
            <w:r w:rsidRPr="0089068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glargine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7DDE" w14:textId="4B469042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34798"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6 roku życia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A78E" w14:textId="6D192258" w:rsidR="009E5A8D" w:rsidRPr="00DF2161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refundacyjnego insuliny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Toujeo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poprzez udostępnienie w populacji od 6 r.ż. wraz z jednoczesnym umieszczeniem na wykazie bezpłatnych leków w populacji 18-.</w:t>
            </w:r>
          </w:p>
        </w:tc>
      </w:tr>
      <w:tr w:rsidR="009E5A8D" w:rsidRPr="004D093B" w14:paraId="44CD7D13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D7C4" w14:textId="347A919C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50AC" w14:textId="193C3C04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5B2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Vabinxo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A17D" w14:textId="36D737BA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0B6E" w14:textId="58163BBA" w:rsidR="009E5A8D" w:rsidRPr="00434798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</w:t>
            </w:r>
            <w:r w:rsidRPr="00B070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adciśnienie tętnicze u osób dorosłych, w przypadkach innych niż określono w </w:t>
            </w:r>
            <w:proofErr w:type="spellStart"/>
            <w:r w:rsidRPr="00B0704A">
              <w:rPr>
                <w:rFonts w:ascii="Lato" w:hAnsi="Lato" w:cstheme="majorHAnsi"/>
                <w:color w:val="000000"/>
                <w:sz w:val="18"/>
                <w:szCs w:val="18"/>
              </w:rPr>
              <w:t>ChPL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D6CD" w14:textId="77777777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label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 dla preparat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złożon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, któr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  <w:p w14:paraId="30D05EB1" w14:textId="73896B95" w:rsidR="009E5A8D" w:rsidRDefault="009E5A8D" w:rsidP="009E5A8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2F2E6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3F2A4F15" w14:textId="77777777" w:rsidR="00434798" w:rsidRDefault="00434798" w:rsidP="00F21487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050D6DE4" w14:textId="77777777" w:rsidR="00277AC5" w:rsidRPr="00C167C7" w:rsidRDefault="00277AC5" w:rsidP="00277AC5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 xml:space="preserve">ZMIANY NA BEZPŁATNYCH WYKAZACH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931"/>
        <w:gridCol w:w="3546"/>
        <w:gridCol w:w="8044"/>
      </w:tblGrid>
      <w:tr w:rsidR="00277AC5" w:rsidRPr="001A28EB" w14:paraId="21D4F701" w14:textId="77777777" w:rsidTr="00307E40">
        <w:trPr>
          <w:trHeight w:val="310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683E" w14:textId="314F4774" w:rsidR="00277AC5" w:rsidRPr="001A28EB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3" w:name="_Hlk148004033"/>
            <w:r w:rsidRPr="001A28EB">
              <w:rPr>
                <w:rFonts w:ascii="Lato" w:hAnsi="Lato" w:cstheme="majorHAnsi"/>
                <w:b/>
                <w:bCs/>
                <w:color w:val="FFFFFF"/>
              </w:rPr>
              <w:t xml:space="preserve">Zmiany na liście </w:t>
            </w:r>
            <w:r>
              <w:rPr>
                <w:rFonts w:ascii="Lato" w:hAnsi="Lato" w:cstheme="majorHAnsi"/>
                <w:b/>
                <w:bCs/>
                <w:color w:val="FFFFFF"/>
              </w:rPr>
              <w:t>18-</w:t>
            </w:r>
          </w:p>
        </w:tc>
      </w:tr>
      <w:tr w:rsidR="00277AC5" w:rsidRPr="001A28EB" w14:paraId="04117F7D" w14:textId="77777777" w:rsidTr="00307E40">
        <w:trPr>
          <w:trHeight w:val="334"/>
        </w:trPr>
        <w:tc>
          <w:tcPr>
            <w:tcW w:w="169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AB2C" w14:textId="77777777" w:rsidR="00277AC5" w:rsidRPr="00C167C7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690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673C" w14:textId="77777777" w:rsidR="00277AC5" w:rsidRPr="00C167C7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1267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681A" w14:textId="77777777" w:rsidR="00277AC5" w:rsidRPr="00C167C7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2874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8F3B" w14:textId="77777777" w:rsidR="00277AC5" w:rsidRPr="00C167C7" w:rsidRDefault="00277AC5" w:rsidP="00307E4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277AC5" w:rsidRPr="001A28EB" w14:paraId="27C8FE9F" w14:textId="77777777" w:rsidTr="00307E40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829A" w14:textId="77777777" w:rsidR="00277AC5" w:rsidRPr="001A28EB" w:rsidRDefault="00277AC5" w:rsidP="00E552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D84" w14:textId="0E7A1407" w:rsidR="00277AC5" w:rsidRPr="001A28EB" w:rsidRDefault="00277AC5" w:rsidP="00E552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</w:t>
            </w:r>
            <w:r w:rsidRPr="0089068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nsulina </w:t>
            </w:r>
            <w:proofErr w:type="spellStart"/>
            <w:r w:rsidRPr="0089068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glargine</w:t>
            </w:r>
            <w:proofErr w:type="spellEnd"/>
          </w:p>
        </w:tc>
        <w:tc>
          <w:tcPr>
            <w:tcW w:w="1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4D6A" w14:textId="73C9520F" w:rsidR="00277AC5" w:rsidRPr="001A28EB" w:rsidRDefault="00277AC5" w:rsidP="00E552D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34798"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6 roku życia</w:t>
            </w:r>
          </w:p>
        </w:tc>
        <w:tc>
          <w:tcPr>
            <w:tcW w:w="28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83BF" w14:textId="49EA85B3" w:rsidR="00277AC5" w:rsidRPr="00277AC5" w:rsidRDefault="00277AC5" w:rsidP="00E552D9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wyniku rozszerzenie populacji kwalifikujące się o dzieci i młodzież w wieku od 6 r.ż. decyzją Ministra Zdrowia, w oparciu o ocenę Agencji Oceny Technologii Medycznych i Taryfikacji, substancja czynna została włączona na bezpłatny wykaz D1 (lista bezpłatnych leków 18-) analogicznie jak wszystkie pozostałe insuliny refundowane w ramach grupy limitowej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</w:r>
            <w:r w:rsidRPr="00277A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14.3 Hormony trzustki - długodziałające analogi insulin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bookmarkEnd w:id="3"/>
    </w:tbl>
    <w:p w14:paraId="143F83AF" w14:textId="77777777" w:rsidR="00434798" w:rsidRDefault="00434798" w:rsidP="00F21487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72955DEA" w14:textId="5528AB46" w:rsidR="00F21487" w:rsidRPr="00D95653" w:rsidRDefault="00F21487" w:rsidP="00F21487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D95653">
        <w:rPr>
          <w:rFonts w:ascii="Lato" w:hAnsi="Lato"/>
          <w:b/>
          <w:bCs/>
          <w:color w:val="00B0F0"/>
          <w:sz w:val="28"/>
          <w:szCs w:val="28"/>
        </w:rPr>
        <w:t xml:space="preserve">BRAK </w:t>
      </w:r>
      <w:r>
        <w:rPr>
          <w:rFonts w:ascii="Lato" w:hAnsi="Lato"/>
          <w:b/>
          <w:bCs/>
          <w:color w:val="00B0F0"/>
          <w:sz w:val="28"/>
          <w:szCs w:val="28"/>
        </w:rPr>
        <w:t xml:space="preserve">KONTYNUACJI REFUNDACJI ZE WZGLĘDU NA </w:t>
      </w:r>
      <w:r w:rsidR="00791449">
        <w:rPr>
          <w:rFonts w:ascii="Lato" w:hAnsi="Lato"/>
          <w:b/>
          <w:bCs/>
          <w:color w:val="00B0F0"/>
          <w:sz w:val="28"/>
          <w:szCs w:val="28"/>
        </w:rPr>
        <w:t>WYCOFANIE Z</w:t>
      </w:r>
      <w:r w:rsidRPr="00F21487">
        <w:rPr>
          <w:rFonts w:ascii="Lato" w:hAnsi="Lato"/>
          <w:b/>
          <w:bCs/>
          <w:color w:val="00B0F0"/>
          <w:sz w:val="28"/>
          <w:szCs w:val="28"/>
        </w:rPr>
        <w:t xml:space="preserve"> OBROTU</w:t>
      </w:r>
    </w:p>
    <w:p w14:paraId="44118EDF" w14:textId="32F03D8E" w:rsidR="00826A06" w:rsidRPr="00826A06" w:rsidRDefault="0032209D" w:rsidP="003A4C7B">
      <w:pPr>
        <w:spacing w:after="0" w:line="360" w:lineRule="auto"/>
        <w:jc w:val="both"/>
        <w:rPr>
          <w:rFonts w:ascii="Lato" w:hAnsi="Lato"/>
        </w:rPr>
      </w:pPr>
      <w:r w:rsidRPr="0032209D">
        <w:rPr>
          <w:rFonts w:ascii="Lato" w:hAnsi="Lato"/>
          <w:b/>
          <w:bCs/>
        </w:rPr>
        <w:t xml:space="preserve">28 marca 2025 r. </w:t>
      </w:r>
      <w:r w:rsidR="00826A06" w:rsidRPr="00826A06">
        <w:rPr>
          <w:rFonts w:ascii="Lato" w:hAnsi="Lato"/>
          <w:b/>
          <w:bCs/>
        </w:rPr>
        <w:t>Komisja Europejska</w:t>
      </w:r>
      <w:r w:rsidR="00DB2DA2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(KE) </w:t>
      </w:r>
      <w:r w:rsidR="00826A06" w:rsidRPr="00826A06">
        <w:rPr>
          <w:rFonts w:ascii="Lato" w:hAnsi="Lato"/>
          <w:b/>
          <w:bCs/>
        </w:rPr>
        <w:t>podjęła decyzję odmawiającą odnowienia warunkowego pozwolenia na dopuszczenie do obrotu produktu leczniczego „</w:t>
      </w:r>
      <w:proofErr w:type="spellStart"/>
      <w:r w:rsidR="00826A06" w:rsidRPr="00826A06">
        <w:rPr>
          <w:rFonts w:ascii="Lato" w:hAnsi="Lato"/>
          <w:b/>
          <w:bCs/>
        </w:rPr>
        <w:t>Translarna</w:t>
      </w:r>
      <w:proofErr w:type="spellEnd"/>
      <w:r w:rsidR="00826A06" w:rsidRPr="00826A06">
        <w:rPr>
          <w:rFonts w:ascii="Lato" w:hAnsi="Lato"/>
          <w:b/>
          <w:bCs/>
        </w:rPr>
        <w:t xml:space="preserve"> - </w:t>
      </w:r>
      <w:proofErr w:type="spellStart"/>
      <w:r w:rsidR="00826A06" w:rsidRPr="00826A06">
        <w:rPr>
          <w:rFonts w:ascii="Lato" w:hAnsi="Lato"/>
          <w:b/>
          <w:bCs/>
        </w:rPr>
        <w:t>ataluren</w:t>
      </w:r>
      <w:proofErr w:type="spellEnd"/>
      <w:r w:rsidR="00826A06" w:rsidRPr="00826A06">
        <w:rPr>
          <w:rFonts w:ascii="Lato" w:hAnsi="Lato"/>
          <w:b/>
          <w:bCs/>
        </w:rPr>
        <w:t>”</w:t>
      </w:r>
      <w:r w:rsidR="00826A06" w:rsidRPr="00826A06">
        <w:rPr>
          <w:rFonts w:ascii="Lato" w:hAnsi="Lato"/>
        </w:rPr>
        <w:t xml:space="preserve">, przyznanego decyzją </w:t>
      </w:r>
      <w:proofErr w:type="gramStart"/>
      <w:r w:rsidR="00826A06" w:rsidRPr="00826A06">
        <w:rPr>
          <w:rFonts w:ascii="Lato" w:hAnsi="Lato"/>
        </w:rPr>
        <w:t>C(</w:t>
      </w:r>
      <w:proofErr w:type="gramEnd"/>
      <w:r w:rsidR="00826A06" w:rsidRPr="00826A06">
        <w:rPr>
          <w:rFonts w:ascii="Lato" w:hAnsi="Lato"/>
        </w:rPr>
        <w:t xml:space="preserve">2014)5619 </w:t>
      </w:r>
      <w:proofErr w:type="spellStart"/>
      <w:r w:rsidR="00826A06" w:rsidRPr="00826A06">
        <w:rPr>
          <w:rFonts w:ascii="Lato" w:hAnsi="Lato"/>
        </w:rPr>
        <w:t>final</w:t>
      </w:r>
      <w:proofErr w:type="spellEnd"/>
      <w:r w:rsidR="00826A06" w:rsidRPr="00826A06">
        <w:rPr>
          <w:rFonts w:ascii="Lato" w:hAnsi="Lato"/>
        </w:rPr>
        <w:t xml:space="preserve"> z dnia 31 lipca 2014 r.</w:t>
      </w:r>
      <w:r w:rsidR="00DB2DA2">
        <w:rPr>
          <w:rFonts w:ascii="Lato" w:hAnsi="Lato"/>
        </w:rPr>
        <w:t xml:space="preserve"> </w:t>
      </w:r>
      <w:bookmarkStart w:id="4" w:name="_Hlk200016488"/>
      <w:r>
        <w:rPr>
          <w:rFonts w:ascii="Lato" w:hAnsi="Lato"/>
        </w:rPr>
        <w:t>W</w:t>
      </w:r>
      <w:r w:rsidR="00132887" w:rsidRPr="00132887">
        <w:rPr>
          <w:rFonts w:ascii="Lato" w:hAnsi="Lato"/>
        </w:rPr>
        <w:t>ycofanie pozwolenia na dopuszczenie do obrotu</w:t>
      </w:r>
      <w:bookmarkEnd w:id="4"/>
      <w:r w:rsidR="00132887" w:rsidRPr="00132887">
        <w:rPr>
          <w:rFonts w:ascii="Lato" w:hAnsi="Lato"/>
        </w:rPr>
        <w:t xml:space="preserve"> </w:t>
      </w:r>
      <w:r w:rsidR="00132887" w:rsidRPr="00132887">
        <w:rPr>
          <w:rFonts w:ascii="Lato" w:hAnsi="Lato"/>
        </w:rPr>
        <w:lastRenderedPageBreak/>
        <w:t xml:space="preserve">w krajach członkowskich </w:t>
      </w:r>
      <w:r>
        <w:rPr>
          <w:rFonts w:ascii="Lato" w:hAnsi="Lato"/>
        </w:rPr>
        <w:t>powoduje ogólnoeuropejski b</w:t>
      </w:r>
      <w:r w:rsidRPr="0032209D">
        <w:rPr>
          <w:rFonts w:ascii="Lato" w:hAnsi="Lato"/>
        </w:rPr>
        <w:t xml:space="preserve">rak finansowania i dostępu </w:t>
      </w:r>
      <w:r>
        <w:rPr>
          <w:rFonts w:ascii="Lato" w:hAnsi="Lato"/>
        </w:rPr>
        <w:t xml:space="preserve">przedmiotowej terapii, w tym </w:t>
      </w:r>
      <w:r w:rsidR="00DB2DA2">
        <w:rPr>
          <w:rFonts w:ascii="Lato" w:hAnsi="Lato"/>
        </w:rPr>
        <w:t xml:space="preserve">uniemożliwia </w:t>
      </w:r>
      <w:r w:rsidR="00CF5B27" w:rsidRPr="00CF5B27">
        <w:rPr>
          <w:rFonts w:ascii="Lato" w:hAnsi="Lato"/>
        </w:rPr>
        <w:t>dalsz</w:t>
      </w:r>
      <w:r w:rsidR="00DB2DA2">
        <w:rPr>
          <w:rFonts w:ascii="Lato" w:hAnsi="Lato"/>
        </w:rPr>
        <w:t xml:space="preserve">ą refundację leku </w:t>
      </w:r>
      <w:proofErr w:type="spellStart"/>
      <w:r w:rsidR="00DB2DA2">
        <w:rPr>
          <w:rFonts w:ascii="Lato" w:hAnsi="Lato"/>
        </w:rPr>
        <w:t>Translarna</w:t>
      </w:r>
      <w:proofErr w:type="spellEnd"/>
      <w:r w:rsidR="00DB2DA2">
        <w:rPr>
          <w:rFonts w:ascii="Lato" w:hAnsi="Lato"/>
        </w:rPr>
        <w:t xml:space="preserve"> w Polsce.</w:t>
      </w:r>
    </w:p>
    <w:p w14:paraId="35D32AD7" w14:textId="77777777" w:rsidR="00CF5B27" w:rsidRDefault="00826A06" w:rsidP="003A4C7B">
      <w:pPr>
        <w:spacing w:after="0" w:line="360" w:lineRule="auto"/>
        <w:jc w:val="both"/>
        <w:rPr>
          <w:rFonts w:ascii="Lato" w:hAnsi="Lato"/>
        </w:rPr>
      </w:pPr>
      <w:r w:rsidRPr="00826A06">
        <w:rPr>
          <w:rFonts w:ascii="Lato" w:hAnsi="Lato"/>
        </w:rPr>
        <w:t xml:space="preserve">Z treści ww. decyzji wynika, że przedłużenie ważności pozwolenia na dopuszczenie do obrotu nie jest możliwe z uwagi na brak dowodów na korzystny stosunek korzyści do ryzyka, tj. biorąc pod uwagę wszystkie dostępne dane nie wykazano skuteczności leku </w:t>
      </w:r>
      <w:proofErr w:type="spellStart"/>
      <w:r w:rsidRPr="00826A06">
        <w:rPr>
          <w:rFonts w:ascii="Lato" w:hAnsi="Lato"/>
        </w:rPr>
        <w:t>Translarna</w:t>
      </w:r>
      <w:proofErr w:type="spellEnd"/>
      <w:r w:rsidRPr="00826A06">
        <w:rPr>
          <w:rFonts w:ascii="Lato" w:hAnsi="Lato"/>
        </w:rPr>
        <w:t xml:space="preserve"> w zatwierdzonym wskazaniu, w żadnej jego subpopulacji. </w:t>
      </w:r>
    </w:p>
    <w:p w14:paraId="70A2E9E9" w14:textId="366D4CF4" w:rsidR="00826A06" w:rsidRDefault="00CF5B27" w:rsidP="003A4C7B">
      <w:pPr>
        <w:spacing w:after="0" w:line="360" w:lineRule="auto"/>
        <w:jc w:val="both"/>
        <w:rPr>
          <w:rFonts w:ascii="Lato" w:hAnsi="Lato"/>
        </w:rPr>
      </w:pPr>
      <w:r w:rsidRPr="00CF5B27">
        <w:rPr>
          <w:rFonts w:ascii="Lato" w:hAnsi="Lato"/>
        </w:rPr>
        <w:t>Niemniej ww. decyzja KE nie przewid</w:t>
      </w:r>
      <w:r>
        <w:rPr>
          <w:rFonts w:ascii="Lato" w:hAnsi="Lato"/>
        </w:rPr>
        <w:t>ywała</w:t>
      </w:r>
      <w:r w:rsidRPr="00CF5B27">
        <w:rPr>
          <w:rFonts w:ascii="Lato" w:hAnsi="Lato"/>
        </w:rPr>
        <w:t xml:space="preserve"> ograniczeń w odniesieniu do pozostawania w obrocie leku </w:t>
      </w:r>
      <w:proofErr w:type="spellStart"/>
      <w:r w:rsidRPr="00CF5B27">
        <w:rPr>
          <w:rFonts w:ascii="Lato" w:hAnsi="Lato"/>
        </w:rPr>
        <w:t>Translarna</w:t>
      </w:r>
      <w:proofErr w:type="spellEnd"/>
      <w:r w:rsidRPr="00CF5B27">
        <w:rPr>
          <w:rFonts w:ascii="Lato" w:hAnsi="Lato"/>
        </w:rPr>
        <w:t>. Opakowania wprowadzone do obrotu przed dniem wydania decyzji KE mog</w:t>
      </w:r>
      <w:r>
        <w:rPr>
          <w:rFonts w:ascii="Lato" w:hAnsi="Lato"/>
        </w:rPr>
        <w:t>ły</w:t>
      </w:r>
      <w:r w:rsidRPr="00CF5B27">
        <w:rPr>
          <w:rFonts w:ascii="Lato" w:hAnsi="Lato"/>
        </w:rPr>
        <w:t xml:space="preserve"> w nim pozostać. </w:t>
      </w:r>
    </w:p>
    <w:p w14:paraId="3A410C2F" w14:textId="3150FB7B" w:rsidR="00F96D58" w:rsidRDefault="00F96D58" w:rsidP="003A4C7B">
      <w:pPr>
        <w:spacing w:after="0" w:line="360" w:lineRule="auto"/>
        <w:jc w:val="both"/>
        <w:rPr>
          <w:rFonts w:ascii="Lato" w:hAnsi="Lato"/>
        </w:rPr>
      </w:pPr>
      <w:r w:rsidRPr="00F96D58">
        <w:rPr>
          <w:rFonts w:ascii="Lato" w:hAnsi="Lato"/>
        </w:rPr>
        <w:t xml:space="preserve">Mając powyższe na uwadze oraz uwzględniając fakt, że decyzja o objęciu refundacją leku </w:t>
      </w:r>
      <w:proofErr w:type="spellStart"/>
      <w:r w:rsidRPr="00F96D58">
        <w:rPr>
          <w:rFonts w:ascii="Lato" w:hAnsi="Lato"/>
        </w:rPr>
        <w:t>Translarna</w:t>
      </w:r>
      <w:proofErr w:type="spellEnd"/>
      <w:r w:rsidRPr="00F96D58">
        <w:rPr>
          <w:rFonts w:ascii="Lato" w:hAnsi="Lato"/>
        </w:rPr>
        <w:t xml:space="preserve"> w ramach programu lekowego B.130. Leczenie chorych z dystrofią mięśniową </w:t>
      </w:r>
      <w:proofErr w:type="spellStart"/>
      <w:r w:rsidRPr="00F96D58">
        <w:rPr>
          <w:rFonts w:ascii="Lato" w:hAnsi="Lato"/>
        </w:rPr>
        <w:t>Duchenne’a</w:t>
      </w:r>
      <w:proofErr w:type="spellEnd"/>
      <w:r w:rsidRPr="00F96D58">
        <w:rPr>
          <w:rFonts w:ascii="Lato" w:hAnsi="Lato"/>
        </w:rPr>
        <w:t xml:space="preserve"> spowodowaną mutacją nonsensowną w genie dystrofiny (ICD-10: G71.0)</w:t>
      </w:r>
      <w:r w:rsidR="00DA1AFB">
        <w:rPr>
          <w:rFonts w:ascii="Lato" w:hAnsi="Lato"/>
        </w:rPr>
        <w:t xml:space="preserve"> </w:t>
      </w:r>
      <w:r w:rsidRPr="00F96D58">
        <w:rPr>
          <w:rFonts w:ascii="Lato" w:hAnsi="Lato"/>
        </w:rPr>
        <w:t>obowiąz</w:t>
      </w:r>
      <w:r w:rsidR="00DA1AFB">
        <w:rPr>
          <w:rFonts w:ascii="Lato" w:hAnsi="Lato"/>
        </w:rPr>
        <w:t>ywała w dniu w</w:t>
      </w:r>
      <w:r w:rsidR="00DA1AFB" w:rsidRPr="00DA1AFB">
        <w:rPr>
          <w:rFonts w:ascii="Lato" w:hAnsi="Lato"/>
        </w:rPr>
        <w:t>ycofani</w:t>
      </w:r>
      <w:r w:rsidR="00DA1AFB">
        <w:rPr>
          <w:rFonts w:ascii="Lato" w:hAnsi="Lato"/>
        </w:rPr>
        <w:t>a</w:t>
      </w:r>
      <w:r w:rsidR="00DA1AFB" w:rsidRPr="00DA1AFB">
        <w:rPr>
          <w:rFonts w:ascii="Lato" w:hAnsi="Lato"/>
        </w:rPr>
        <w:t xml:space="preserve"> pozwolenia na dopuszczenie do obrotu</w:t>
      </w:r>
      <w:r w:rsidRPr="00F96D58">
        <w:rPr>
          <w:rFonts w:ascii="Lato" w:hAnsi="Lato"/>
        </w:rPr>
        <w:t>, Minister Zdrowia mając na uwadze brzmienie art. 117 ust. 3 Dyrektywy 2001/83/WE, umożliwi</w:t>
      </w:r>
      <w:r w:rsidR="00CF5B27">
        <w:rPr>
          <w:rFonts w:ascii="Lato" w:hAnsi="Lato"/>
        </w:rPr>
        <w:t>ł</w:t>
      </w:r>
      <w:r w:rsidRPr="00F96D58">
        <w:rPr>
          <w:rFonts w:ascii="Lato" w:hAnsi="Lato"/>
        </w:rPr>
        <w:t xml:space="preserve"> refundację leczenia pacjentów kontynuujących terapię lekiem </w:t>
      </w:r>
      <w:proofErr w:type="spellStart"/>
      <w:r w:rsidRPr="00F96D58">
        <w:rPr>
          <w:rFonts w:ascii="Lato" w:hAnsi="Lato"/>
        </w:rPr>
        <w:t>Translarna</w:t>
      </w:r>
      <w:proofErr w:type="spellEnd"/>
      <w:r w:rsidRPr="00F96D58">
        <w:rPr>
          <w:rFonts w:ascii="Lato" w:hAnsi="Lato"/>
        </w:rPr>
        <w:t xml:space="preserve"> w programie B.130, do </w:t>
      </w:r>
      <w:r w:rsidR="00196CAB">
        <w:rPr>
          <w:rFonts w:ascii="Lato" w:hAnsi="Lato"/>
        </w:rPr>
        <w:t>1</w:t>
      </w:r>
      <w:r w:rsidR="00C34921">
        <w:rPr>
          <w:rFonts w:ascii="Lato" w:hAnsi="Lato"/>
        </w:rPr>
        <w:t>5</w:t>
      </w:r>
      <w:r w:rsidRPr="00F96D58">
        <w:rPr>
          <w:rFonts w:ascii="Lato" w:hAnsi="Lato"/>
        </w:rPr>
        <w:t xml:space="preserve">.06.2025 r. Niniejsze </w:t>
      </w:r>
      <w:r w:rsidR="00F30AA7" w:rsidRPr="00F96D58">
        <w:rPr>
          <w:rFonts w:ascii="Lato" w:hAnsi="Lato"/>
        </w:rPr>
        <w:t>dotycz</w:t>
      </w:r>
      <w:r w:rsidR="00F30AA7">
        <w:rPr>
          <w:rFonts w:ascii="Lato" w:hAnsi="Lato"/>
        </w:rPr>
        <w:t>yło</w:t>
      </w:r>
      <w:r w:rsidRPr="00F96D58">
        <w:rPr>
          <w:rFonts w:ascii="Lato" w:hAnsi="Lato"/>
        </w:rPr>
        <w:t xml:space="preserve"> opakowań pozostających w obrocie po wydaniu decyzji Komisji Europejskiej.</w:t>
      </w:r>
    </w:p>
    <w:p w14:paraId="6BAF35E8" w14:textId="77777777" w:rsidR="003100BE" w:rsidRDefault="003100BE" w:rsidP="00826A06">
      <w:pPr>
        <w:spacing w:after="0" w:line="360" w:lineRule="auto"/>
        <w:rPr>
          <w:rFonts w:ascii="Lato" w:hAnsi="Lato"/>
        </w:rPr>
      </w:pPr>
    </w:p>
    <w:p w14:paraId="041E0451" w14:textId="77777777" w:rsidR="003100BE" w:rsidRDefault="003100BE" w:rsidP="003100BE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ONKOLOGICZNE</w:t>
      </w:r>
      <w:r w:rsidRPr="00FF3453">
        <w:rPr>
          <w:rFonts w:ascii="Lato" w:hAnsi="Lato"/>
          <w:b/>
          <w:bCs/>
          <w:color w:val="00B0F0"/>
          <w:sz w:val="28"/>
          <w:szCs w:val="28"/>
        </w:rPr>
        <w:t xml:space="preserve"> LEKI O UGRUNTOWANEJ SKUTECZNOŚCI</w:t>
      </w:r>
      <w:r>
        <w:rPr>
          <w:rFonts w:ascii="Lato" w:hAnsi="Lato"/>
          <w:b/>
          <w:bCs/>
          <w:color w:val="00B0F0"/>
          <w:sz w:val="28"/>
          <w:szCs w:val="28"/>
        </w:rPr>
        <w:t xml:space="preserve"> </w:t>
      </w:r>
    </w:p>
    <w:p w14:paraId="0E985026" w14:textId="77777777" w:rsidR="003100BE" w:rsidRDefault="003100BE" w:rsidP="003A4C7B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Znowelizowana ustawa </w:t>
      </w:r>
      <w:r w:rsidRPr="00097962">
        <w:rPr>
          <w:rFonts w:ascii="Lato" w:hAnsi="Lato"/>
        </w:rPr>
        <w:t>o refundacji wprowadziła</w:t>
      </w:r>
      <w:r>
        <w:rPr>
          <w:rFonts w:ascii="Lato" w:hAnsi="Lato"/>
        </w:rPr>
        <w:t xml:space="preserve"> </w:t>
      </w:r>
      <w:r w:rsidRPr="00097962">
        <w:rPr>
          <w:rFonts w:ascii="Lato" w:hAnsi="Lato"/>
        </w:rPr>
        <w:t>nową ścieżkę procedowania</w:t>
      </w:r>
      <w:r>
        <w:rPr>
          <w:rFonts w:ascii="Lato" w:hAnsi="Lato"/>
        </w:rPr>
        <w:t xml:space="preserve"> wniosków refundacyjnych</w:t>
      </w:r>
      <w:r w:rsidRPr="00097962">
        <w:rPr>
          <w:rFonts w:ascii="Lato" w:hAnsi="Lato"/>
        </w:rPr>
        <w:t xml:space="preserve"> w ramach art. 30a</w:t>
      </w:r>
      <w:r>
        <w:rPr>
          <w:rFonts w:ascii="Lato" w:hAnsi="Lato"/>
        </w:rPr>
        <w:t xml:space="preserve">. Przepisy określone w art. 30a ustawy o refundacji dotyczą leków wymagających stosowania dłużej niż 30 dni w określonym stanie klinicznym, rekomendowanych w wytycznych postępowania klinicznego, dla których wnioskodawca nie złożył dotychczas wniosku o objęcie refundacją i upłynął okres wyłączności rynkowej. Na podstawia art. 30a ustawy o refundacji Agencja Oceny Technologii Medycznych i Taryfikacji, </w:t>
      </w:r>
      <w:r w:rsidRPr="009A28A0">
        <w:rPr>
          <w:rFonts w:ascii="Lato" w:hAnsi="Lato"/>
        </w:rPr>
        <w:t xml:space="preserve">po zasięgnięciu opinii Rady Przejrzystości, Konsultantów </w:t>
      </w:r>
      <w:proofErr w:type="gramStart"/>
      <w:r w:rsidRPr="009A28A0">
        <w:rPr>
          <w:rFonts w:ascii="Lato" w:hAnsi="Lato"/>
        </w:rPr>
        <w:t>Krajowych  oraz</w:t>
      </w:r>
      <w:proofErr w:type="gramEnd"/>
      <w:r w:rsidRPr="009A28A0">
        <w:rPr>
          <w:rFonts w:ascii="Lato" w:hAnsi="Lato"/>
        </w:rPr>
        <w:t xml:space="preserve"> Rzecznika Praw Pacjenta</w:t>
      </w:r>
      <w:r>
        <w:rPr>
          <w:rFonts w:ascii="Lato" w:hAnsi="Lato"/>
        </w:rPr>
        <w:t xml:space="preserve">, przygotowała drugi wykaz leków o ugruntowanej skuteczności, dotyczący leków we wskazaniach onkologicznych. </w:t>
      </w:r>
    </w:p>
    <w:p w14:paraId="0447888A" w14:textId="1FE39816" w:rsidR="003100BE" w:rsidRDefault="003100BE" w:rsidP="003A4C7B">
      <w:pPr>
        <w:tabs>
          <w:tab w:val="left" w:pos="9285"/>
        </w:tabs>
        <w:spacing w:line="360" w:lineRule="auto"/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Na podstawie ww. wykazu 8 maja 2025 r. Minister Zdrowia opublikował </w:t>
      </w:r>
      <w:r w:rsidRPr="0039373D">
        <w:rPr>
          <w:rFonts w:ascii="Lato" w:hAnsi="Lato"/>
          <w:b/>
          <w:bCs/>
        </w:rPr>
        <w:t xml:space="preserve">listę </w:t>
      </w:r>
      <w:r>
        <w:rPr>
          <w:rFonts w:ascii="Lato" w:hAnsi="Lato"/>
          <w:b/>
          <w:bCs/>
        </w:rPr>
        <w:t>onkologicznych</w:t>
      </w:r>
      <w:r w:rsidRPr="0039373D">
        <w:rPr>
          <w:rFonts w:ascii="Lato" w:hAnsi="Lato"/>
          <w:b/>
          <w:bCs/>
        </w:rPr>
        <w:t xml:space="preserve"> </w:t>
      </w:r>
      <w:r w:rsidR="003A4C7B" w:rsidRPr="0039373D">
        <w:rPr>
          <w:rFonts w:ascii="Lato" w:hAnsi="Lato"/>
          <w:b/>
          <w:bCs/>
        </w:rPr>
        <w:t>leków o</w:t>
      </w:r>
      <w:r w:rsidRPr="0039373D">
        <w:rPr>
          <w:rFonts w:ascii="Lato" w:hAnsi="Lato"/>
          <w:b/>
          <w:bCs/>
        </w:rPr>
        <w:t xml:space="preserve"> ugruntowanej skuteczności</w:t>
      </w:r>
      <w:r>
        <w:rPr>
          <w:rFonts w:ascii="Lato" w:hAnsi="Lato"/>
        </w:rPr>
        <w:t xml:space="preserve">, na której znalazło się 15 substancji czynnych w </w:t>
      </w:r>
      <w:r>
        <w:rPr>
          <w:rFonts w:ascii="Lato" w:hAnsi="Lato"/>
          <w:b/>
          <w:bCs/>
        </w:rPr>
        <w:t>26</w:t>
      </w:r>
      <w:r w:rsidRPr="003D1859">
        <w:rPr>
          <w:rFonts w:ascii="Lato" w:hAnsi="Lato"/>
          <w:b/>
          <w:bCs/>
        </w:rPr>
        <w:t xml:space="preserve"> cząsteczko-wskaza</w:t>
      </w:r>
      <w:r>
        <w:rPr>
          <w:rFonts w:ascii="Lato" w:hAnsi="Lato"/>
          <w:b/>
          <w:bCs/>
        </w:rPr>
        <w:t xml:space="preserve">niach </w:t>
      </w:r>
      <w:r w:rsidRPr="000202CD">
        <w:rPr>
          <w:rFonts w:ascii="Lato" w:hAnsi="Lato"/>
        </w:rPr>
        <w:t xml:space="preserve">(lista MZ zawiera 17 pozycji, ponieważ część cząsteczko-wskazań została skumulowana w </w:t>
      </w:r>
      <w:r w:rsidRPr="000202CD">
        <w:rPr>
          <w:rFonts w:ascii="Lato" w:hAnsi="Lato"/>
        </w:rPr>
        <w:lastRenderedPageBreak/>
        <w:t>pojedyncze pozycje),</w:t>
      </w:r>
      <w:r>
        <w:rPr>
          <w:rFonts w:ascii="Lato" w:hAnsi="Lato"/>
        </w:rPr>
        <w:t xml:space="preserve"> informując tym samym podmioty odpowiedzialne, których technologie znalazły się na ww. liście o możliwości składania wniosków refundacyjnych. W związku ze złożonymi wnioskami o objęcie refundacją leków w ramach ww. listy onkologicznych </w:t>
      </w:r>
      <w:proofErr w:type="gramStart"/>
      <w:r>
        <w:rPr>
          <w:rFonts w:ascii="Lato" w:hAnsi="Lato"/>
        </w:rPr>
        <w:t>leków  o</w:t>
      </w:r>
      <w:proofErr w:type="gramEnd"/>
      <w:r>
        <w:rPr>
          <w:rFonts w:ascii="Lato" w:hAnsi="Lato"/>
        </w:rPr>
        <w:t xml:space="preserve"> ugruntowanej skuteczności, od 1 lipca 2025 r. objętych refundacją zostanie 7</w:t>
      </w:r>
      <w:r w:rsidRPr="002E4934">
        <w:rPr>
          <w:rFonts w:ascii="Lato" w:hAnsi="Lato"/>
        </w:rPr>
        <w:t xml:space="preserve"> </w:t>
      </w:r>
      <w:r>
        <w:rPr>
          <w:rFonts w:ascii="Lato" w:hAnsi="Lato"/>
        </w:rPr>
        <w:t xml:space="preserve">nowych </w:t>
      </w:r>
      <w:r w:rsidRPr="002E4934">
        <w:rPr>
          <w:rFonts w:ascii="Lato" w:hAnsi="Lato"/>
        </w:rPr>
        <w:t>cząsteczko – wskazań</w:t>
      </w:r>
      <w:r>
        <w:rPr>
          <w:rFonts w:ascii="Lato" w:hAnsi="Lato"/>
        </w:rPr>
        <w:t xml:space="preserve"> dedykowanych onkologicznym jednostkom chorobowym, co wiązało się z wydaniem dodatkowych </w:t>
      </w:r>
      <w:r>
        <w:rPr>
          <w:rFonts w:ascii="Lato" w:hAnsi="Lato"/>
          <w:b/>
          <w:bCs/>
        </w:rPr>
        <w:t>11</w:t>
      </w:r>
      <w:r w:rsidRPr="003D1859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dodatkowych </w:t>
      </w:r>
      <w:r w:rsidRPr="003D1859">
        <w:rPr>
          <w:rFonts w:ascii="Lato" w:hAnsi="Lato"/>
          <w:b/>
          <w:bCs/>
        </w:rPr>
        <w:t>decyzji refundacyjnych</w:t>
      </w:r>
      <w:r>
        <w:rPr>
          <w:rFonts w:ascii="Lato" w:hAnsi="Lato"/>
          <w:b/>
          <w:bCs/>
        </w:rPr>
        <w:t xml:space="preserve"> w ramach katalogu chemioterapii.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9179"/>
      </w:tblGrid>
      <w:tr w:rsidR="003100BE" w:rsidRPr="000A3571" w14:paraId="13533C50" w14:textId="77777777" w:rsidTr="00E552D9">
        <w:trPr>
          <w:trHeight w:val="453"/>
        </w:trPr>
        <w:tc>
          <w:tcPr>
            <w:tcW w:w="2405" w:type="dxa"/>
            <w:shd w:val="clear" w:color="auto" w:fill="0094C8"/>
            <w:vAlign w:val="center"/>
            <w:hideMark/>
          </w:tcPr>
          <w:p w14:paraId="474DDB97" w14:textId="77777777" w:rsidR="003100BE" w:rsidRPr="000A3571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Substancja czynna</w:t>
            </w:r>
          </w:p>
        </w:tc>
        <w:tc>
          <w:tcPr>
            <w:tcW w:w="2410" w:type="dxa"/>
            <w:shd w:val="clear" w:color="auto" w:fill="0094C8"/>
            <w:vAlign w:val="center"/>
            <w:hideMark/>
          </w:tcPr>
          <w:p w14:paraId="10EE184F" w14:textId="77777777" w:rsidR="003100BE" w:rsidRPr="000A3571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Nazwy handlowe</w:t>
            </w:r>
          </w:p>
        </w:tc>
        <w:tc>
          <w:tcPr>
            <w:tcW w:w="9179" w:type="dxa"/>
            <w:shd w:val="clear" w:color="auto" w:fill="0094C8"/>
            <w:vAlign w:val="center"/>
            <w:hideMark/>
          </w:tcPr>
          <w:p w14:paraId="19274A1F" w14:textId="77777777" w:rsidR="003100BE" w:rsidRPr="000A3571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Wskazanie</w:t>
            </w:r>
          </w:p>
        </w:tc>
      </w:tr>
      <w:tr w:rsidR="003100BE" w:rsidRPr="006F1E88" w14:paraId="16F272CC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7B3D939D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dazatynib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454E3FA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Daruph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47BA9DB3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C.92.c. w katalogu chemioterapii:</w:t>
            </w:r>
          </w:p>
          <w:p w14:paraId="5D40B87D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dzieci i młodzieży do lat 18 z nowo rozpoznaną przewlekłą białaczką szpikową z chromosomem Philadelphia w fazie przewlekłej (ang. Philadelphia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chromosome-positive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chronic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myelogenous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leukaemia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in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chronic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phase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+ CML CP) lub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+ CML CP w przypadku oporności lub nietolerancji na uprzednie leczenie, w tym leczenie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imatynibem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3100BE" w:rsidRPr="006F1E88" w14:paraId="015EBA19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6E2AB859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dazatynib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7EF3008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Daruph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2E128CEE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C.92.c. w katalogu chemioterapii:</w:t>
            </w:r>
          </w:p>
          <w:p w14:paraId="18B56134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dzieci i młodzieży do lat 18 z nowo rozpoznaną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+ ALL (ostra białaczka </w:t>
            </w: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limfoblastyczna</w:t>
            </w:r>
            <w:proofErr w:type="spellEnd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) w skojarzeniu z chemioterapią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3100BE" w:rsidRPr="006F1E88" w14:paraId="24116A83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  <w:hideMark/>
          </w:tcPr>
          <w:p w14:paraId="2A15F905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n</w:t>
            </w:r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ab-paklitaksel</w:t>
            </w:r>
            <w:proofErr w:type="spellEnd"/>
          </w:p>
          <w:p w14:paraId="27FF078A" w14:textId="77777777" w:rsidR="003100BE" w:rsidRPr="00437B05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(</w:t>
            </w:r>
            <w:proofErr w:type="spellStart"/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paklitaksel</w:t>
            </w:r>
            <w:proofErr w:type="spellEnd"/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w postaci nanocząsteczkowego kompleksu z albuminą</w:t>
            </w: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D10C7D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Naverucif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,</w:t>
            </w:r>
          </w:p>
          <w:p w14:paraId="57D90750" w14:textId="77777777" w:rsidR="003100BE" w:rsidRPr="006F1E88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Apexelsin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3BFA7FE0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C.104.a. w katalogu chemioterapii:</w:t>
            </w:r>
          </w:p>
          <w:p w14:paraId="140878DD" w14:textId="77777777" w:rsidR="003100BE" w:rsidRPr="00381D63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w </w:t>
            </w:r>
            <w:proofErr w:type="spellStart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monoterapii</w:t>
            </w:r>
            <w:proofErr w:type="spellEnd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przerzutowego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raka piersi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 dorosłych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pacjentów,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których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leczenie pierwszego rzutu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choroby przerzutowej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okazało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się nieskuteczne, i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których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nie można zastosować standardowej terapii z </w:t>
            </w:r>
            <w:proofErr w:type="spellStart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antracykl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i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nami</w:t>
            </w:r>
            <w:proofErr w:type="spellEnd"/>
          </w:p>
        </w:tc>
      </w:tr>
      <w:tr w:rsidR="003100BE" w:rsidRPr="006F1E88" w14:paraId="3A1DC8A2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4B2FEE38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n</w:t>
            </w:r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ab-paklitaksel</w:t>
            </w:r>
            <w:proofErr w:type="spellEnd"/>
          </w:p>
          <w:p w14:paraId="08D2B0E4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(</w:t>
            </w:r>
            <w:proofErr w:type="spellStart"/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paklitaksel</w:t>
            </w:r>
            <w:proofErr w:type="spellEnd"/>
            <w:r w:rsidRPr="00381D63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w postaci nanocząsteczkowego kompleksu z albuminą</w:t>
            </w:r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D8C670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Naverucif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,</w:t>
            </w:r>
          </w:p>
          <w:p w14:paraId="38418596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78728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Apexelsin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44AEAF99" w14:textId="77777777" w:rsidR="003100BE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C.104.b. w katalogu chemioterapii:</w:t>
            </w:r>
          </w:p>
          <w:p w14:paraId="7C934DD4" w14:textId="77777777" w:rsidR="003100BE" w:rsidRPr="00381D63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Leczenie w skojarzeniu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z </w:t>
            </w:r>
            <w:proofErr w:type="spellStart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karboplatyną</w:t>
            </w:r>
            <w:proofErr w:type="spellEnd"/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pierwszego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rzutu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niedrobnokomórkowego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raka płuc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d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orosłych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pacjentów, którzy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nie kwalifikują się do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radykalnego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zabiegu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chirurgicznego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i (lub)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81D63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radioterapii</w:t>
            </w:r>
          </w:p>
        </w:tc>
      </w:tr>
      <w:tr w:rsidR="003100BE" w:rsidRPr="006F1E88" w14:paraId="616E3194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23A6CA31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r</w:t>
            </w:r>
            <w:r w:rsidRPr="00137360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amucyrumab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50A77D63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Cyramza</w:t>
            </w:r>
          </w:p>
        </w:tc>
        <w:tc>
          <w:tcPr>
            <w:tcW w:w="9179" w:type="dxa"/>
            <w:shd w:val="clear" w:color="auto" w:fill="auto"/>
            <w:vAlign w:val="center"/>
          </w:tcPr>
          <w:p w14:paraId="448212A9" w14:textId="2B92831F" w:rsidR="003100BE" w:rsidRPr="00FA4AA9" w:rsidRDefault="003100BE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</w:t>
            </w:r>
            <w:r w:rsidR="00FA4AA9"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106</w:t>
            </w: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 w katalogu chemioterapii:</w:t>
            </w:r>
          </w:p>
          <w:p w14:paraId="4D12B31D" w14:textId="60EC92D5" w:rsidR="003100BE" w:rsidRPr="00FA4AA9" w:rsidRDefault="00FA4AA9" w:rsidP="00E552D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Leczenie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w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monoterapii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nieoperacyjnego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przerzutowego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lub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miejscowo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zaawansowanego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raka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wątrobowokomórkowego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(HCC) u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dorosłych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pacjentów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, u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których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stężenie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alfa-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fetoproteiny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(AFP) w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surowicy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krwi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wynosi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≥ 400 ng/ml, w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drugiej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linii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leczenia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po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wcześniejszej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terapii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sorafenibem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lub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z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udokumentowanymi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przeciwwskazaniami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do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jej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 xml:space="preserve">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zastosowania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val="en" w:eastAsia="pl-PL"/>
              </w:rPr>
              <w:t>.</w:t>
            </w:r>
          </w:p>
        </w:tc>
      </w:tr>
      <w:tr w:rsidR="003100BE" w:rsidRPr="006F1E88" w14:paraId="783E649B" w14:textId="77777777" w:rsidTr="00E552D9">
        <w:trPr>
          <w:trHeight w:val="1020"/>
        </w:trPr>
        <w:tc>
          <w:tcPr>
            <w:tcW w:w="2405" w:type="dxa"/>
            <w:shd w:val="clear" w:color="auto" w:fill="auto"/>
            <w:vAlign w:val="center"/>
          </w:tcPr>
          <w:p w14:paraId="5B70F6FF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regorafenib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7C0749F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Stivarga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046ED35D" w14:textId="77777777" w:rsidR="00FA4AA9" w:rsidRPr="00FA4AA9" w:rsidRDefault="00FA4AA9" w:rsidP="00FA4AA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C.105.a w katalogu chemioterapii:</w:t>
            </w:r>
          </w:p>
          <w:p w14:paraId="2F0F47B3" w14:textId="2AAF3C8D" w:rsidR="003100BE" w:rsidRPr="00FA4AA9" w:rsidRDefault="00FA4AA9" w:rsidP="00FA4AA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Leczenie w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monoterapii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 nieoperacyjnego przerzutowego lub miejscowo zaawansowanego raka jelita grubego u dorosłych pacjentów, po wcześniejszym leczeniu schematami chemioterapii zawierającymi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fluoropirymidynę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oksaliplatynę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irynotekan</w:t>
            </w:r>
            <w:proofErr w:type="spellEnd"/>
            <w:r w:rsidRPr="00FA4AA9"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  <w:t>, leki anty-VEGF oraz anty-EGFR lub z udokumentowanymi przeciwwskazaniami do zastosowania wymienionych leków.</w:t>
            </w:r>
          </w:p>
        </w:tc>
      </w:tr>
      <w:tr w:rsidR="003100BE" w:rsidRPr="006F1E88" w14:paraId="3ABF1AC7" w14:textId="77777777" w:rsidTr="00E552D9">
        <w:trPr>
          <w:trHeight w:val="283"/>
        </w:trPr>
        <w:tc>
          <w:tcPr>
            <w:tcW w:w="2405" w:type="dxa"/>
            <w:shd w:val="clear" w:color="auto" w:fill="auto"/>
            <w:vAlign w:val="center"/>
          </w:tcPr>
          <w:p w14:paraId="0CA6928F" w14:textId="77777777" w:rsidR="003100BE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lastRenderedPageBreak/>
              <w:t>regorafenib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D51425A" w14:textId="77777777" w:rsidR="003100BE" w:rsidRPr="002F0065" w:rsidRDefault="003100BE" w:rsidP="00E552D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Stivarga</w:t>
            </w:r>
            <w:proofErr w:type="spellEnd"/>
          </w:p>
        </w:tc>
        <w:tc>
          <w:tcPr>
            <w:tcW w:w="9179" w:type="dxa"/>
            <w:shd w:val="clear" w:color="auto" w:fill="auto"/>
            <w:vAlign w:val="center"/>
          </w:tcPr>
          <w:p w14:paraId="1FB2B5AE" w14:textId="77777777" w:rsidR="00FA4AA9" w:rsidRPr="00FA4AA9" w:rsidRDefault="00FA4AA9" w:rsidP="00FA4AA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 ramach nowego załącznika C.105.b w katalogu chemioterapii:</w:t>
            </w:r>
          </w:p>
          <w:p w14:paraId="6F1CB0FF" w14:textId="25F0A07D" w:rsidR="003100BE" w:rsidRPr="00FA4AA9" w:rsidRDefault="00FA4AA9" w:rsidP="00FA4AA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Lato" w:eastAsia="Times New Roman" w:hAnsi="Lato" w:cs="Calibri"/>
                <w:bCs/>
                <w:color w:val="000000"/>
                <w:sz w:val="18"/>
                <w:szCs w:val="18"/>
                <w:lang w:eastAsia="pl-PL"/>
              </w:rPr>
            </w:pPr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w </w:t>
            </w:r>
            <w:proofErr w:type="spellStart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monoterapii</w:t>
            </w:r>
            <w:proofErr w:type="spellEnd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nieoperacyjnego przerzutowego lub miejscowo zaawansowanego raka </w:t>
            </w:r>
            <w:proofErr w:type="spellStart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wątrobowokomórkowego</w:t>
            </w:r>
            <w:proofErr w:type="spellEnd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(HCC) u dorosłych pacjentów, w drugiej linii leczenia po wcześniejszej terapii </w:t>
            </w:r>
            <w:proofErr w:type="spellStart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sorafenibem</w:t>
            </w:r>
            <w:proofErr w:type="spellEnd"/>
            <w:r w:rsidRPr="00FA4AA9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lub z udokumentowanymi przeciwwskazaniami do jego zastosowania</w:t>
            </w:r>
          </w:p>
        </w:tc>
      </w:tr>
    </w:tbl>
    <w:p w14:paraId="04C491E7" w14:textId="77777777" w:rsidR="003100BE" w:rsidRPr="00826A06" w:rsidRDefault="003100BE" w:rsidP="00826A06">
      <w:pPr>
        <w:spacing w:after="0" w:line="360" w:lineRule="auto"/>
        <w:rPr>
          <w:rFonts w:ascii="Lato" w:hAnsi="Lato"/>
        </w:rPr>
      </w:pPr>
    </w:p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D10B8" w:rsidSect="005058F2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6426" w14:textId="77777777" w:rsidR="005C79CE" w:rsidRDefault="005C79CE">
      <w:pPr>
        <w:spacing w:after="0" w:line="240" w:lineRule="auto"/>
      </w:pPr>
      <w:r>
        <w:separator/>
      </w:r>
    </w:p>
  </w:endnote>
  <w:endnote w:type="continuationSeparator" w:id="0">
    <w:p w14:paraId="10617DE5" w14:textId="77777777" w:rsidR="005C79CE" w:rsidRDefault="005C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7C55" w14:textId="77777777" w:rsidR="005C79CE" w:rsidRDefault="005C79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11419E" w14:textId="77777777" w:rsidR="005C79CE" w:rsidRDefault="005C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5" w:name="_Hlk74147372"/>
    <w:bookmarkEnd w:id="5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630426F"/>
    <w:multiLevelType w:val="hybridMultilevel"/>
    <w:tmpl w:val="BF047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847C0"/>
    <w:multiLevelType w:val="hybridMultilevel"/>
    <w:tmpl w:val="9BE2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7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3"/>
  </w:num>
  <w:num w:numId="6" w16cid:durableId="1164782895">
    <w:abstractNumId w:val="4"/>
  </w:num>
  <w:num w:numId="7" w16cid:durableId="1764568987">
    <w:abstractNumId w:val="9"/>
  </w:num>
  <w:num w:numId="8" w16cid:durableId="1605840971">
    <w:abstractNumId w:val="10"/>
  </w:num>
  <w:num w:numId="9" w16cid:durableId="969629549">
    <w:abstractNumId w:val="20"/>
  </w:num>
  <w:num w:numId="10" w16cid:durableId="1576276737">
    <w:abstractNumId w:val="1"/>
  </w:num>
  <w:num w:numId="11" w16cid:durableId="409036424">
    <w:abstractNumId w:val="24"/>
  </w:num>
  <w:num w:numId="12" w16cid:durableId="1526747669">
    <w:abstractNumId w:val="2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2"/>
  </w:num>
  <w:num w:numId="17" w16cid:durableId="485172914">
    <w:abstractNumId w:val="16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8"/>
  </w:num>
  <w:num w:numId="22" w16cid:durableId="1157845039">
    <w:abstractNumId w:val="17"/>
  </w:num>
  <w:num w:numId="23" w16cid:durableId="1318220489">
    <w:abstractNumId w:val="14"/>
  </w:num>
  <w:num w:numId="24" w16cid:durableId="791442922">
    <w:abstractNumId w:val="19"/>
  </w:num>
  <w:num w:numId="25" w16cid:durableId="1740707863">
    <w:abstractNumId w:val="15"/>
  </w:num>
  <w:num w:numId="26" w16cid:durableId="435753335">
    <w:abstractNumId w:val="8"/>
  </w:num>
  <w:num w:numId="27" w16cid:durableId="18527903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53927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084A"/>
    <w:rsid w:val="000B21F0"/>
    <w:rsid w:val="000B32C4"/>
    <w:rsid w:val="000B7075"/>
    <w:rsid w:val="000C56EF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32887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6CAB"/>
    <w:rsid w:val="00197FA2"/>
    <w:rsid w:val="001A1A5B"/>
    <w:rsid w:val="001A60B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205C55"/>
    <w:rsid w:val="00206C0B"/>
    <w:rsid w:val="00211E75"/>
    <w:rsid w:val="00221A2A"/>
    <w:rsid w:val="0022215F"/>
    <w:rsid w:val="00222ECC"/>
    <w:rsid w:val="002270E2"/>
    <w:rsid w:val="00230BB7"/>
    <w:rsid w:val="00237101"/>
    <w:rsid w:val="00245044"/>
    <w:rsid w:val="0024697E"/>
    <w:rsid w:val="00255E53"/>
    <w:rsid w:val="00275115"/>
    <w:rsid w:val="00277AC5"/>
    <w:rsid w:val="00277F9D"/>
    <w:rsid w:val="00280311"/>
    <w:rsid w:val="00281BE7"/>
    <w:rsid w:val="00286651"/>
    <w:rsid w:val="00287196"/>
    <w:rsid w:val="0029287B"/>
    <w:rsid w:val="0029403F"/>
    <w:rsid w:val="00296D09"/>
    <w:rsid w:val="002A6B69"/>
    <w:rsid w:val="002B6AE4"/>
    <w:rsid w:val="002B7623"/>
    <w:rsid w:val="002C0340"/>
    <w:rsid w:val="002C19DE"/>
    <w:rsid w:val="002D55B8"/>
    <w:rsid w:val="002D6D8A"/>
    <w:rsid w:val="002D6ED9"/>
    <w:rsid w:val="002E46AC"/>
    <w:rsid w:val="002F0FB2"/>
    <w:rsid w:val="002F61E3"/>
    <w:rsid w:val="003051DF"/>
    <w:rsid w:val="00307E40"/>
    <w:rsid w:val="003100BE"/>
    <w:rsid w:val="0031104C"/>
    <w:rsid w:val="003130CA"/>
    <w:rsid w:val="0032209D"/>
    <w:rsid w:val="00326537"/>
    <w:rsid w:val="003357D9"/>
    <w:rsid w:val="00337B00"/>
    <w:rsid w:val="00337EC9"/>
    <w:rsid w:val="00355899"/>
    <w:rsid w:val="00356E75"/>
    <w:rsid w:val="0035733E"/>
    <w:rsid w:val="00374DBE"/>
    <w:rsid w:val="0037704D"/>
    <w:rsid w:val="0037714E"/>
    <w:rsid w:val="003841AB"/>
    <w:rsid w:val="0038523E"/>
    <w:rsid w:val="003935E8"/>
    <w:rsid w:val="00395986"/>
    <w:rsid w:val="003975D4"/>
    <w:rsid w:val="003A0F16"/>
    <w:rsid w:val="003A4C7B"/>
    <w:rsid w:val="003A5B7D"/>
    <w:rsid w:val="003A6433"/>
    <w:rsid w:val="003B46BF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32307"/>
    <w:rsid w:val="00434798"/>
    <w:rsid w:val="004403B4"/>
    <w:rsid w:val="00446466"/>
    <w:rsid w:val="00447CE9"/>
    <w:rsid w:val="00453B55"/>
    <w:rsid w:val="00457779"/>
    <w:rsid w:val="0046003F"/>
    <w:rsid w:val="00466FE8"/>
    <w:rsid w:val="00473415"/>
    <w:rsid w:val="004744CD"/>
    <w:rsid w:val="0048011A"/>
    <w:rsid w:val="004850DC"/>
    <w:rsid w:val="00490715"/>
    <w:rsid w:val="00491267"/>
    <w:rsid w:val="00491300"/>
    <w:rsid w:val="00492285"/>
    <w:rsid w:val="004962CF"/>
    <w:rsid w:val="004A2F20"/>
    <w:rsid w:val="004A2F45"/>
    <w:rsid w:val="004A5135"/>
    <w:rsid w:val="004B2F38"/>
    <w:rsid w:val="004C35E7"/>
    <w:rsid w:val="004D093B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5182D"/>
    <w:rsid w:val="00553AE5"/>
    <w:rsid w:val="0056748F"/>
    <w:rsid w:val="0057131E"/>
    <w:rsid w:val="00574D83"/>
    <w:rsid w:val="005831D4"/>
    <w:rsid w:val="005871C9"/>
    <w:rsid w:val="005B06B3"/>
    <w:rsid w:val="005B3721"/>
    <w:rsid w:val="005B598A"/>
    <w:rsid w:val="005C1959"/>
    <w:rsid w:val="005C499F"/>
    <w:rsid w:val="005C608D"/>
    <w:rsid w:val="005C6551"/>
    <w:rsid w:val="005C79CE"/>
    <w:rsid w:val="005D269A"/>
    <w:rsid w:val="005D3140"/>
    <w:rsid w:val="005D549E"/>
    <w:rsid w:val="005D5D31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73643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E66E5"/>
    <w:rsid w:val="006E6D6B"/>
    <w:rsid w:val="006F498A"/>
    <w:rsid w:val="006F5BEB"/>
    <w:rsid w:val="007135A8"/>
    <w:rsid w:val="007156F6"/>
    <w:rsid w:val="00715B91"/>
    <w:rsid w:val="007321D8"/>
    <w:rsid w:val="00733AF9"/>
    <w:rsid w:val="00734732"/>
    <w:rsid w:val="00740ABA"/>
    <w:rsid w:val="0074295D"/>
    <w:rsid w:val="00754372"/>
    <w:rsid w:val="00755E27"/>
    <w:rsid w:val="00757E13"/>
    <w:rsid w:val="00765F74"/>
    <w:rsid w:val="0078723A"/>
    <w:rsid w:val="00790B5F"/>
    <w:rsid w:val="00791449"/>
    <w:rsid w:val="007A4FB5"/>
    <w:rsid w:val="007B043E"/>
    <w:rsid w:val="007B27EE"/>
    <w:rsid w:val="007B4EE7"/>
    <w:rsid w:val="007C11C6"/>
    <w:rsid w:val="007C4332"/>
    <w:rsid w:val="007C4C95"/>
    <w:rsid w:val="007D0493"/>
    <w:rsid w:val="007D1551"/>
    <w:rsid w:val="007D273D"/>
    <w:rsid w:val="007D6A3A"/>
    <w:rsid w:val="007D6B6F"/>
    <w:rsid w:val="007D74E2"/>
    <w:rsid w:val="007E57CC"/>
    <w:rsid w:val="007F016E"/>
    <w:rsid w:val="008008F6"/>
    <w:rsid w:val="008017A7"/>
    <w:rsid w:val="00823875"/>
    <w:rsid w:val="00826A06"/>
    <w:rsid w:val="00827817"/>
    <w:rsid w:val="00827986"/>
    <w:rsid w:val="008279BD"/>
    <w:rsid w:val="0084154E"/>
    <w:rsid w:val="00843352"/>
    <w:rsid w:val="00844624"/>
    <w:rsid w:val="008462C0"/>
    <w:rsid w:val="00854CF9"/>
    <w:rsid w:val="0087118E"/>
    <w:rsid w:val="008771C8"/>
    <w:rsid w:val="00882DCA"/>
    <w:rsid w:val="0088727A"/>
    <w:rsid w:val="0089068E"/>
    <w:rsid w:val="00896D35"/>
    <w:rsid w:val="008B00C4"/>
    <w:rsid w:val="008B43B0"/>
    <w:rsid w:val="008C0493"/>
    <w:rsid w:val="008C0E92"/>
    <w:rsid w:val="008C567D"/>
    <w:rsid w:val="008D45C3"/>
    <w:rsid w:val="008E18D7"/>
    <w:rsid w:val="008E33C7"/>
    <w:rsid w:val="008F1D35"/>
    <w:rsid w:val="009066C7"/>
    <w:rsid w:val="0092216D"/>
    <w:rsid w:val="00933339"/>
    <w:rsid w:val="00953B84"/>
    <w:rsid w:val="00953C20"/>
    <w:rsid w:val="00982754"/>
    <w:rsid w:val="009943F4"/>
    <w:rsid w:val="00995FDD"/>
    <w:rsid w:val="00996389"/>
    <w:rsid w:val="009A2234"/>
    <w:rsid w:val="009A49C7"/>
    <w:rsid w:val="009A6D46"/>
    <w:rsid w:val="009B2F99"/>
    <w:rsid w:val="009B7A4D"/>
    <w:rsid w:val="009C573D"/>
    <w:rsid w:val="009D10B8"/>
    <w:rsid w:val="009D185F"/>
    <w:rsid w:val="009D38FF"/>
    <w:rsid w:val="009D43CC"/>
    <w:rsid w:val="009E2331"/>
    <w:rsid w:val="009E5A8D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27750"/>
    <w:rsid w:val="00A434EB"/>
    <w:rsid w:val="00A5351C"/>
    <w:rsid w:val="00A54C06"/>
    <w:rsid w:val="00A633F0"/>
    <w:rsid w:val="00A6481E"/>
    <w:rsid w:val="00A66140"/>
    <w:rsid w:val="00A66626"/>
    <w:rsid w:val="00A7064A"/>
    <w:rsid w:val="00A70833"/>
    <w:rsid w:val="00A7345A"/>
    <w:rsid w:val="00A75027"/>
    <w:rsid w:val="00A90397"/>
    <w:rsid w:val="00A90CB0"/>
    <w:rsid w:val="00A9374D"/>
    <w:rsid w:val="00A94461"/>
    <w:rsid w:val="00A960EA"/>
    <w:rsid w:val="00AA3CEA"/>
    <w:rsid w:val="00AA4608"/>
    <w:rsid w:val="00AA6179"/>
    <w:rsid w:val="00AB1235"/>
    <w:rsid w:val="00AB2D5E"/>
    <w:rsid w:val="00AC0511"/>
    <w:rsid w:val="00AD08C5"/>
    <w:rsid w:val="00AE069A"/>
    <w:rsid w:val="00AE34C1"/>
    <w:rsid w:val="00AF1EBC"/>
    <w:rsid w:val="00B1467F"/>
    <w:rsid w:val="00B31928"/>
    <w:rsid w:val="00B326A9"/>
    <w:rsid w:val="00B45ED3"/>
    <w:rsid w:val="00B543E9"/>
    <w:rsid w:val="00B57127"/>
    <w:rsid w:val="00B76B2B"/>
    <w:rsid w:val="00B8251D"/>
    <w:rsid w:val="00B94086"/>
    <w:rsid w:val="00B94288"/>
    <w:rsid w:val="00B9538B"/>
    <w:rsid w:val="00B978D7"/>
    <w:rsid w:val="00BA15A9"/>
    <w:rsid w:val="00BB28F3"/>
    <w:rsid w:val="00BB30C0"/>
    <w:rsid w:val="00BC376D"/>
    <w:rsid w:val="00BD18E8"/>
    <w:rsid w:val="00BD20BC"/>
    <w:rsid w:val="00BE36EB"/>
    <w:rsid w:val="00C05070"/>
    <w:rsid w:val="00C15673"/>
    <w:rsid w:val="00C15E6F"/>
    <w:rsid w:val="00C210A9"/>
    <w:rsid w:val="00C22821"/>
    <w:rsid w:val="00C243BF"/>
    <w:rsid w:val="00C25F63"/>
    <w:rsid w:val="00C276AE"/>
    <w:rsid w:val="00C34921"/>
    <w:rsid w:val="00C34F0F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2511"/>
    <w:rsid w:val="00CD47C3"/>
    <w:rsid w:val="00CE099F"/>
    <w:rsid w:val="00CE73E2"/>
    <w:rsid w:val="00CF402D"/>
    <w:rsid w:val="00CF5B27"/>
    <w:rsid w:val="00CF5E4F"/>
    <w:rsid w:val="00CF7674"/>
    <w:rsid w:val="00D17D3E"/>
    <w:rsid w:val="00D44A5D"/>
    <w:rsid w:val="00D510E8"/>
    <w:rsid w:val="00D554A2"/>
    <w:rsid w:val="00D5628B"/>
    <w:rsid w:val="00D63F4F"/>
    <w:rsid w:val="00D6426A"/>
    <w:rsid w:val="00D66456"/>
    <w:rsid w:val="00D75C6B"/>
    <w:rsid w:val="00D77CD0"/>
    <w:rsid w:val="00D9306F"/>
    <w:rsid w:val="00D93987"/>
    <w:rsid w:val="00D93C1C"/>
    <w:rsid w:val="00DA1AFB"/>
    <w:rsid w:val="00DB0B88"/>
    <w:rsid w:val="00DB2DA2"/>
    <w:rsid w:val="00DC0909"/>
    <w:rsid w:val="00DD18C6"/>
    <w:rsid w:val="00DD6D00"/>
    <w:rsid w:val="00DE00F0"/>
    <w:rsid w:val="00DE1894"/>
    <w:rsid w:val="00DE5079"/>
    <w:rsid w:val="00DF2161"/>
    <w:rsid w:val="00DF6B3A"/>
    <w:rsid w:val="00E10271"/>
    <w:rsid w:val="00E30E11"/>
    <w:rsid w:val="00E34DF7"/>
    <w:rsid w:val="00E35DF6"/>
    <w:rsid w:val="00E50D44"/>
    <w:rsid w:val="00E52765"/>
    <w:rsid w:val="00E64133"/>
    <w:rsid w:val="00E66456"/>
    <w:rsid w:val="00E67904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F017D6"/>
    <w:rsid w:val="00F01EFC"/>
    <w:rsid w:val="00F07540"/>
    <w:rsid w:val="00F12CF6"/>
    <w:rsid w:val="00F147FC"/>
    <w:rsid w:val="00F15BD4"/>
    <w:rsid w:val="00F21487"/>
    <w:rsid w:val="00F30AA7"/>
    <w:rsid w:val="00F31A79"/>
    <w:rsid w:val="00F42214"/>
    <w:rsid w:val="00F5061B"/>
    <w:rsid w:val="00F61A7D"/>
    <w:rsid w:val="00F63AA8"/>
    <w:rsid w:val="00F67CA2"/>
    <w:rsid w:val="00F8110F"/>
    <w:rsid w:val="00F859A8"/>
    <w:rsid w:val="00F8715E"/>
    <w:rsid w:val="00F9203E"/>
    <w:rsid w:val="00F957B7"/>
    <w:rsid w:val="00F96D58"/>
    <w:rsid w:val="00FA4AA9"/>
    <w:rsid w:val="00FA53DF"/>
    <w:rsid w:val="00FB2364"/>
    <w:rsid w:val="00FB250B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4225</Words>
  <Characters>25352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24</cp:revision>
  <dcterms:created xsi:type="dcterms:W3CDTF">2025-06-09T10:06:00Z</dcterms:created>
  <dcterms:modified xsi:type="dcterms:W3CDTF">2025-06-12T12:57:00Z</dcterms:modified>
</cp:coreProperties>
</file>