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87" w:rsidRPr="00C66DE3" w:rsidRDefault="00520887" w:rsidP="00C66DE3">
      <w:pPr>
        <w:tabs>
          <w:tab w:val="left" w:pos="5865"/>
        </w:tabs>
        <w:spacing w:after="0" w:line="240" w:lineRule="auto"/>
        <w:jc w:val="both"/>
        <w:rPr>
          <w:rFonts w:eastAsia="Times New Roman" w:cs="Times New Roman"/>
          <w:noProof/>
          <w:lang w:eastAsia="pl-PL"/>
        </w:rPr>
      </w:pPr>
      <w:r w:rsidRPr="00C66DE3">
        <w:rPr>
          <w:rFonts w:eastAsia="Times New Roman" w:cs="Times New Roman"/>
          <w:noProof/>
          <w:lang w:eastAsia="pl-PL"/>
        </w:rPr>
        <w:t>Załącznik B.95.</w:t>
      </w:r>
    </w:p>
    <w:p w:rsidR="00C66DE3" w:rsidRPr="00C66DE3" w:rsidRDefault="00C66DE3" w:rsidP="00C66DE3">
      <w:pPr>
        <w:tabs>
          <w:tab w:val="left" w:pos="5865"/>
        </w:tabs>
        <w:spacing w:after="0" w:line="240" w:lineRule="auto"/>
        <w:jc w:val="both"/>
        <w:rPr>
          <w:rFonts w:eastAsia="Times New Roman" w:cs="Times New Roman"/>
          <w:b/>
          <w:noProof/>
          <w:lang w:eastAsia="pl-PL"/>
        </w:rPr>
      </w:pPr>
    </w:p>
    <w:p w:rsidR="009B6E4C" w:rsidRPr="00DC7F1B" w:rsidRDefault="00160BD6" w:rsidP="009A4CE1">
      <w:pPr>
        <w:tabs>
          <w:tab w:val="left" w:pos="5865"/>
        </w:tabs>
        <w:spacing w:line="240" w:lineRule="auto"/>
        <w:jc w:val="both"/>
        <w:rPr>
          <w:rFonts w:eastAsia="Times New Roman" w:cs="Times New Roman"/>
          <w:b/>
          <w:noProof/>
          <w:sz w:val="28"/>
          <w:szCs w:val="24"/>
          <w:lang w:eastAsia="pl-PL"/>
        </w:rPr>
      </w:pPr>
      <w:r>
        <w:rPr>
          <w:rFonts w:eastAsia="Times New Roman" w:cs="Times New Roman"/>
          <w:b/>
          <w:noProof/>
          <w:sz w:val="28"/>
          <w:szCs w:val="24"/>
          <w:lang w:eastAsia="pl-PL"/>
        </w:rPr>
        <w:t>L</w:t>
      </w:r>
      <w:r w:rsidRPr="00DC7F1B">
        <w:rPr>
          <w:rFonts w:eastAsia="Times New Roman" w:cs="Times New Roman"/>
          <w:b/>
          <w:noProof/>
          <w:sz w:val="28"/>
          <w:szCs w:val="24"/>
          <w:lang w:eastAsia="pl-PL"/>
        </w:rPr>
        <w:t>ECZENI</w:t>
      </w:r>
      <w:r>
        <w:rPr>
          <w:rFonts w:eastAsia="Times New Roman" w:cs="Times New Roman"/>
          <w:b/>
          <w:noProof/>
          <w:sz w:val="28"/>
          <w:szCs w:val="24"/>
          <w:lang w:eastAsia="pl-PL"/>
        </w:rPr>
        <w:t>E</w:t>
      </w:r>
      <w:r w:rsidRPr="00DC7F1B">
        <w:rPr>
          <w:rFonts w:eastAsia="Times New Roman" w:cs="Times New Roman"/>
          <w:b/>
          <w:noProof/>
          <w:sz w:val="28"/>
          <w:szCs w:val="24"/>
          <w:lang w:eastAsia="pl-PL"/>
        </w:rPr>
        <w:t xml:space="preserve"> </w:t>
      </w:r>
      <w:r>
        <w:rPr>
          <w:rFonts w:eastAsia="Times New Roman" w:cs="Times New Roman"/>
          <w:b/>
          <w:noProof/>
          <w:sz w:val="28"/>
          <w:szCs w:val="24"/>
          <w:lang w:eastAsia="pl-PL"/>
        </w:rPr>
        <w:t>A</w:t>
      </w:r>
      <w:r w:rsidRPr="00DC7F1B">
        <w:rPr>
          <w:rFonts w:eastAsia="Times New Roman" w:cs="Times New Roman"/>
          <w:b/>
          <w:noProof/>
          <w:sz w:val="28"/>
          <w:szCs w:val="24"/>
          <w:lang w:eastAsia="pl-PL"/>
        </w:rPr>
        <w:t>TYPOWEGO ZESP</w:t>
      </w:r>
      <w:r>
        <w:rPr>
          <w:rFonts w:eastAsia="Times New Roman" w:cs="Times New Roman"/>
          <w:b/>
          <w:noProof/>
          <w:sz w:val="28"/>
          <w:szCs w:val="24"/>
          <w:lang w:eastAsia="pl-PL"/>
        </w:rPr>
        <w:t>OŁU HEMOLITYCZNO-MOCZNICOWEGO (a</w:t>
      </w:r>
      <w:r w:rsidRPr="00DC7F1B">
        <w:rPr>
          <w:rFonts w:eastAsia="Times New Roman" w:cs="Times New Roman"/>
          <w:b/>
          <w:noProof/>
          <w:sz w:val="28"/>
          <w:szCs w:val="24"/>
          <w:lang w:eastAsia="pl-PL"/>
        </w:rPr>
        <w:t>HUS) (ICD-10 D 59.3)</w:t>
      </w:r>
    </w:p>
    <w:tbl>
      <w:tblPr>
        <w:tblStyle w:val="Tabela-Siatka"/>
        <w:tblW w:w="497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515"/>
        <w:gridCol w:w="2838"/>
        <w:gridCol w:w="5955"/>
      </w:tblGrid>
      <w:tr w:rsidR="00C66DE3" w:rsidRPr="00C66DE3" w:rsidTr="00C66DE3">
        <w:trPr>
          <w:trHeight w:val="226"/>
        </w:trPr>
        <w:tc>
          <w:tcPr>
            <w:tcW w:w="5000" w:type="pct"/>
            <w:gridSpan w:val="3"/>
          </w:tcPr>
          <w:p w:rsidR="00097CEA" w:rsidRPr="00C66DE3" w:rsidRDefault="00981304" w:rsidP="00440105">
            <w:pPr>
              <w:spacing w:line="276" w:lineRule="auto"/>
              <w:jc w:val="center"/>
              <w:rPr>
                <w:rFonts w:cs="Times New Roman"/>
                <w:b/>
                <w:noProof/>
              </w:rPr>
            </w:pPr>
            <w:r w:rsidRPr="00C66DE3">
              <w:rPr>
                <w:rFonts w:cs="Times New Roman"/>
                <w:b/>
                <w:noProof/>
              </w:rPr>
              <w:t>ZAKRES ŚWIADCZENIA GWARANTOWANEGO</w:t>
            </w:r>
          </w:p>
        </w:tc>
      </w:tr>
      <w:tr w:rsidR="00C66DE3" w:rsidRPr="00C66DE3" w:rsidTr="00C66DE3">
        <w:trPr>
          <w:trHeight w:val="226"/>
        </w:trPr>
        <w:tc>
          <w:tcPr>
            <w:tcW w:w="5000" w:type="pct"/>
            <w:gridSpan w:val="3"/>
          </w:tcPr>
          <w:p w:rsidR="00C66DE3" w:rsidRPr="00C66DE3" w:rsidRDefault="00C66DE3" w:rsidP="00440105">
            <w:pPr>
              <w:spacing w:line="276" w:lineRule="auto"/>
              <w:jc w:val="center"/>
              <w:rPr>
                <w:rFonts w:cs="Times New Roman"/>
                <w:b/>
                <w:noProof/>
              </w:rPr>
            </w:pPr>
          </w:p>
        </w:tc>
      </w:tr>
      <w:tr w:rsidR="00C66DE3" w:rsidRPr="00C66DE3" w:rsidTr="00C66DE3">
        <w:trPr>
          <w:trHeight w:val="473"/>
        </w:trPr>
        <w:tc>
          <w:tcPr>
            <w:tcW w:w="2128" w:type="pct"/>
            <w:vAlign w:val="center"/>
          </w:tcPr>
          <w:p w:rsidR="00097CEA" w:rsidRPr="00C66DE3" w:rsidRDefault="00981304" w:rsidP="00440105">
            <w:pPr>
              <w:spacing w:line="276" w:lineRule="auto"/>
              <w:jc w:val="center"/>
              <w:rPr>
                <w:rFonts w:cs="Times New Roman"/>
                <w:b/>
                <w:noProof/>
              </w:rPr>
            </w:pPr>
            <w:r w:rsidRPr="00C66DE3">
              <w:rPr>
                <w:rFonts w:cs="Times New Roman"/>
                <w:b/>
                <w:noProof/>
              </w:rPr>
              <w:t>ŚWIADCZENIOBIORCY</w:t>
            </w:r>
          </w:p>
        </w:tc>
        <w:tc>
          <w:tcPr>
            <w:tcW w:w="927" w:type="pct"/>
            <w:vAlign w:val="center"/>
          </w:tcPr>
          <w:p w:rsidR="00097CEA" w:rsidRPr="00C66DE3" w:rsidRDefault="00981304" w:rsidP="00440105">
            <w:pPr>
              <w:spacing w:line="276" w:lineRule="auto"/>
              <w:jc w:val="center"/>
              <w:rPr>
                <w:rFonts w:cs="Times New Roman"/>
                <w:b/>
                <w:noProof/>
              </w:rPr>
            </w:pPr>
            <w:r w:rsidRPr="00C66DE3">
              <w:rPr>
                <w:rFonts w:cs="Times New Roman"/>
                <w:b/>
                <w:noProof/>
              </w:rPr>
              <w:t>Schemat dawkowania</w:t>
            </w:r>
          </w:p>
        </w:tc>
        <w:tc>
          <w:tcPr>
            <w:tcW w:w="1945" w:type="pct"/>
          </w:tcPr>
          <w:p w:rsidR="00097CEA" w:rsidRPr="00C66DE3" w:rsidRDefault="00981304" w:rsidP="00440105">
            <w:pPr>
              <w:spacing w:line="276" w:lineRule="auto"/>
              <w:rPr>
                <w:rFonts w:cs="Times New Roman"/>
                <w:b/>
                <w:noProof/>
                <w:sz w:val="20"/>
                <w:szCs w:val="20"/>
              </w:rPr>
            </w:pPr>
            <w:r w:rsidRPr="00C66DE3">
              <w:rPr>
                <w:rFonts w:cs="Times New Roman"/>
                <w:b/>
                <w:noProof/>
                <w:sz w:val="20"/>
                <w:szCs w:val="20"/>
              </w:rPr>
              <w:t>Badania diagnostyczne wykonywane w ramach programu</w:t>
            </w:r>
          </w:p>
        </w:tc>
      </w:tr>
      <w:tr w:rsidR="00C66DE3" w:rsidRPr="00C66DE3" w:rsidTr="00C66DE3">
        <w:trPr>
          <w:trHeight w:val="770"/>
        </w:trPr>
        <w:tc>
          <w:tcPr>
            <w:tcW w:w="2128" w:type="pct"/>
          </w:tcPr>
          <w:p w:rsidR="0005789F" w:rsidRPr="00C66DE3" w:rsidRDefault="0028718E" w:rsidP="0044010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60" w:line="276" w:lineRule="auto"/>
              <w:ind w:left="312" w:hanging="284"/>
              <w:contextualSpacing w:val="0"/>
              <w:rPr>
                <w:rFonts w:eastAsia="Malgun Gothic" w:cs="Times New Roman"/>
                <w:b/>
                <w:bCs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b/>
                <w:bCs/>
                <w:sz w:val="20"/>
                <w:szCs w:val="20"/>
                <w:lang w:eastAsia="pl-PL"/>
              </w:rPr>
              <w:t>Kryteria włączenia</w:t>
            </w:r>
          </w:p>
          <w:p w:rsidR="00866185" w:rsidRPr="00C66DE3" w:rsidRDefault="00866185" w:rsidP="00440105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Podczas pierwszej kwalifikacji do programu oraz gdy jest to wskazane w opisie programu, udział pacjenta w programie wymaga uzyskania akceptacji za pośrednictwem aplikacji SMPT przez Zespół Koordynacyjny do Spraw Leczenia </w:t>
            </w:r>
            <w:r w:rsidR="00BB74F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A</w:t>
            </w:r>
            <w:r w:rsidR="00F33533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ty</w:t>
            </w:r>
            <w:r w:rsidR="00BB74F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powego Zespołu H</w:t>
            </w:r>
            <w:r w:rsidR="00F33533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emolityczno-mocznicowego</w:t>
            </w: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, powoływany przez Prezesa Narodowego Funduszu Zdrowia. Do czasu aktualizacji aplikacji SMPT, dopuszcza się udział pacjenta w programie na podstawie akceptacji Zespołu Koordynacyjnego do Spraw </w:t>
            </w:r>
            <w:r w:rsidR="00F33533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Leczenia atypowego zespołu hemolityczno-mocznicowego</w:t>
            </w: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, uzyskanej w inny sposób niż za pośrednictwem aplikacji SMPT. Ponadto, gdy jest to zaznaczone w opisie programu, udział pacjenta może wymagać uzyskania indywidualnej zgody Zespołu, o którym mowa powyżej.</w:t>
            </w:r>
          </w:p>
          <w:p w:rsidR="0005789F" w:rsidRPr="00C66DE3" w:rsidRDefault="00AA1711" w:rsidP="0044010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Do leczenia </w:t>
            </w:r>
            <w:proofErr w:type="spellStart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ekulizumabem</w:t>
            </w:r>
            <w:proofErr w:type="spellEnd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kwalifikowani są pacjenci z</w:t>
            </w:r>
            <w:r w:rsidR="003166E8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atypowem</w:t>
            </w:r>
            <w:proofErr w:type="spellEnd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zespołem hemolityczno-mocznicowym:</w:t>
            </w:r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</w:p>
          <w:p w:rsidR="0005789F" w:rsidRPr="00C66DE3" w:rsidRDefault="00077BB5" w:rsidP="0044010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454" w:hanging="283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pacjenci z </w:t>
            </w:r>
            <w:proofErr w:type="spellStart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aHUS</w:t>
            </w:r>
            <w:proofErr w:type="spellEnd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AA171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z</w:t>
            </w:r>
            <w:r w:rsidR="00504605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następującymi</w:t>
            </w:r>
            <w:r w:rsidR="00AA171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F72E4D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objawami </w:t>
            </w:r>
            <w:proofErr w:type="spellStart"/>
            <w:r w:rsidR="00AF04B0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mikroangiopatii</w:t>
            </w:r>
            <w:proofErr w:type="spellEnd"/>
            <w:r w:rsidR="00AF04B0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zakrzepowej</w:t>
            </w: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:</w:t>
            </w:r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</w:p>
          <w:p w:rsidR="0005789F" w:rsidRPr="00C66DE3" w:rsidRDefault="00AF04B0" w:rsidP="0044010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880" w:hanging="329"/>
              <w:contextualSpacing w:val="0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t</w:t>
            </w:r>
            <w:r w:rsidR="00673048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rombocytopenia</w:t>
            </w:r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753748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oraz </w:t>
            </w:r>
            <w:r w:rsidR="00673048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hemoliza</w:t>
            </w:r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: </w:t>
            </w:r>
            <w:r w:rsidR="005B5BA4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liczba</w:t>
            </w:r>
            <w:r w:rsidR="00AB1BB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5B5BA4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płytek</w:t>
            </w:r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&lt;150 x 10</w:t>
            </w:r>
            <w:r w:rsidR="0005789F" w:rsidRPr="00C66DE3">
              <w:rPr>
                <w:rFonts w:eastAsia="Malgun Gothic" w:cs="Times New Roman"/>
                <w:sz w:val="20"/>
                <w:szCs w:val="20"/>
                <w:vertAlign w:val="superscript"/>
                <w:lang w:eastAsia="pl-PL"/>
              </w:rPr>
              <w:t>9</w:t>
            </w:r>
            <w:r w:rsidR="005B5BA4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/L </w:t>
            </w:r>
            <w:r w:rsidR="00753748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lub </w:t>
            </w:r>
            <w:r w:rsidR="0005789F" w:rsidRPr="00C66DE3">
              <w:rPr>
                <w:rFonts w:eastAsia="Malgun Gothic" w:cs="Times New Roman"/>
                <w:sz w:val="20"/>
                <w:szCs w:val="20"/>
                <w:u w:val="single"/>
                <w:lang w:eastAsia="pl-PL"/>
              </w:rPr>
              <w:t xml:space="preserve">&gt; </w:t>
            </w:r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25% </w:t>
            </w:r>
            <w:r w:rsidR="005B5BA4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spadek w stosunku do stanu</w:t>
            </w:r>
            <w:r w:rsidR="008D48AB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wyjściowego</w:t>
            </w:r>
            <w:r w:rsidR="00D77A4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5B5BA4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i </w:t>
            </w:r>
            <w:r w:rsidR="00CF5366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podwyższone</w:t>
            </w:r>
            <w:r w:rsidR="005B5BA4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CF5366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stężenie</w:t>
            </w:r>
            <w:r w:rsidR="005B5BA4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LDH </w:t>
            </w:r>
            <w:r w:rsidR="00753748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lub </w:t>
            </w:r>
            <w:r w:rsidR="00AB1BB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rozpad krwinek czerwonych</w:t>
            </w:r>
            <w:r w:rsidR="00EA4787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AB1BB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(obecność </w:t>
            </w:r>
            <w:proofErr w:type="spellStart"/>
            <w:r w:rsidR="00AB1BB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schistocytów</w:t>
            </w:r>
            <w:proofErr w:type="spellEnd"/>
            <w:r w:rsidR="00AB1BB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) lub niskie stężenie </w:t>
            </w:r>
            <w:proofErr w:type="spellStart"/>
            <w:r w:rsidR="00AB1BB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haptoglobiny</w:t>
            </w:r>
            <w:proofErr w:type="spellEnd"/>
            <w:r w:rsidR="00AB1BB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lub anemia hemolityczna</w:t>
            </w:r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</w:p>
          <w:p w:rsidR="0005789F" w:rsidRPr="00C66DE3" w:rsidRDefault="00753748" w:rsidP="00440105">
            <w:pPr>
              <w:autoSpaceDE w:val="0"/>
              <w:autoSpaceDN w:val="0"/>
              <w:adjustRightInd w:val="0"/>
              <w:spacing w:before="60" w:after="60" w:line="276" w:lineRule="auto"/>
              <w:ind w:left="880" w:hanging="329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lub</w:t>
            </w:r>
          </w:p>
          <w:p w:rsidR="0005789F" w:rsidRPr="00C66DE3" w:rsidRDefault="00AF04B0" w:rsidP="0044010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880"/>
              <w:contextualSpacing w:val="0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b</w:t>
            </w:r>
            <w:r w:rsidR="002A77FC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iopsja tkankowa potwierdzająca </w:t>
            </w:r>
            <w:proofErr w:type="spellStart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mikroangiopatię</w:t>
            </w:r>
            <w:proofErr w:type="spellEnd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953D1E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zakrzepow</w:t>
            </w: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ą</w:t>
            </w:r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</w:p>
          <w:p w:rsidR="0005789F" w:rsidRPr="00C66DE3" w:rsidRDefault="00753748" w:rsidP="00440105">
            <w:pPr>
              <w:autoSpaceDE w:val="0"/>
              <w:autoSpaceDN w:val="0"/>
              <w:adjustRightInd w:val="0"/>
              <w:spacing w:line="276" w:lineRule="auto"/>
              <w:ind w:left="880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lastRenderedPageBreak/>
              <w:t>oraz</w:t>
            </w:r>
          </w:p>
          <w:p w:rsidR="0005789F" w:rsidRPr="00C66DE3" w:rsidRDefault="00EA4787" w:rsidP="0044010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880"/>
              <w:contextualSpacing w:val="0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z</w:t>
            </w:r>
            <w:r w:rsidR="0028550B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wiązane z </w:t>
            </w:r>
            <w:proofErr w:type="spellStart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mikroangiopatią</w:t>
            </w:r>
            <w:proofErr w:type="spellEnd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953D1E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zakrzepow</w:t>
            </w: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ą</w:t>
            </w:r>
            <w:r w:rsidR="0028550B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uszkodzenie narządów</w:t>
            </w:r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:</w:t>
            </w:r>
          </w:p>
          <w:p w:rsidR="00AD4170" w:rsidRPr="00C66DE3" w:rsidRDefault="00AD4170" w:rsidP="0044010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163" w:hanging="284"/>
              <w:contextualSpacing w:val="0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z</w:t>
            </w:r>
            <w:r w:rsidR="0068794B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aburzenia czynności nerek potwierdzone poziomem kreatyniny w surowicy</w:t>
            </w:r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&gt;</w:t>
            </w:r>
            <w:r w:rsidR="00A31E35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górna granica normy dla wieku</w:t>
            </w:r>
            <w:r w:rsidR="00254C0A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</w:p>
          <w:p w:rsidR="00AD4170" w:rsidRPr="00C66DE3" w:rsidRDefault="00753748" w:rsidP="00440105">
            <w:pPr>
              <w:autoSpaceDE w:val="0"/>
              <w:autoSpaceDN w:val="0"/>
              <w:adjustRightInd w:val="0"/>
              <w:spacing w:line="276" w:lineRule="auto"/>
              <w:ind w:left="1163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lub </w:t>
            </w:r>
            <w:r w:rsidR="00F23E89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h</w:t>
            </w:r>
            <w:r w:rsidR="0005789F" w:rsidRPr="00C66DE3" w:rsidDel="00910DC2">
              <w:rPr>
                <w:rFonts w:eastAsia="Malgun Gothic" w:cs="Times New Roman"/>
                <w:sz w:val="20"/>
                <w:szCs w:val="20"/>
                <w:lang w:eastAsia="pl-PL"/>
              </w:rPr>
              <w:t>emo</w:t>
            </w:r>
            <w:r w:rsidR="00254C0A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dializa </w:t>
            </w:r>
          </w:p>
          <w:p w:rsidR="00AD4170" w:rsidRPr="00C66DE3" w:rsidRDefault="00753748" w:rsidP="00440105">
            <w:pPr>
              <w:autoSpaceDE w:val="0"/>
              <w:autoSpaceDN w:val="0"/>
              <w:adjustRightInd w:val="0"/>
              <w:spacing w:line="276" w:lineRule="auto"/>
              <w:ind w:left="1163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lub </w:t>
            </w:r>
            <w:r w:rsidR="00254C0A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proteinuria </w:t>
            </w:r>
          </w:p>
          <w:p w:rsidR="0005789F" w:rsidRPr="00C66DE3" w:rsidRDefault="00254C0A" w:rsidP="00440105">
            <w:pPr>
              <w:autoSpaceDE w:val="0"/>
              <w:autoSpaceDN w:val="0"/>
              <w:adjustRightInd w:val="0"/>
              <w:spacing w:line="276" w:lineRule="auto"/>
              <w:ind w:left="1163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lub</w:t>
            </w:r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albuminuria</w:t>
            </w:r>
          </w:p>
          <w:p w:rsidR="0005789F" w:rsidRPr="00C66DE3" w:rsidRDefault="00753748" w:rsidP="00440105">
            <w:pPr>
              <w:autoSpaceDE w:val="0"/>
              <w:autoSpaceDN w:val="0"/>
              <w:adjustRightInd w:val="0"/>
              <w:spacing w:line="276" w:lineRule="auto"/>
              <w:ind w:left="1163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l</w:t>
            </w:r>
            <w:r w:rsidR="00AD4170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u</w:t>
            </w: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b</w:t>
            </w:r>
          </w:p>
          <w:p w:rsidR="00AD4170" w:rsidRPr="00C66DE3" w:rsidRDefault="00AD4170" w:rsidP="0044010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163" w:hanging="284"/>
              <w:contextualSpacing w:val="0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p</w:t>
            </w:r>
            <w:r w:rsidR="00A64093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owikłania</w:t>
            </w:r>
            <w:r w:rsidR="008D48AB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D48AB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pozanerkowe</w:t>
            </w:r>
            <w:proofErr w:type="spellEnd"/>
            <w:r w:rsidR="00A64093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wywołane </w:t>
            </w:r>
            <w:proofErr w:type="spellStart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mikroangiopatią</w:t>
            </w:r>
            <w:proofErr w:type="spellEnd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tkankową</w:t>
            </w:r>
            <w:r w:rsidR="00A64093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, takie jak</w:t>
            </w: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:</w:t>
            </w:r>
            <w:r w:rsidR="00A64093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0C53B5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br/>
            </w:r>
            <w:r w:rsidR="00A64093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powikłania sercowo-naczyniowe, </w:t>
            </w:r>
          </w:p>
          <w:p w:rsidR="00AD4170" w:rsidRPr="00C66DE3" w:rsidRDefault="00A64093" w:rsidP="00440105">
            <w:pPr>
              <w:autoSpaceDE w:val="0"/>
              <w:autoSpaceDN w:val="0"/>
              <w:adjustRightInd w:val="0"/>
              <w:spacing w:line="276" w:lineRule="auto"/>
              <w:ind w:left="1163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neur</w:t>
            </w:r>
            <w:r w:rsidR="00F23E89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ologiczne, </w:t>
            </w:r>
          </w:p>
          <w:p w:rsidR="00AD4170" w:rsidRPr="00C66DE3" w:rsidRDefault="00F23E89" w:rsidP="00440105">
            <w:pPr>
              <w:autoSpaceDE w:val="0"/>
              <w:autoSpaceDN w:val="0"/>
              <w:adjustRightInd w:val="0"/>
              <w:spacing w:line="276" w:lineRule="auto"/>
              <w:ind w:left="1163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żołą</w:t>
            </w:r>
            <w:r w:rsidR="00A64093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dkowo-jelitowe </w:t>
            </w:r>
          </w:p>
          <w:p w:rsidR="0005789F" w:rsidRPr="00C66DE3" w:rsidRDefault="00A64093" w:rsidP="00440105">
            <w:pPr>
              <w:autoSpaceDE w:val="0"/>
              <w:autoSpaceDN w:val="0"/>
              <w:adjustRightInd w:val="0"/>
              <w:spacing w:line="276" w:lineRule="auto"/>
              <w:ind w:left="1163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lub płucne</w:t>
            </w:r>
          </w:p>
          <w:p w:rsidR="0005789F" w:rsidRPr="00C66DE3" w:rsidRDefault="00753748" w:rsidP="00440105">
            <w:pPr>
              <w:autoSpaceDE w:val="0"/>
              <w:autoSpaceDN w:val="0"/>
              <w:adjustRightInd w:val="0"/>
              <w:spacing w:after="60" w:line="276" w:lineRule="auto"/>
              <w:ind w:left="596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lub</w:t>
            </w:r>
          </w:p>
          <w:p w:rsidR="0005789F" w:rsidRPr="00C66DE3" w:rsidRDefault="00881D15" w:rsidP="0044010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60" w:line="276" w:lineRule="auto"/>
              <w:ind w:left="454" w:hanging="283"/>
              <w:contextualSpacing w:val="0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pacjenci z </w:t>
            </w:r>
            <w:proofErr w:type="spellStart"/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aHUS</w:t>
            </w:r>
            <w:proofErr w:type="spellEnd"/>
            <w:r w:rsidR="0043322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, u których stosowana jest</w:t>
            </w:r>
            <w:r w:rsidR="00EF253C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43322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plazmafereza</w:t>
            </w:r>
            <w:r w:rsidR="00E206D5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/przetoczenie osocza</w:t>
            </w:r>
            <w:r w:rsidR="00EE22F3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;</w:t>
            </w:r>
          </w:p>
          <w:p w:rsidR="0005789F" w:rsidRPr="00C66DE3" w:rsidRDefault="00D36DB7" w:rsidP="0044010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120" w:after="60" w:line="276" w:lineRule="auto"/>
              <w:ind w:left="454" w:hanging="283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pacjenci z </w:t>
            </w:r>
            <w:proofErr w:type="spellStart"/>
            <w:r w:rsidR="0005789F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aHUS</w:t>
            </w:r>
            <w:proofErr w:type="spellEnd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zakwalifikowani do przeszczepu nerki</w:t>
            </w:r>
            <w:r w:rsidR="00EE22F3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;</w:t>
            </w:r>
          </w:p>
          <w:p w:rsidR="008571E4" w:rsidRPr="00C66DE3" w:rsidRDefault="008571E4" w:rsidP="0044010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120" w:after="60" w:line="276" w:lineRule="auto"/>
              <w:ind w:left="454" w:hanging="283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u ww. grup pacjentów z </w:t>
            </w:r>
            <w:proofErr w:type="spellStart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aHUS</w:t>
            </w:r>
            <w:proofErr w:type="spellEnd"/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wymagane są wyniki badań:</w:t>
            </w:r>
          </w:p>
          <w:p w:rsidR="00EE22F3" w:rsidRPr="00C66DE3" w:rsidRDefault="00EE22F3" w:rsidP="0044010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60" w:line="276" w:lineRule="auto"/>
              <w:ind w:left="880"/>
              <w:contextualSpacing w:val="0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aktywność </w:t>
            </w:r>
            <w:r w:rsidRPr="00C66DE3">
              <w:rPr>
                <w:sz w:val="20"/>
                <w:szCs w:val="20"/>
              </w:rPr>
              <w:t>ADAMTS-13 &gt;5%</w:t>
            </w:r>
            <w:r w:rsidR="008571E4" w:rsidRPr="00C66DE3">
              <w:rPr>
                <w:sz w:val="20"/>
                <w:szCs w:val="20"/>
              </w:rPr>
              <w:t>,</w:t>
            </w:r>
          </w:p>
          <w:p w:rsidR="008571E4" w:rsidRPr="00C66DE3" w:rsidRDefault="008571E4" w:rsidP="0044010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60" w:line="276" w:lineRule="auto"/>
              <w:ind w:left="880"/>
              <w:contextualSpacing w:val="0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C66DE3">
              <w:rPr>
                <w:sz w:val="20"/>
                <w:szCs w:val="20"/>
              </w:rPr>
              <w:t>negatywny</w:t>
            </w:r>
            <w:r w:rsidRPr="00C66DE3">
              <w:rPr>
                <w:rFonts w:eastAsia="Malgun Gothic" w:cs="Times New Roman"/>
                <w:sz w:val="20"/>
                <w:szCs w:val="20"/>
              </w:rPr>
              <w:t xml:space="preserve"> wynik badania STEC (</w:t>
            </w:r>
            <w:proofErr w:type="spellStart"/>
            <w:r w:rsidRPr="00C66DE3">
              <w:rPr>
                <w:rFonts w:eastAsia="Malgun Gothic" w:cs="Times New Roman"/>
                <w:sz w:val="20"/>
                <w:szCs w:val="20"/>
              </w:rPr>
              <w:t>Shiga-Toxin</w:t>
            </w:r>
            <w:proofErr w:type="spellEnd"/>
            <w:r w:rsidRPr="00C66DE3">
              <w:rPr>
                <w:rFonts w:eastAsia="Malgun Gothic" w:cs="Times New Roman"/>
                <w:sz w:val="20"/>
                <w:szCs w:val="20"/>
              </w:rPr>
              <w:t xml:space="preserve"> Escherichia coli) w teście (PCR) lub hodowli bakteryjnej;</w:t>
            </w:r>
          </w:p>
          <w:p w:rsidR="006A11A3" w:rsidRPr="00C66DE3" w:rsidRDefault="00B61C4A" w:rsidP="00440105">
            <w:pPr>
              <w:pStyle w:val="Akapitzlist"/>
              <w:numPr>
                <w:ilvl w:val="2"/>
                <w:numId w:val="16"/>
              </w:numPr>
              <w:spacing w:before="120" w:line="276" w:lineRule="auto"/>
              <w:ind w:left="454" w:hanging="284"/>
              <w:contextualSpacing w:val="0"/>
              <w:rPr>
                <w:rFonts w:eastAsia="Malgun Gothic" w:cs="Times New Roman"/>
                <w:sz w:val="20"/>
                <w:szCs w:val="20"/>
              </w:rPr>
            </w:pPr>
            <w:r w:rsidRPr="00C66DE3">
              <w:rPr>
                <w:rFonts w:eastAsia="Malgun Gothic" w:cs="Times New Roman"/>
                <w:sz w:val="20"/>
                <w:szCs w:val="20"/>
              </w:rPr>
              <w:t>w przyp</w:t>
            </w:r>
            <w:r w:rsidR="000C53B5" w:rsidRPr="00C66DE3">
              <w:rPr>
                <w:rFonts w:eastAsia="Malgun Gothic" w:cs="Times New Roman"/>
                <w:sz w:val="20"/>
                <w:szCs w:val="20"/>
              </w:rPr>
              <w:t xml:space="preserve">adku kobiet w wieku rozrodczym </w:t>
            </w:r>
            <w:r w:rsidRPr="00C66DE3">
              <w:rPr>
                <w:rFonts w:eastAsia="Malgun Gothic" w:cs="Times New Roman"/>
                <w:sz w:val="20"/>
                <w:szCs w:val="20"/>
              </w:rPr>
              <w:t>wymagana jest zgoda na świadomą kontrolę urodzeń w czasie leczenia i</w:t>
            </w:r>
            <w:r w:rsidR="003166E8" w:rsidRPr="00C66DE3">
              <w:rPr>
                <w:rFonts w:eastAsia="Malgun Gothic" w:cs="Times New Roman"/>
                <w:sz w:val="20"/>
                <w:szCs w:val="20"/>
              </w:rPr>
              <w:t> </w:t>
            </w:r>
            <w:r w:rsidRPr="00C66DE3">
              <w:rPr>
                <w:rFonts w:eastAsia="Malgun Gothic" w:cs="Times New Roman"/>
                <w:sz w:val="20"/>
                <w:szCs w:val="20"/>
              </w:rPr>
              <w:t xml:space="preserve">w ciągu 5 miesięcy od zastosowania ostatniej dawki </w:t>
            </w:r>
            <w:proofErr w:type="spellStart"/>
            <w:r w:rsidRPr="00C66DE3">
              <w:rPr>
                <w:rFonts w:eastAsia="Malgun Gothic" w:cs="Times New Roman"/>
                <w:sz w:val="20"/>
                <w:szCs w:val="20"/>
              </w:rPr>
              <w:t>ekulizumabu</w:t>
            </w:r>
            <w:proofErr w:type="spellEnd"/>
            <w:r w:rsidR="006A11A3" w:rsidRPr="00C66DE3">
              <w:rPr>
                <w:rFonts w:eastAsia="Malgun Gothic" w:cs="Times New Roman"/>
                <w:sz w:val="20"/>
                <w:szCs w:val="20"/>
              </w:rPr>
              <w:t>;</w:t>
            </w:r>
          </w:p>
          <w:p w:rsidR="0005789F" w:rsidRPr="00C66DE3" w:rsidRDefault="006A11A3" w:rsidP="00440105">
            <w:pPr>
              <w:pStyle w:val="Akapitzlist"/>
              <w:numPr>
                <w:ilvl w:val="2"/>
                <w:numId w:val="16"/>
              </w:numPr>
              <w:spacing w:before="120" w:line="276" w:lineRule="auto"/>
              <w:ind w:left="454" w:hanging="283"/>
              <w:contextualSpacing w:val="0"/>
              <w:rPr>
                <w:rFonts w:eastAsia="Malgun Gothic" w:cs="Times New Roman"/>
                <w:sz w:val="20"/>
                <w:szCs w:val="20"/>
              </w:rPr>
            </w:pPr>
            <w:r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>wykonanie obowiązkowego szczepienia przeciw meningokokom</w:t>
            </w:r>
            <w:r w:rsidR="008571E4"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, w przypadku </w:t>
            </w:r>
            <w:r w:rsidR="00A63089"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>konieczności wdrożenia leczenia przed upływem 2 tygodni po wykonaniu szczepienia przeciw menigokokom -</w:t>
            </w:r>
            <w:r w:rsidR="00876395" w:rsidRPr="00C66DE3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>profilaktyka antybiotykowa</w:t>
            </w:r>
            <w:r w:rsidR="00B61C4A" w:rsidRPr="00C66DE3">
              <w:rPr>
                <w:rFonts w:eastAsia="Malgun Gothic" w:cs="Times New Roman"/>
                <w:sz w:val="20"/>
                <w:szCs w:val="20"/>
              </w:rPr>
              <w:t>.</w:t>
            </w:r>
          </w:p>
          <w:p w:rsidR="0005789F" w:rsidRPr="00C66DE3" w:rsidRDefault="00BF6B81" w:rsidP="0044010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76" w:lineRule="auto"/>
              <w:ind w:left="313" w:hanging="284"/>
              <w:contextualSpacing w:val="0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 w:rsidRPr="00C66DE3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lastRenderedPageBreak/>
              <w:t>Określenie czasu leczenia w programi</w:t>
            </w:r>
            <w:r w:rsidR="0005789F" w:rsidRPr="00C66DE3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  <w:p w:rsidR="00BB74F1" w:rsidRPr="00C66DE3" w:rsidRDefault="00BB74F1" w:rsidP="00440105">
            <w:pPr>
              <w:pStyle w:val="Akapitzlist"/>
              <w:numPr>
                <w:ilvl w:val="0"/>
                <w:numId w:val="17"/>
              </w:numPr>
              <w:spacing w:before="60" w:after="60" w:line="276" w:lineRule="auto"/>
              <w:ind w:left="596"/>
              <w:rPr>
                <w:rFonts w:cs="Times New Roman"/>
                <w:sz w:val="20"/>
                <w:szCs w:val="20"/>
                <w:lang w:eastAsia="pl-PL"/>
              </w:rPr>
            </w:pPr>
            <w:r w:rsidRPr="00C66DE3">
              <w:rPr>
                <w:rFonts w:cs="Times New Roman"/>
                <w:sz w:val="20"/>
                <w:szCs w:val="20"/>
                <w:lang w:eastAsia="pl-PL"/>
              </w:rPr>
              <w:t>Kryteria kwalifikacji i wyłączenia z programu określają czas leczenia w programie.</w:t>
            </w:r>
          </w:p>
          <w:p w:rsidR="00F33533" w:rsidRPr="00C66DE3" w:rsidRDefault="00F33533" w:rsidP="00440105">
            <w:pPr>
              <w:pStyle w:val="Akapitzlist"/>
              <w:numPr>
                <w:ilvl w:val="0"/>
                <w:numId w:val="17"/>
              </w:numPr>
              <w:spacing w:before="60" w:after="60" w:line="276" w:lineRule="auto"/>
              <w:ind w:left="596"/>
              <w:rPr>
                <w:rFonts w:cs="Times New Roman"/>
                <w:sz w:val="20"/>
                <w:szCs w:val="20"/>
                <w:lang w:eastAsia="pl-PL"/>
              </w:rPr>
            </w:pPr>
            <w:r w:rsidRPr="00C66DE3">
              <w:rPr>
                <w:rFonts w:cs="Times New Roman"/>
                <w:sz w:val="20"/>
                <w:szCs w:val="20"/>
                <w:lang w:eastAsia="pl-PL"/>
              </w:rPr>
              <w:t xml:space="preserve">Zespół koordynacyjny ds. </w:t>
            </w:r>
            <w:r w:rsidR="00BB74F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Leczenia Atypowego Zespołu Hemolityczno-mocznicowego</w:t>
            </w:r>
            <w:r w:rsidRPr="00C66DE3">
              <w:rPr>
                <w:rFonts w:cs="Times New Roman"/>
                <w:sz w:val="20"/>
                <w:szCs w:val="20"/>
                <w:lang w:eastAsia="pl-PL"/>
              </w:rPr>
              <w:t xml:space="preserve"> podejmuje decyzje o możliwości czasowego przerwania profilaktycznego leczenia </w:t>
            </w:r>
            <w:proofErr w:type="spellStart"/>
            <w:r w:rsidRPr="00C66DE3">
              <w:rPr>
                <w:rFonts w:cs="Times New Roman"/>
                <w:sz w:val="20"/>
                <w:szCs w:val="20"/>
                <w:lang w:eastAsia="pl-PL"/>
              </w:rPr>
              <w:t>ekulizumabem</w:t>
            </w:r>
            <w:proofErr w:type="spellEnd"/>
            <w:r w:rsidRPr="00C66DE3">
              <w:rPr>
                <w:rFonts w:cs="Times New Roman"/>
                <w:sz w:val="20"/>
                <w:szCs w:val="20"/>
                <w:lang w:eastAsia="pl-PL"/>
              </w:rPr>
              <w:t xml:space="preserve"> po 6 miesiącach leczenia u chorych z niższym ryzykiem nawrotu choroby, u których uzyskano remisję objawów i powrót prawidłowej funkcji narządów wewnętrznych. </w:t>
            </w:r>
          </w:p>
          <w:p w:rsidR="00F33533" w:rsidRPr="00C66DE3" w:rsidRDefault="00F33533" w:rsidP="00440105">
            <w:pPr>
              <w:pStyle w:val="Akapitzlist"/>
              <w:numPr>
                <w:ilvl w:val="0"/>
                <w:numId w:val="17"/>
              </w:numPr>
              <w:spacing w:before="60" w:after="60" w:line="276" w:lineRule="auto"/>
              <w:ind w:left="596"/>
              <w:rPr>
                <w:rFonts w:cs="Times New Roman"/>
                <w:sz w:val="20"/>
                <w:szCs w:val="20"/>
                <w:lang w:eastAsia="pl-PL"/>
              </w:rPr>
            </w:pPr>
            <w:r w:rsidRPr="00C66DE3">
              <w:rPr>
                <w:rFonts w:cs="Times New Roman"/>
                <w:sz w:val="20"/>
                <w:szCs w:val="20"/>
                <w:lang w:eastAsia="pl-PL"/>
              </w:rPr>
              <w:t xml:space="preserve">Chorzy, u których konieczne jest ponowne włączenie leczenia po decyzji Zespołu koordynacyjnego ds. </w:t>
            </w:r>
            <w:r w:rsidR="00BB74F1" w:rsidRPr="00C66DE3">
              <w:rPr>
                <w:rFonts w:eastAsia="Malgun Gothic" w:cs="Times New Roman"/>
                <w:sz w:val="20"/>
                <w:szCs w:val="20"/>
                <w:lang w:eastAsia="pl-PL"/>
              </w:rPr>
              <w:t>Leczenia Atypowego Zespołu Hemolityczno-mocznicowego</w:t>
            </w:r>
            <w:r w:rsidRPr="00C66DE3">
              <w:rPr>
                <w:rFonts w:cs="Times New Roman"/>
                <w:sz w:val="20"/>
                <w:szCs w:val="20"/>
                <w:lang w:eastAsia="pl-PL"/>
              </w:rPr>
              <w:t xml:space="preserve"> będą włączani do programu bez konieczności ponownej kwalifikacji.</w:t>
            </w:r>
          </w:p>
          <w:p w:rsidR="0005789F" w:rsidRPr="00C66DE3" w:rsidRDefault="00893878" w:rsidP="0044010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60" w:line="276" w:lineRule="auto"/>
              <w:ind w:left="313" w:hanging="313"/>
              <w:contextualSpacing w:val="0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 w:rsidRPr="00C66DE3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>Kryteria wyłączenia</w:t>
            </w:r>
          </w:p>
          <w:p w:rsidR="00354FDB" w:rsidRPr="00C66DE3" w:rsidRDefault="00EF0EA9" w:rsidP="004401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4" w:hanging="283"/>
              <w:contextualSpacing w:val="0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ciąża – jeśli dalsze leczenie nie </w:t>
            </w:r>
            <w:r w:rsidR="000C4A9C"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>jest bezwzględnie konieczne</w:t>
            </w:r>
            <w:r w:rsidR="007C280C"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8C1035" w:rsidRPr="00C66DE3" w:rsidRDefault="008C1035" w:rsidP="004401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4" w:hanging="283"/>
              <w:contextualSpacing w:val="0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>karmienie piersią;</w:t>
            </w:r>
          </w:p>
          <w:p w:rsidR="000E07F9" w:rsidRPr="00C66DE3" w:rsidRDefault="00354FDB" w:rsidP="004401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4" w:hanging="283"/>
              <w:contextualSpacing w:val="0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wystąpienie </w:t>
            </w:r>
            <w:r w:rsidR="00177B7B"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ciężkich </w:t>
            </w:r>
            <w:r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>działań niepożądanych związanych z</w:t>
            </w:r>
            <w:r w:rsidR="003166E8"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> </w:t>
            </w:r>
            <w:r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>lekiem;</w:t>
            </w:r>
          </w:p>
          <w:p w:rsidR="00177B7B" w:rsidRPr="00C66DE3" w:rsidRDefault="00177B7B" w:rsidP="004401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4" w:hanging="283"/>
              <w:contextualSpacing w:val="0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sz w:val="20"/>
                <w:szCs w:val="20"/>
              </w:rPr>
              <w:t xml:space="preserve">nadwrażliwość na </w:t>
            </w:r>
            <w:proofErr w:type="spellStart"/>
            <w:r w:rsidRPr="00C66DE3">
              <w:rPr>
                <w:sz w:val="20"/>
                <w:szCs w:val="20"/>
              </w:rPr>
              <w:t>ekulizumab</w:t>
            </w:r>
            <w:proofErr w:type="spellEnd"/>
            <w:r w:rsidRPr="00C66DE3">
              <w:rPr>
                <w:sz w:val="20"/>
                <w:szCs w:val="20"/>
              </w:rPr>
              <w:t>, białka mysie lub substancje pomocnicze;</w:t>
            </w:r>
          </w:p>
          <w:p w:rsidR="00354FDB" w:rsidRPr="00C66DE3" w:rsidRDefault="00354FDB" w:rsidP="004401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4" w:hanging="283"/>
              <w:contextualSpacing w:val="0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>niestosowanie się pacjenta do zaleceń lekarskich;</w:t>
            </w:r>
          </w:p>
          <w:p w:rsidR="008F0A58" w:rsidRPr="00C66DE3" w:rsidRDefault="00354FDB" w:rsidP="00440105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454" w:hanging="283"/>
              <w:contextualSpacing w:val="0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cs="Times New Roman"/>
                <w:noProof/>
                <w:sz w:val="20"/>
                <w:szCs w:val="20"/>
                <w:lang w:eastAsia="pl-PL"/>
              </w:rPr>
              <w:t>wycofanie przez pacjenta zgody na leczenie.</w:t>
            </w:r>
          </w:p>
        </w:tc>
        <w:tc>
          <w:tcPr>
            <w:tcW w:w="927" w:type="pct"/>
          </w:tcPr>
          <w:p w:rsidR="00144AA9" w:rsidRPr="00C66DE3" w:rsidRDefault="00141398" w:rsidP="0044010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76" w:lineRule="auto"/>
              <w:ind w:left="318" w:hanging="283"/>
              <w:contextualSpacing w:val="0"/>
              <w:outlineLvl w:val="2"/>
              <w:rPr>
                <w:rFonts w:eastAsia="Malgun Gothic" w:cs="Times New Roman"/>
                <w:bCs/>
                <w:sz w:val="20"/>
                <w:szCs w:val="20"/>
              </w:rPr>
            </w:pPr>
            <w:r w:rsidRPr="00C66DE3">
              <w:rPr>
                <w:rFonts w:eastAsia="Malgun Gothic" w:cs="Times New Roman"/>
                <w:b/>
                <w:sz w:val="20"/>
                <w:szCs w:val="20"/>
                <w:lang w:eastAsia="pl-PL"/>
              </w:rPr>
              <w:lastRenderedPageBreak/>
              <w:t>Dawkowanie</w:t>
            </w:r>
          </w:p>
          <w:p w:rsidR="00EE7FB1" w:rsidRPr="00C66DE3" w:rsidRDefault="00F77E4C" w:rsidP="00440105">
            <w:pPr>
              <w:spacing w:line="276" w:lineRule="auto"/>
              <w:rPr>
                <w:rFonts w:eastAsia="Malgun Gothic" w:cs="Times New Roman"/>
                <w:bCs/>
                <w:sz w:val="20"/>
                <w:szCs w:val="20"/>
              </w:rPr>
            </w:pPr>
            <w:r w:rsidRPr="00C66DE3">
              <w:rPr>
                <w:rFonts w:eastAsiaTheme="minorEastAsia"/>
                <w:noProof/>
                <w:sz w:val="20"/>
                <w:szCs w:val="20"/>
              </w:rPr>
              <w:t>Dawkowanie preparatu ekulizumab z</w:t>
            </w:r>
            <w:r w:rsidR="000C53B5" w:rsidRPr="00C66DE3">
              <w:rPr>
                <w:rFonts w:eastAsiaTheme="minorEastAsia"/>
                <w:noProof/>
                <w:sz w:val="20"/>
                <w:szCs w:val="20"/>
              </w:rPr>
              <w:t>godnie z </w:t>
            </w:r>
            <w:r w:rsidR="00204A2A" w:rsidRPr="00C66DE3">
              <w:rPr>
                <w:rFonts w:eastAsiaTheme="minorEastAsia"/>
                <w:noProof/>
                <w:sz w:val="20"/>
                <w:szCs w:val="20"/>
              </w:rPr>
              <w:t xml:space="preserve">aktualną </w:t>
            </w:r>
            <w:r w:rsidR="00204A2A" w:rsidRPr="00C66DE3">
              <w:rPr>
                <w:rFonts w:eastAsia="Malgun Gothic" w:cs="Times New Roman"/>
                <w:bCs/>
                <w:sz w:val="20"/>
                <w:szCs w:val="20"/>
              </w:rPr>
              <w:t>Charakterystyką Produktu Leczniczego</w:t>
            </w:r>
            <w:r w:rsidR="0082647C" w:rsidRPr="00C66DE3">
              <w:rPr>
                <w:rFonts w:eastAsia="Malgun Gothic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45" w:type="pct"/>
          </w:tcPr>
          <w:p w:rsidR="007A1100" w:rsidRPr="00C66DE3" w:rsidRDefault="00953B68" w:rsidP="00440105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02" w:hanging="283"/>
              <w:contextualSpacing w:val="0"/>
              <w:rPr>
                <w:rFonts w:eastAsia="Malgun Gothic" w:cs="Times New Roman"/>
                <w:b/>
                <w:noProof/>
                <w:sz w:val="20"/>
                <w:szCs w:val="20"/>
              </w:rPr>
            </w:pPr>
            <w:r w:rsidRPr="00C66DE3">
              <w:rPr>
                <w:rFonts w:eastAsia="Malgun Gothic" w:cs="Times New Roman"/>
                <w:b/>
                <w:noProof/>
                <w:sz w:val="20"/>
                <w:szCs w:val="20"/>
              </w:rPr>
              <w:t>Badania przy kwalifikacji</w:t>
            </w:r>
            <w:r w:rsidR="00720802" w:rsidRPr="00C66DE3">
              <w:rPr>
                <w:rFonts w:eastAsia="Malgun Gothic" w:cs="Times New Roman"/>
                <w:b/>
                <w:noProof/>
                <w:sz w:val="20"/>
                <w:szCs w:val="20"/>
              </w:rPr>
              <w:t>:</w:t>
            </w:r>
          </w:p>
          <w:p w:rsidR="007A1100" w:rsidRPr="00C66DE3" w:rsidRDefault="006F24D2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a</w:t>
            </w:r>
            <w:r w:rsidR="00F50204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ktywność ADAMTS13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7A1100" w:rsidRPr="00C66DE3" w:rsidRDefault="006F24D2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b</w:t>
            </w:r>
            <w:r w:rsidR="00AF49C5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adanie </w:t>
            </w:r>
            <w:r w:rsidR="007A1100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STEC </w:t>
            </w:r>
            <w:r w:rsidR="00AF49C5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(PCR lub hodowla bakteryjna</w:t>
            </w:r>
            <w:r w:rsidR="007A1100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)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C168E5" w:rsidRPr="00C66DE3" w:rsidRDefault="00A21C87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wykonanie badani potwierdzającego lub wykluczającego </w:t>
            </w:r>
            <w:r w:rsidR="00C168E5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ciąż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ę (</w:t>
            </w:r>
            <w:r w:rsidR="00C168E5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u kobiet w wieku rozrodczym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)</w:t>
            </w:r>
            <w:r w:rsidR="00C168E5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132003" w:rsidRPr="00C66DE3" w:rsidRDefault="00132003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sz w:val="20"/>
                <w:szCs w:val="20"/>
              </w:rPr>
              <w:t>dehydrogenaza mleczanowa całkowita (LDH);</w:t>
            </w:r>
          </w:p>
          <w:p w:rsidR="007A1100" w:rsidRPr="00C66DE3" w:rsidRDefault="0050762D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stężenie h</w:t>
            </w:r>
            <w:r w:rsidR="00132003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aptoglobin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y</w:t>
            </w:r>
            <w:r w:rsidR="00132003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(Hp)</w:t>
            </w:r>
            <w:r w:rsidR="00132003" w:rsidRPr="00C66DE3" w:rsidDel="00720802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216EE9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lub</w:t>
            </w:r>
            <w:r w:rsidR="00CB6289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schistocyty</w:t>
            </w:r>
            <w:r w:rsidR="00574148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7A1100" w:rsidRPr="00C66DE3" w:rsidRDefault="00720802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m</w:t>
            </w:r>
            <w:r w:rsidR="008D5A67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orfologia 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krwi </w:t>
            </w:r>
            <w:r w:rsidR="008D5A67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z rozmazem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7A1100" w:rsidRPr="00C66DE3" w:rsidRDefault="00D14628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Test Coombsa</w:t>
            </w:r>
            <w:r w:rsidR="00720802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720802" w:rsidRPr="00C66DE3" w:rsidRDefault="00720802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aminotransferaza asparaginowa (</w:t>
            </w:r>
            <w:r w:rsidR="00A92572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AspAT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);</w:t>
            </w:r>
            <w:r w:rsidR="00A92572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7A1100" w:rsidRPr="00C66DE3" w:rsidRDefault="00720802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aminotransferaza alaninowa (</w:t>
            </w:r>
            <w:r w:rsidR="00A92572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AlA</w:t>
            </w:r>
            <w:r w:rsidR="007A1100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T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);</w:t>
            </w:r>
            <w:r w:rsidR="007A1100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7A1100" w:rsidRPr="00C66DE3" w:rsidRDefault="00720802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b</w:t>
            </w:r>
            <w:r w:rsidR="00561055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ilirubina całkowita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  <w:r w:rsidR="007A1100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7A1100" w:rsidRPr="00C66DE3" w:rsidRDefault="00720802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b</w:t>
            </w:r>
            <w:r w:rsidR="00561055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ilirubina frakcje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7A1100" w:rsidRPr="00C66DE3" w:rsidRDefault="00720802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f</w:t>
            </w:r>
            <w:r w:rsidR="00025164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osfataza alkaliczna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7A1100" w:rsidRPr="00C66DE3" w:rsidRDefault="00720802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b</w:t>
            </w:r>
            <w:r w:rsidR="00025164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adanie ogólne moczu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7A1100" w:rsidRPr="00C66DE3" w:rsidRDefault="00720802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s</w:t>
            </w:r>
            <w:r w:rsidR="00C37181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tężenie kreatyniny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7A1100" w:rsidRPr="00C66DE3" w:rsidRDefault="00720802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s</w:t>
            </w:r>
            <w:r w:rsidR="00ED0839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tężenie mocznika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997C1B" w:rsidRPr="00C66DE3" w:rsidRDefault="00720802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s</w:t>
            </w:r>
            <w:r w:rsidR="00ED0839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tężenie kwasu moczowe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g</w:t>
            </w:r>
            <w:r w:rsidR="00ED0839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o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270696" w:rsidRPr="00C66DE3" w:rsidRDefault="00270696" w:rsidP="00440105">
            <w:pPr>
              <w:numPr>
                <w:ilvl w:val="0"/>
                <w:numId w:val="7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w przypadk</w:t>
            </w:r>
            <w:r w:rsidR="00E00A76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u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występowania</w:t>
            </w:r>
            <w:r w:rsidR="00C63FED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u pacjentów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:</w:t>
            </w:r>
          </w:p>
          <w:p w:rsidR="00270696" w:rsidRPr="00C66DE3" w:rsidRDefault="00270696" w:rsidP="0044010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objawów neurologicznych</w:t>
            </w:r>
          </w:p>
          <w:p w:rsidR="00270696" w:rsidRPr="00C66DE3" w:rsidRDefault="00270696" w:rsidP="00440105">
            <w:pPr>
              <w:pStyle w:val="Akapitzlist"/>
              <w:spacing w:line="276" w:lineRule="auto"/>
              <w:ind w:left="1080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 rezonans magnetyczny z angiografią</w:t>
            </w:r>
          </w:p>
          <w:p w:rsidR="00270696" w:rsidRPr="00C66DE3" w:rsidRDefault="00270696" w:rsidP="00440105">
            <w:pPr>
              <w:pStyle w:val="Akapitzlist"/>
              <w:spacing w:line="276" w:lineRule="auto"/>
              <w:ind w:left="1080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lub</w:t>
            </w:r>
          </w:p>
          <w:p w:rsidR="00270696" w:rsidRPr="00C66DE3" w:rsidRDefault="00270696" w:rsidP="00440105">
            <w:pPr>
              <w:pStyle w:val="Akapitzlist"/>
              <w:spacing w:line="276" w:lineRule="auto"/>
              <w:ind w:left="1080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 tomografia komputerowa ośrodkowego układu nerwowego</w:t>
            </w:r>
            <w:r w:rsidR="00C63FED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270696" w:rsidRPr="00C66DE3" w:rsidRDefault="00E9629A" w:rsidP="0044010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lastRenderedPageBreak/>
              <w:t>objawów ze strony układu pokarmowego</w:t>
            </w:r>
          </w:p>
          <w:p w:rsidR="00E9629A" w:rsidRPr="00C66DE3" w:rsidRDefault="00E9629A" w:rsidP="00440105">
            <w:pPr>
              <w:pStyle w:val="Akapitzlist"/>
              <w:spacing w:line="276" w:lineRule="auto"/>
              <w:ind w:left="1153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 amylaza,</w:t>
            </w:r>
          </w:p>
          <w:p w:rsidR="00E9629A" w:rsidRPr="00C66DE3" w:rsidRDefault="00E9629A" w:rsidP="00440105">
            <w:pPr>
              <w:pStyle w:val="Akapitzlist"/>
              <w:spacing w:line="276" w:lineRule="auto"/>
              <w:ind w:left="1153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 lipaza,</w:t>
            </w:r>
          </w:p>
          <w:p w:rsidR="00E9629A" w:rsidRPr="00C66DE3" w:rsidRDefault="00E9629A" w:rsidP="00440105">
            <w:pPr>
              <w:pStyle w:val="Akapitzlist"/>
              <w:spacing w:line="276" w:lineRule="auto"/>
              <w:ind w:left="1153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 usg jamy brzusznej</w:t>
            </w:r>
            <w:r w:rsidR="00C63FED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E9629A" w:rsidRPr="00C66DE3" w:rsidRDefault="00EB0AA1" w:rsidP="0044010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objawów ze strony układu sercowo-naczyniowego</w:t>
            </w:r>
            <w:r w:rsidR="00C63FED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:</w:t>
            </w:r>
          </w:p>
          <w:p w:rsidR="00EB0AA1" w:rsidRPr="00C66DE3" w:rsidRDefault="00EB0AA1" w:rsidP="00440105">
            <w:pPr>
              <w:pStyle w:val="Akapitzlist"/>
              <w:spacing w:line="276" w:lineRule="auto"/>
              <w:ind w:left="1080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 troponina T lub troponina I,</w:t>
            </w:r>
          </w:p>
          <w:p w:rsidR="00EB0AA1" w:rsidRPr="00C66DE3" w:rsidRDefault="00EB0AA1" w:rsidP="00440105">
            <w:pPr>
              <w:pStyle w:val="Akapitzlist"/>
              <w:spacing w:line="276" w:lineRule="auto"/>
              <w:ind w:left="1080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lub</w:t>
            </w:r>
          </w:p>
          <w:p w:rsidR="00EB0AA1" w:rsidRPr="00C66DE3" w:rsidRDefault="00EB0AA1" w:rsidP="00440105">
            <w:pPr>
              <w:pStyle w:val="Akapitzlist"/>
              <w:spacing w:line="276" w:lineRule="auto"/>
              <w:ind w:left="1080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 EKG</w:t>
            </w:r>
          </w:p>
          <w:p w:rsidR="00EB0AA1" w:rsidRPr="00C66DE3" w:rsidRDefault="00EB0AA1" w:rsidP="00440105">
            <w:pPr>
              <w:pStyle w:val="Akapitzlist"/>
              <w:spacing w:line="276" w:lineRule="auto"/>
              <w:ind w:left="1080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lub </w:t>
            </w:r>
          </w:p>
          <w:p w:rsidR="00EB0AA1" w:rsidRPr="00C66DE3" w:rsidRDefault="00EB0AA1" w:rsidP="00440105">
            <w:pPr>
              <w:pStyle w:val="Akapitzlist"/>
              <w:spacing w:line="276" w:lineRule="auto"/>
              <w:ind w:left="1080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 echo serca</w:t>
            </w:r>
          </w:p>
          <w:p w:rsidR="00EB0AA1" w:rsidRPr="00C66DE3" w:rsidRDefault="00EB0AA1" w:rsidP="00440105">
            <w:pPr>
              <w:pStyle w:val="Akapitzlist"/>
              <w:spacing w:line="276" w:lineRule="auto"/>
              <w:ind w:left="1080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lub </w:t>
            </w:r>
          </w:p>
          <w:p w:rsidR="00C168E5" w:rsidRPr="00C66DE3" w:rsidRDefault="00EB0AA1" w:rsidP="00440105">
            <w:pPr>
              <w:pStyle w:val="Akapitzlist"/>
              <w:spacing w:line="276" w:lineRule="auto"/>
              <w:ind w:left="1080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 cewnikowanie serca</w:t>
            </w:r>
            <w:r w:rsidR="00C168E5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B13ADE" w:rsidRPr="00C66DE3" w:rsidRDefault="00B13ADE" w:rsidP="004401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przeciwciała przeciw czynnikowi H (anty CFH) – leczenie można wdrożyć w trakcie oczekiwania na wynik badania;</w:t>
            </w:r>
          </w:p>
          <w:p w:rsidR="00F009E4" w:rsidRPr="00C66DE3" w:rsidRDefault="00C168E5" w:rsidP="004401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oznaczenie stężenia białek układu dopełniacza w surowicy i najczęstrzych mutacji genetycznych - leczenie można wdrożyć w trakcie oczekiwania na wynik badania</w:t>
            </w:r>
            <w:r w:rsidR="00EB0AA1" w:rsidRPr="00C66DE3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.</w:t>
            </w:r>
          </w:p>
          <w:p w:rsidR="007A1100" w:rsidRPr="00C66DE3" w:rsidRDefault="00486DC5" w:rsidP="00440105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ind w:left="444" w:hanging="284"/>
              <w:contextualSpacing w:val="0"/>
              <w:rPr>
                <w:rFonts w:eastAsia="Malgun Gothic" w:cs="Times New Roman"/>
                <w:b/>
                <w:noProof/>
                <w:sz w:val="20"/>
                <w:szCs w:val="20"/>
              </w:rPr>
            </w:pPr>
            <w:r w:rsidRPr="00C66DE3">
              <w:rPr>
                <w:rFonts w:eastAsia="Malgun Gothic" w:cs="Times New Roman"/>
                <w:b/>
                <w:noProof/>
                <w:sz w:val="20"/>
                <w:szCs w:val="20"/>
              </w:rPr>
              <w:t xml:space="preserve">Monitorowanie </w:t>
            </w:r>
            <w:r w:rsidR="0018114E" w:rsidRPr="00C66DE3">
              <w:rPr>
                <w:rFonts w:eastAsia="Malgun Gothic" w:cs="Times New Roman"/>
                <w:b/>
                <w:noProof/>
                <w:sz w:val="20"/>
                <w:szCs w:val="20"/>
              </w:rPr>
              <w:t>leczenia</w:t>
            </w:r>
          </w:p>
          <w:p w:rsidR="007A1100" w:rsidRPr="00C66DE3" w:rsidRDefault="00F54649" w:rsidP="00440105">
            <w:pPr>
              <w:numPr>
                <w:ilvl w:val="0"/>
                <w:numId w:val="9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>W czasie leczenia poc</w:t>
            </w:r>
            <w:r w:rsidR="000C53B5" w:rsidRPr="00C66DE3">
              <w:rPr>
                <w:rFonts w:eastAsia="Malgun Gothic" w:cs="Times New Roman"/>
                <w:noProof/>
                <w:sz w:val="20"/>
                <w:szCs w:val="20"/>
              </w:rPr>
              <w:t>zątkowego (tj. przez pierwsze 4 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tygodnie) </w:t>
            </w:r>
            <w:r w:rsidR="00FC03CC" w:rsidRPr="00C66DE3">
              <w:rPr>
                <w:rFonts w:eastAsia="Malgun Gothic" w:cs="Times New Roman"/>
                <w:noProof/>
                <w:sz w:val="20"/>
                <w:szCs w:val="20"/>
              </w:rPr>
              <w:t>monitorowanie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 </w:t>
            </w:r>
            <w:r w:rsidR="00942FC6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leczenia obejmuje wkonywanie </w:t>
            </w:r>
            <w:r w:rsidR="00006DF5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raz w tygodniu </w:t>
            </w:r>
            <w:r w:rsidR="00942FC6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badań wyszczególnionych jako pozycje </w:t>
            </w:r>
            <w:r w:rsidR="00854EFF" w:rsidRPr="00C66DE3">
              <w:rPr>
                <w:rFonts w:eastAsia="Malgun Gothic" w:cs="Times New Roman"/>
                <w:noProof/>
                <w:sz w:val="20"/>
                <w:szCs w:val="20"/>
              </w:rPr>
              <w:t>4</w:t>
            </w:r>
            <w:r w:rsidR="00942FC6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 </w:t>
            </w:r>
            <w:r w:rsidR="0079655D" w:rsidRPr="00C66DE3">
              <w:rPr>
                <w:rFonts w:eastAsia="Malgun Gothic" w:cs="Times New Roman"/>
                <w:noProof/>
                <w:sz w:val="20"/>
                <w:szCs w:val="20"/>
              </w:rPr>
              <w:t>-</w:t>
            </w:r>
            <w:r w:rsidR="00942FC6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 1</w:t>
            </w:r>
            <w:r w:rsidR="00B13ADE" w:rsidRPr="00C66DE3">
              <w:rPr>
                <w:rFonts w:eastAsia="Malgun Gothic" w:cs="Times New Roman"/>
                <w:noProof/>
                <w:sz w:val="20"/>
                <w:szCs w:val="20"/>
              </w:rPr>
              <w:t>7</w:t>
            </w:r>
            <w:r w:rsidR="00942FC6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 w </w:t>
            </w:r>
            <w:r w:rsidR="00006DF5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części </w:t>
            </w:r>
            <w:r w:rsidR="00942FC6" w:rsidRPr="00C66DE3">
              <w:rPr>
                <w:rFonts w:eastAsia="Malgun Gothic" w:cs="Times New Roman"/>
                <w:noProof/>
                <w:sz w:val="20"/>
                <w:szCs w:val="20"/>
              </w:rPr>
              <w:t>badania</w:t>
            </w:r>
            <w:r w:rsidR="00006DF5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 przy kwalifikacji. </w:t>
            </w:r>
            <w:r w:rsidR="00B13ADE" w:rsidRPr="00C66DE3">
              <w:rPr>
                <w:rFonts w:eastAsia="Malgun Gothic" w:cs="Times New Roman"/>
                <w:noProof/>
                <w:sz w:val="20"/>
                <w:szCs w:val="20"/>
              </w:rPr>
              <w:t>Badanie wyszczególnione jako pozycja 18 – do decyzji lekarza prowadz</w:t>
            </w:r>
            <w:r w:rsidR="0079655D" w:rsidRPr="00C66DE3">
              <w:rPr>
                <w:rFonts w:eastAsia="Malgun Gothic" w:cs="Times New Roman"/>
                <w:noProof/>
                <w:sz w:val="20"/>
                <w:szCs w:val="20"/>
              </w:rPr>
              <w:t>ą</w:t>
            </w:r>
            <w:r w:rsidR="00B13ADE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cego. </w:t>
            </w:r>
          </w:p>
          <w:p w:rsidR="007A1100" w:rsidRPr="00C66DE3" w:rsidRDefault="007021EA" w:rsidP="00440105">
            <w:pPr>
              <w:numPr>
                <w:ilvl w:val="0"/>
                <w:numId w:val="9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>Począwszy od 5 tygodnia monitorowanie</w:t>
            </w:r>
            <w:r w:rsidR="0079655D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 leczenia opisane w pkt 1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 odbywa się co 2 </w:t>
            </w:r>
            <w:r w:rsidR="00C948B1" w:rsidRPr="00C66DE3">
              <w:rPr>
                <w:rFonts w:eastAsia="Malgun Gothic" w:cs="Times New Roman"/>
                <w:noProof/>
                <w:sz w:val="20"/>
                <w:szCs w:val="20"/>
              </w:rPr>
              <w:t>tygodnie</w:t>
            </w:r>
            <w:r w:rsidR="007A1100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. </w:t>
            </w:r>
          </w:p>
          <w:p w:rsidR="007A1100" w:rsidRPr="00C66DE3" w:rsidRDefault="00A122B2" w:rsidP="00440105">
            <w:pPr>
              <w:numPr>
                <w:ilvl w:val="0"/>
                <w:numId w:val="9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>Po upływie 3 miesięcy</w:t>
            </w:r>
            <w:r w:rsidR="00AB789D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 monitorowanie </w:t>
            </w:r>
            <w:r w:rsidR="0079655D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leczenia opisane w pkt 1 </w:t>
            </w:r>
            <w:r w:rsidR="00AB789D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odbywa się raz 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>w</w:t>
            </w:r>
            <w:r w:rsidR="00AB789D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 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>miesiącu</w:t>
            </w:r>
            <w:r w:rsidR="007A1100" w:rsidRPr="00C66DE3">
              <w:rPr>
                <w:rFonts w:eastAsia="Malgun Gothic" w:cs="Times New Roman"/>
                <w:noProof/>
                <w:sz w:val="20"/>
                <w:szCs w:val="20"/>
              </w:rPr>
              <w:t>.</w:t>
            </w:r>
          </w:p>
          <w:p w:rsidR="007A1100" w:rsidRPr="00C66DE3" w:rsidRDefault="00824F8A" w:rsidP="00440105">
            <w:pPr>
              <w:numPr>
                <w:ilvl w:val="0"/>
                <w:numId w:val="9"/>
              </w:numPr>
              <w:spacing w:line="276" w:lineRule="auto"/>
              <w:rPr>
                <w:rFonts w:eastAsia="Malgun Gothic" w:cs="Times New Roman"/>
                <w:noProof/>
                <w:sz w:val="20"/>
                <w:szCs w:val="20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>Po upływie 1 roku leczenia monitorowanie</w:t>
            </w:r>
            <w:r w:rsidR="0079655D"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 leczenia opisane w pkt 1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 odbywa się raz na 3 miesiące</w:t>
            </w:r>
            <w:r w:rsidR="007A1100" w:rsidRPr="00C66DE3">
              <w:rPr>
                <w:rFonts w:eastAsia="Malgun Gothic" w:cs="Times New Roman"/>
                <w:noProof/>
                <w:sz w:val="20"/>
                <w:szCs w:val="20"/>
              </w:rPr>
              <w:t>.</w:t>
            </w:r>
          </w:p>
          <w:p w:rsidR="007A1100" w:rsidRPr="00C66DE3" w:rsidRDefault="005857E6" w:rsidP="00440105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ind w:left="444" w:hanging="284"/>
              <w:contextualSpacing w:val="0"/>
              <w:rPr>
                <w:rFonts w:eastAsia="Malgun Gothic" w:cs="Times New Roman"/>
                <w:b/>
                <w:sz w:val="20"/>
                <w:szCs w:val="20"/>
                <w:lang w:eastAsia="pl-PL"/>
              </w:rPr>
            </w:pPr>
            <w:r w:rsidRPr="00C66DE3">
              <w:rPr>
                <w:rFonts w:eastAsia="Malgun Gothic" w:cs="Times New Roman"/>
                <w:b/>
                <w:sz w:val="20"/>
                <w:szCs w:val="20"/>
                <w:lang w:eastAsia="pl-PL"/>
              </w:rPr>
              <w:t>Monitorowanie programu</w:t>
            </w:r>
          </w:p>
          <w:p w:rsidR="007A1100" w:rsidRPr="00C66DE3" w:rsidRDefault="00610056" w:rsidP="0044010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444" w:hanging="284"/>
              <w:rPr>
                <w:rFonts w:eastAsia="Malgun Gothic" w:cs="Times New Roman"/>
                <w:noProof/>
                <w:sz w:val="20"/>
                <w:szCs w:val="20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>1)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ab/>
              <w:t xml:space="preserve">gromadzenie w dokumentacji medycznej pacjenta danych dotyczących monitorowania leczenia i każdorazowe ich 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lastRenderedPageBreak/>
              <w:t>przed</w:t>
            </w:r>
            <w:r w:rsidR="00023ACA" w:rsidRPr="00C66DE3">
              <w:rPr>
                <w:rFonts w:eastAsia="Malgun Gothic" w:cs="Times New Roman"/>
                <w:noProof/>
                <w:sz w:val="20"/>
                <w:szCs w:val="20"/>
              </w:rPr>
              <w:t>stawianie na żądanie kontrolera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 xml:space="preserve"> Narodowego Funduszu Zdrowia</w:t>
            </w:r>
            <w:r w:rsidR="00865E96" w:rsidRPr="00C66DE3">
              <w:rPr>
                <w:rFonts w:eastAsia="Malgun Gothic" w:cs="Times New Roman"/>
                <w:noProof/>
                <w:sz w:val="20"/>
                <w:szCs w:val="20"/>
              </w:rPr>
              <w:t>;</w:t>
            </w:r>
          </w:p>
          <w:p w:rsidR="00432E39" w:rsidRPr="00C66DE3" w:rsidRDefault="009F6FCD" w:rsidP="00440105">
            <w:pPr>
              <w:widowControl w:val="0"/>
              <w:autoSpaceDE w:val="0"/>
              <w:autoSpaceDN w:val="0"/>
              <w:adjustRightInd w:val="0"/>
              <w:spacing w:before="60" w:after="120" w:line="276" w:lineRule="auto"/>
              <w:ind w:left="444" w:hanging="284"/>
              <w:outlineLvl w:val="2"/>
              <w:rPr>
                <w:rFonts w:eastAsia="Malgun Gothic" w:cs="Times New Roman"/>
                <w:noProof/>
                <w:sz w:val="20"/>
                <w:szCs w:val="20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>2)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ab/>
              <w:t xml:space="preserve">uzupełnienie danych zawartych w rejestrze (SMPT) dostępnym za pomocą aplikacji internetowej udostępnionej przez OW </w:t>
            </w:r>
            <w:r w:rsidR="000C53B5" w:rsidRPr="00C66DE3">
              <w:rPr>
                <w:rFonts w:eastAsia="Malgun Gothic" w:cs="Times New Roman"/>
                <w:noProof/>
                <w:sz w:val="20"/>
                <w:szCs w:val="20"/>
              </w:rPr>
              <w:t>NFZ, z częstotliwością zgodną z </w:t>
            </w: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>opisem programu oraz na zakończenie leczenia</w:t>
            </w:r>
            <w:r w:rsidR="007A1100" w:rsidRPr="00C66DE3">
              <w:rPr>
                <w:rFonts w:eastAsia="Malgun Gothic" w:cs="Times New Roman"/>
                <w:noProof/>
                <w:sz w:val="20"/>
                <w:szCs w:val="20"/>
              </w:rPr>
              <w:t>;</w:t>
            </w:r>
          </w:p>
          <w:p w:rsidR="001B1B22" w:rsidRPr="00C66DE3" w:rsidRDefault="000D3EF1" w:rsidP="0044010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120" w:line="276" w:lineRule="auto"/>
              <w:ind w:left="444" w:hanging="284"/>
              <w:contextualSpacing w:val="0"/>
              <w:outlineLvl w:val="2"/>
              <w:rPr>
                <w:rFonts w:eastAsia="Malgun Gothic" w:cs="Times New Roman"/>
                <w:noProof/>
                <w:sz w:val="20"/>
                <w:szCs w:val="20"/>
              </w:rPr>
            </w:pPr>
            <w:r w:rsidRPr="00C66DE3">
              <w:rPr>
                <w:rFonts w:eastAsia="Malgun Gothic" w:cs="Times New Roman"/>
                <w:noProof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</w:t>
            </w:r>
            <w:r w:rsidR="007A1100" w:rsidRPr="00C66DE3">
              <w:rPr>
                <w:rFonts w:eastAsia="Malgun Gothic" w:cs="Times New Roman"/>
                <w:noProof/>
                <w:sz w:val="20"/>
                <w:szCs w:val="20"/>
              </w:rPr>
              <w:t>.</w:t>
            </w:r>
          </w:p>
        </w:tc>
      </w:tr>
    </w:tbl>
    <w:p w:rsidR="00097CEA" w:rsidRPr="000C53B5" w:rsidRDefault="00097CEA" w:rsidP="000C53B5">
      <w:pPr>
        <w:spacing w:after="0"/>
        <w:rPr>
          <w:rFonts w:cs="Times New Roman"/>
          <w:noProof/>
          <w:sz w:val="8"/>
          <w:szCs w:val="20"/>
        </w:rPr>
      </w:pPr>
      <w:bookmarkStart w:id="0" w:name="_GoBack"/>
      <w:bookmarkEnd w:id="0"/>
    </w:p>
    <w:sectPr w:rsidR="00097CEA" w:rsidRPr="000C53B5" w:rsidSect="00C66DE3">
      <w:footerReference w:type="default" r:id="rId8"/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EA" w:rsidRDefault="00A50AEA" w:rsidP="00EA1DA5">
      <w:pPr>
        <w:spacing w:after="0" w:line="240" w:lineRule="auto"/>
      </w:pPr>
      <w:r>
        <w:separator/>
      </w:r>
    </w:p>
  </w:endnote>
  <w:endnote w:type="continuationSeparator" w:id="0">
    <w:p w:rsidR="00A50AEA" w:rsidRDefault="00A50AEA" w:rsidP="00E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48" w:rsidRPr="001B56AA" w:rsidRDefault="00151148" w:rsidP="001B56AA">
    <w:pPr>
      <w:spacing w:after="0" w:line="240" w:lineRule="auto"/>
      <w:jc w:val="center"/>
      <w:rPr>
        <w:rFonts w:eastAsia="Times New Roman" w:cs="Times New Roman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EA" w:rsidRDefault="00A50AEA" w:rsidP="00EA1DA5">
      <w:pPr>
        <w:spacing w:after="0" w:line="240" w:lineRule="auto"/>
      </w:pPr>
      <w:r>
        <w:separator/>
      </w:r>
    </w:p>
  </w:footnote>
  <w:footnote w:type="continuationSeparator" w:id="0">
    <w:p w:rsidR="00A50AEA" w:rsidRDefault="00A50AEA" w:rsidP="00EA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1A30"/>
    <w:multiLevelType w:val="hybridMultilevel"/>
    <w:tmpl w:val="BCA807AE"/>
    <w:lvl w:ilvl="0" w:tplc="F33A91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7841"/>
    <w:multiLevelType w:val="hybridMultilevel"/>
    <w:tmpl w:val="F6FCBB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90D"/>
    <w:multiLevelType w:val="hybridMultilevel"/>
    <w:tmpl w:val="A64096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189"/>
    <w:multiLevelType w:val="hybridMultilevel"/>
    <w:tmpl w:val="CE6206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6CD0"/>
    <w:multiLevelType w:val="hybridMultilevel"/>
    <w:tmpl w:val="F33CEADE"/>
    <w:lvl w:ilvl="0" w:tplc="01266D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58EB"/>
    <w:multiLevelType w:val="hybridMultilevel"/>
    <w:tmpl w:val="E90C09D8"/>
    <w:lvl w:ilvl="0" w:tplc="457C05F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D42C8"/>
    <w:multiLevelType w:val="hybridMultilevel"/>
    <w:tmpl w:val="4CD88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21463"/>
    <w:multiLevelType w:val="multilevel"/>
    <w:tmpl w:val="331403C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0D7B24"/>
    <w:multiLevelType w:val="hybridMultilevel"/>
    <w:tmpl w:val="1D2EE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61921"/>
    <w:multiLevelType w:val="multilevel"/>
    <w:tmpl w:val="D56A02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1834FC"/>
    <w:multiLevelType w:val="multilevel"/>
    <w:tmpl w:val="C32C11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C06D11"/>
    <w:multiLevelType w:val="hybridMultilevel"/>
    <w:tmpl w:val="F56AAB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830A9"/>
    <w:multiLevelType w:val="hybridMultilevel"/>
    <w:tmpl w:val="FF2828D8"/>
    <w:lvl w:ilvl="0" w:tplc="0A2230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A62B4"/>
    <w:multiLevelType w:val="hybridMultilevel"/>
    <w:tmpl w:val="A3683AA0"/>
    <w:lvl w:ilvl="0" w:tplc="A0CAD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E268B"/>
    <w:multiLevelType w:val="hybridMultilevel"/>
    <w:tmpl w:val="2A74F7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31631"/>
    <w:multiLevelType w:val="hybridMultilevel"/>
    <w:tmpl w:val="14624084"/>
    <w:lvl w:ilvl="0" w:tplc="1898DB0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854A6"/>
    <w:multiLevelType w:val="hybridMultilevel"/>
    <w:tmpl w:val="6FB86A1A"/>
    <w:lvl w:ilvl="0" w:tplc="D1D20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6"/>
  </w:num>
  <w:num w:numId="11">
    <w:abstractNumId w:val="12"/>
  </w:num>
  <w:num w:numId="12">
    <w:abstractNumId w:val="15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EA"/>
    <w:rsid w:val="000013EC"/>
    <w:rsid w:val="00002A2B"/>
    <w:rsid w:val="00006DF5"/>
    <w:rsid w:val="0000721A"/>
    <w:rsid w:val="0001743B"/>
    <w:rsid w:val="00023ACA"/>
    <w:rsid w:val="00025164"/>
    <w:rsid w:val="00026323"/>
    <w:rsid w:val="000373F3"/>
    <w:rsid w:val="0004348E"/>
    <w:rsid w:val="000456A0"/>
    <w:rsid w:val="00047DC9"/>
    <w:rsid w:val="0005789F"/>
    <w:rsid w:val="0006711D"/>
    <w:rsid w:val="0007539B"/>
    <w:rsid w:val="000754AD"/>
    <w:rsid w:val="00077BB5"/>
    <w:rsid w:val="0008481F"/>
    <w:rsid w:val="00090758"/>
    <w:rsid w:val="00091A0D"/>
    <w:rsid w:val="00097CEA"/>
    <w:rsid w:val="000A3BBD"/>
    <w:rsid w:val="000A4EC2"/>
    <w:rsid w:val="000C1AD2"/>
    <w:rsid w:val="000C40F2"/>
    <w:rsid w:val="000C494E"/>
    <w:rsid w:val="000C4A9C"/>
    <w:rsid w:val="000C53B5"/>
    <w:rsid w:val="000D15D3"/>
    <w:rsid w:val="000D2D31"/>
    <w:rsid w:val="000D3EF1"/>
    <w:rsid w:val="000E07F9"/>
    <w:rsid w:val="000E1CAA"/>
    <w:rsid w:val="000E2DC9"/>
    <w:rsid w:val="000E71D9"/>
    <w:rsid w:val="000F21B8"/>
    <w:rsid w:val="000F2C53"/>
    <w:rsid w:val="000F483F"/>
    <w:rsid w:val="00101A8D"/>
    <w:rsid w:val="00102D95"/>
    <w:rsid w:val="001253D4"/>
    <w:rsid w:val="00132003"/>
    <w:rsid w:val="00132D85"/>
    <w:rsid w:val="001336E6"/>
    <w:rsid w:val="001370BE"/>
    <w:rsid w:val="001378E5"/>
    <w:rsid w:val="00141398"/>
    <w:rsid w:val="00144AA9"/>
    <w:rsid w:val="00146EA1"/>
    <w:rsid w:val="00147030"/>
    <w:rsid w:val="00151148"/>
    <w:rsid w:val="00160BD6"/>
    <w:rsid w:val="00167FA4"/>
    <w:rsid w:val="00170FF1"/>
    <w:rsid w:val="00171A23"/>
    <w:rsid w:val="00177B7B"/>
    <w:rsid w:val="001807E9"/>
    <w:rsid w:val="0018114E"/>
    <w:rsid w:val="001A05E1"/>
    <w:rsid w:val="001B1381"/>
    <w:rsid w:val="001B1B22"/>
    <w:rsid w:val="001B56AA"/>
    <w:rsid w:val="001C448F"/>
    <w:rsid w:val="001C7F49"/>
    <w:rsid w:val="001E60E0"/>
    <w:rsid w:val="001E7B2B"/>
    <w:rsid w:val="001F196D"/>
    <w:rsid w:val="001F2645"/>
    <w:rsid w:val="00204A2A"/>
    <w:rsid w:val="00206A72"/>
    <w:rsid w:val="00206BF3"/>
    <w:rsid w:val="00216EE9"/>
    <w:rsid w:val="00221E99"/>
    <w:rsid w:val="0023426C"/>
    <w:rsid w:val="00254C0A"/>
    <w:rsid w:val="002556A9"/>
    <w:rsid w:val="0025589F"/>
    <w:rsid w:val="00270696"/>
    <w:rsid w:val="00273018"/>
    <w:rsid w:val="00273568"/>
    <w:rsid w:val="00273A80"/>
    <w:rsid w:val="002750D5"/>
    <w:rsid w:val="00281FF1"/>
    <w:rsid w:val="0028520C"/>
    <w:rsid w:val="0028550B"/>
    <w:rsid w:val="0028718E"/>
    <w:rsid w:val="00294644"/>
    <w:rsid w:val="002A10E7"/>
    <w:rsid w:val="002A1B8B"/>
    <w:rsid w:val="002A77FC"/>
    <w:rsid w:val="002B2CFE"/>
    <w:rsid w:val="002B61AF"/>
    <w:rsid w:val="002B7BEC"/>
    <w:rsid w:val="002C26E0"/>
    <w:rsid w:val="002D1885"/>
    <w:rsid w:val="002E22A3"/>
    <w:rsid w:val="002E4BF7"/>
    <w:rsid w:val="002E6717"/>
    <w:rsid w:val="002E7D10"/>
    <w:rsid w:val="002F0864"/>
    <w:rsid w:val="002F15EF"/>
    <w:rsid w:val="002F7162"/>
    <w:rsid w:val="00300CB3"/>
    <w:rsid w:val="00312192"/>
    <w:rsid w:val="003127A4"/>
    <w:rsid w:val="003134D7"/>
    <w:rsid w:val="003166E8"/>
    <w:rsid w:val="00317542"/>
    <w:rsid w:val="0033173E"/>
    <w:rsid w:val="00333F0F"/>
    <w:rsid w:val="0033779D"/>
    <w:rsid w:val="00341D28"/>
    <w:rsid w:val="00343151"/>
    <w:rsid w:val="003441DD"/>
    <w:rsid w:val="0035396C"/>
    <w:rsid w:val="00354FDB"/>
    <w:rsid w:val="003563E9"/>
    <w:rsid w:val="003612E3"/>
    <w:rsid w:val="00362906"/>
    <w:rsid w:val="003768BD"/>
    <w:rsid w:val="00383B8B"/>
    <w:rsid w:val="00392D9A"/>
    <w:rsid w:val="0039404A"/>
    <w:rsid w:val="003A23D4"/>
    <w:rsid w:val="003B1B40"/>
    <w:rsid w:val="003B5DCA"/>
    <w:rsid w:val="003C53D3"/>
    <w:rsid w:val="003C684B"/>
    <w:rsid w:val="003D49A0"/>
    <w:rsid w:val="003F0397"/>
    <w:rsid w:val="004015B5"/>
    <w:rsid w:val="00403769"/>
    <w:rsid w:val="00407EC7"/>
    <w:rsid w:val="00422BFD"/>
    <w:rsid w:val="00424DF0"/>
    <w:rsid w:val="00425F95"/>
    <w:rsid w:val="00432E39"/>
    <w:rsid w:val="00433221"/>
    <w:rsid w:val="00435817"/>
    <w:rsid w:val="00440105"/>
    <w:rsid w:val="00471375"/>
    <w:rsid w:val="00486DC5"/>
    <w:rsid w:val="00486F85"/>
    <w:rsid w:val="004A02DE"/>
    <w:rsid w:val="004A5E63"/>
    <w:rsid w:val="004B3CF1"/>
    <w:rsid w:val="004B50EF"/>
    <w:rsid w:val="004B541C"/>
    <w:rsid w:val="004E554D"/>
    <w:rsid w:val="004E6CE9"/>
    <w:rsid w:val="004F02FF"/>
    <w:rsid w:val="00502DAD"/>
    <w:rsid w:val="005039C1"/>
    <w:rsid w:val="00504605"/>
    <w:rsid w:val="00506821"/>
    <w:rsid w:val="0050762D"/>
    <w:rsid w:val="00520887"/>
    <w:rsid w:val="0052217A"/>
    <w:rsid w:val="00526A07"/>
    <w:rsid w:val="00535296"/>
    <w:rsid w:val="0053615E"/>
    <w:rsid w:val="00545BA6"/>
    <w:rsid w:val="005534C3"/>
    <w:rsid w:val="00553F95"/>
    <w:rsid w:val="00561055"/>
    <w:rsid w:val="0056135E"/>
    <w:rsid w:val="005659B7"/>
    <w:rsid w:val="00566F29"/>
    <w:rsid w:val="00567F42"/>
    <w:rsid w:val="0057219F"/>
    <w:rsid w:val="00574148"/>
    <w:rsid w:val="0058135A"/>
    <w:rsid w:val="005857E6"/>
    <w:rsid w:val="0058618B"/>
    <w:rsid w:val="005A1A30"/>
    <w:rsid w:val="005B4DCB"/>
    <w:rsid w:val="005B5BA4"/>
    <w:rsid w:val="005B5FF5"/>
    <w:rsid w:val="005C018B"/>
    <w:rsid w:val="005C78BE"/>
    <w:rsid w:val="005D49B0"/>
    <w:rsid w:val="005E2987"/>
    <w:rsid w:val="005E530E"/>
    <w:rsid w:val="005E593A"/>
    <w:rsid w:val="005F194D"/>
    <w:rsid w:val="005F2D84"/>
    <w:rsid w:val="00603693"/>
    <w:rsid w:val="00607828"/>
    <w:rsid w:val="00610056"/>
    <w:rsid w:val="006114D8"/>
    <w:rsid w:val="00611DD2"/>
    <w:rsid w:val="0061264C"/>
    <w:rsid w:val="0061787D"/>
    <w:rsid w:val="006265EB"/>
    <w:rsid w:val="00626BA2"/>
    <w:rsid w:val="0062764A"/>
    <w:rsid w:val="006325F6"/>
    <w:rsid w:val="00640CEF"/>
    <w:rsid w:val="00645863"/>
    <w:rsid w:val="0064774D"/>
    <w:rsid w:val="006528AE"/>
    <w:rsid w:val="00656D7D"/>
    <w:rsid w:val="006729B0"/>
    <w:rsid w:val="00673048"/>
    <w:rsid w:val="00674201"/>
    <w:rsid w:val="00677FE5"/>
    <w:rsid w:val="00680E82"/>
    <w:rsid w:val="006842F3"/>
    <w:rsid w:val="0068762D"/>
    <w:rsid w:val="0068794B"/>
    <w:rsid w:val="0069097B"/>
    <w:rsid w:val="0069259F"/>
    <w:rsid w:val="006926B1"/>
    <w:rsid w:val="006A11A3"/>
    <w:rsid w:val="006A6C32"/>
    <w:rsid w:val="006B28FB"/>
    <w:rsid w:val="006B7DCC"/>
    <w:rsid w:val="006D45B2"/>
    <w:rsid w:val="006D6AD7"/>
    <w:rsid w:val="006E1D88"/>
    <w:rsid w:val="006F24D2"/>
    <w:rsid w:val="007021EA"/>
    <w:rsid w:val="0070786C"/>
    <w:rsid w:val="00710488"/>
    <w:rsid w:val="00720802"/>
    <w:rsid w:val="00734DE6"/>
    <w:rsid w:val="0074188D"/>
    <w:rsid w:val="0075084E"/>
    <w:rsid w:val="007509E8"/>
    <w:rsid w:val="00753748"/>
    <w:rsid w:val="00774521"/>
    <w:rsid w:val="00776914"/>
    <w:rsid w:val="00777801"/>
    <w:rsid w:val="007803EC"/>
    <w:rsid w:val="00793FEE"/>
    <w:rsid w:val="0079546E"/>
    <w:rsid w:val="0079655D"/>
    <w:rsid w:val="007A1100"/>
    <w:rsid w:val="007A41E4"/>
    <w:rsid w:val="007A7B0E"/>
    <w:rsid w:val="007B688C"/>
    <w:rsid w:val="007C280C"/>
    <w:rsid w:val="007C6288"/>
    <w:rsid w:val="007D16EF"/>
    <w:rsid w:val="007D3E1E"/>
    <w:rsid w:val="007F1270"/>
    <w:rsid w:val="007F35A9"/>
    <w:rsid w:val="007F3A71"/>
    <w:rsid w:val="007F49B9"/>
    <w:rsid w:val="00804B1A"/>
    <w:rsid w:val="008070D1"/>
    <w:rsid w:val="00811FCB"/>
    <w:rsid w:val="00815B95"/>
    <w:rsid w:val="00820C5D"/>
    <w:rsid w:val="00821E0E"/>
    <w:rsid w:val="00824F8A"/>
    <w:rsid w:val="0082647C"/>
    <w:rsid w:val="008267FA"/>
    <w:rsid w:val="008319D0"/>
    <w:rsid w:val="00854EFF"/>
    <w:rsid w:val="008571E4"/>
    <w:rsid w:val="008640DC"/>
    <w:rsid w:val="00865E96"/>
    <w:rsid w:val="00866185"/>
    <w:rsid w:val="0087188B"/>
    <w:rsid w:val="00876395"/>
    <w:rsid w:val="00881D15"/>
    <w:rsid w:val="008846FD"/>
    <w:rsid w:val="00893162"/>
    <w:rsid w:val="00893878"/>
    <w:rsid w:val="008C1035"/>
    <w:rsid w:val="008C34FA"/>
    <w:rsid w:val="008C3F10"/>
    <w:rsid w:val="008D1F33"/>
    <w:rsid w:val="008D2948"/>
    <w:rsid w:val="008D3328"/>
    <w:rsid w:val="008D48AB"/>
    <w:rsid w:val="008D5A67"/>
    <w:rsid w:val="008E1537"/>
    <w:rsid w:val="008E5566"/>
    <w:rsid w:val="008E77C3"/>
    <w:rsid w:val="008E7D9A"/>
    <w:rsid w:val="008F0A58"/>
    <w:rsid w:val="008F5E2D"/>
    <w:rsid w:val="008F62EB"/>
    <w:rsid w:val="009032E5"/>
    <w:rsid w:val="00922052"/>
    <w:rsid w:val="00926197"/>
    <w:rsid w:val="00934930"/>
    <w:rsid w:val="009416AA"/>
    <w:rsid w:val="00942FC6"/>
    <w:rsid w:val="009440F9"/>
    <w:rsid w:val="00953B68"/>
    <w:rsid w:val="00953D1E"/>
    <w:rsid w:val="0095558E"/>
    <w:rsid w:val="00981304"/>
    <w:rsid w:val="009829F4"/>
    <w:rsid w:val="00992ACD"/>
    <w:rsid w:val="00992CD3"/>
    <w:rsid w:val="00997C1B"/>
    <w:rsid w:val="009A4CE1"/>
    <w:rsid w:val="009B024D"/>
    <w:rsid w:val="009B6E4C"/>
    <w:rsid w:val="009C3E5B"/>
    <w:rsid w:val="009D1230"/>
    <w:rsid w:val="009F6FCD"/>
    <w:rsid w:val="009F7DF3"/>
    <w:rsid w:val="00A122B2"/>
    <w:rsid w:val="00A15938"/>
    <w:rsid w:val="00A15965"/>
    <w:rsid w:val="00A16F1C"/>
    <w:rsid w:val="00A21C87"/>
    <w:rsid w:val="00A26506"/>
    <w:rsid w:val="00A31E35"/>
    <w:rsid w:val="00A35D58"/>
    <w:rsid w:val="00A45C3A"/>
    <w:rsid w:val="00A50AEA"/>
    <w:rsid w:val="00A51289"/>
    <w:rsid w:val="00A63089"/>
    <w:rsid w:val="00A64093"/>
    <w:rsid w:val="00A6454B"/>
    <w:rsid w:val="00A7307B"/>
    <w:rsid w:val="00A774EE"/>
    <w:rsid w:val="00A92572"/>
    <w:rsid w:val="00A944FF"/>
    <w:rsid w:val="00AA1711"/>
    <w:rsid w:val="00AB1246"/>
    <w:rsid w:val="00AB1BB1"/>
    <w:rsid w:val="00AB789D"/>
    <w:rsid w:val="00AC5E45"/>
    <w:rsid w:val="00AD4170"/>
    <w:rsid w:val="00AE0C1D"/>
    <w:rsid w:val="00AE3821"/>
    <w:rsid w:val="00AE7662"/>
    <w:rsid w:val="00AF04B0"/>
    <w:rsid w:val="00AF0983"/>
    <w:rsid w:val="00AF268E"/>
    <w:rsid w:val="00AF49C5"/>
    <w:rsid w:val="00B009B3"/>
    <w:rsid w:val="00B13ADE"/>
    <w:rsid w:val="00B2148E"/>
    <w:rsid w:val="00B242C3"/>
    <w:rsid w:val="00B248D0"/>
    <w:rsid w:val="00B27C05"/>
    <w:rsid w:val="00B331F7"/>
    <w:rsid w:val="00B348AD"/>
    <w:rsid w:val="00B36B45"/>
    <w:rsid w:val="00B450F3"/>
    <w:rsid w:val="00B45CC1"/>
    <w:rsid w:val="00B556A1"/>
    <w:rsid w:val="00B55851"/>
    <w:rsid w:val="00B61C4A"/>
    <w:rsid w:val="00B629FA"/>
    <w:rsid w:val="00B660D9"/>
    <w:rsid w:val="00B72831"/>
    <w:rsid w:val="00B92F96"/>
    <w:rsid w:val="00BB2C29"/>
    <w:rsid w:val="00BB63C6"/>
    <w:rsid w:val="00BB74F1"/>
    <w:rsid w:val="00BC2DD4"/>
    <w:rsid w:val="00BD08B6"/>
    <w:rsid w:val="00BD1748"/>
    <w:rsid w:val="00BE507A"/>
    <w:rsid w:val="00BE61DA"/>
    <w:rsid w:val="00BF3C87"/>
    <w:rsid w:val="00BF657F"/>
    <w:rsid w:val="00BF6B81"/>
    <w:rsid w:val="00C02F14"/>
    <w:rsid w:val="00C04A17"/>
    <w:rsid w:val="00C07354"/>
    <w:rsid w:val="00C12C2D"/>
    <w:rsid w:val="00C168E5"/>
    <w:rsid w:val="00C22A79"/>
    <w:rsid w:val="00C37181"/>
    <w:rsid w:val="00C41BBB"/>
    <w:rsid w:val="00C451D9"/>
    <w:rsid w:val="00C45D55"/>
    <w:rsid w:val="00C55DBD"/>
    <w:rsid w:val="00C56EF4"/>
    <w:rsid w:val="00C63358"/>
    <w:rsid w:val="00C63FED"/>
    <w:rsid w:val="00C65856"/>
    <w:rsid w:val="00C66DE3"/>
    <w:rsid w:val="00C92B6A"/>
    <w:rsid w:val="00C948B1"/>
    <w:rsid w:val="00C96566"/>
    <w:rsid w:val="00CA5B1F"/>
    <w:rsid w:val="00CB4255"/>
    <w:rsid w:val="00CB6289"/>
    <w:rsid w:val="00CD3F29"/>
    <w:rsid w:val="00CD5BB3"/>
    <w:rsid w:val="00CE056C"/>
    <w:rsid w:val="00CE5375"/>
    <w:rsid w:val="00CF31DA"/>
    <w:rsid w:val="00CF5366"/>
    <w:rsid w:val="00D038A3"/>
    <w:rsid w:val="00D05A7D"/>
    <w:rsid w:val="00D13539"/>
    <w:rsid w:val="00D14628"/>
    <w:rsid w:val="00D15452"/>
    <w:rsid w:val="00D16309"/>
    <w:rsid w:val="00D179BB"/>
    <w:rsid w:val="00D25128"/>
    <w:rsid w:val="00D262D8"/>
    <w:rsid w:val="00D36DB7"/>
    <w:rsid w:val="00D411F2"/>
    <w:rsid w:val="00D41DF5"/>
    <w:rsid w:val="00D44B44"/>
    <w:rsid w:val="00D5065D"/>
    <w:rsid w:val="00D56802"/>
    <w:rsid w:val="00D71A54"/>
    <w:rsid w:val="00D77A41"/>
    <w:rsid w:val="00D961EF"/>
    <w:rsid w:val="00DA42B6"/>
    <w:rsid w:val="00DA6529"/>
    <w:rsid w:val="00DA7482"/>
    <w:rsid w:val="00DC135D"/>
    <w:rsid w:val="00DC6857"/>
    <w:rsid w:val="00DC7F1B"/>
    <w:rsid w:val="00DD5BEF"/>
    <w:rsid w:val="00DE0DCE"/>
    <w:rsid w:val="00DE3152"/>
    <w:rsid w:val="00DF0715"/>
    <w:rsid w:val="00E00A76"/>
    <w:rsid w:val="00E03C1D"/>
    <w:rsid w:val="00E05816"/>
    <w:rsid w:val="00E0619E"/>
    <w:rsid w:val="00E206D5"/>
    <w:rsid w:val="00E25BF2"/>
    <w:rsid w:val="00E26BD6"/>
    <w:rsid w:val="00E27171"/>
    <w:rsid w:val="00E33008"/>
    <w:rsid w:val="00E550AB"/>
    <w:rsid w:val="00E570C1"/>
    <w:rsid w:val="00E616D9"/>
    <w:rsid w:val="00E620FE"/>
    <w:rsid w:val="00E65E51"/>
    <w:rsid w:val="00E67B28"/>
    <w:rsid w:val="00E70753"/>
    <w:rsid w:val="00E72F70"/>
    <w:rsid w:val="00E81959"/>
    <w:rsid w:val="00E82727"/>
    <w:rsid w:val="00E82F15"/>
    <w:rsid w:val="00E9629A"/>
    <w:rsid w:val="00EA1DA5"/>
    <w:rsid w:val="00EA2602"/>
    <w:rsid w:val="00EA2FD4"/>
    <w:rsid w:val="00EA4787"/>
    <w:rsid w:val="00EB0AA1"/>
    <w:rsid w:val="00EB16A2"/>
    <w:rsid w:val="00ED0839"/>
    <w:rsid w:val="00EE1BEE"/>
    <w:rsid w:val="00EE22F3"/>
    <w:rsid w:val="00EE2B30"/>
    <w:rsid w:val="00EE33D7"/>
    <w:rsid w:val="00EE7FB1"/>
    <w:rsid w:val="00EF0477"/>
    <w:rsid w:val="00EF0EA9"/>
    <w:rsid w:val="00EF253C"/>
    <w:rsid w:val="00EF4B76"/>
    <w:rsid w:val="00F008F6"/>
    <w:rsid w:val="00F009E4"/>
    <w:rsid w:val="00F018A1"/>
    <w:rsid w:val="00F14796"/>
    <w:rsid w:val="00F1688B"/>
    <w:rsid w:val="00F23E89"/>
    <w:rsid w:val="00F25D1D"/>
    <w:rsid w:val="00F31FBD"/>
    <w:rsid w:val="00F33533"/>
    <w:rsid w:val="00F45AE5"/>
    <w:rsid w:val="00F47E53"/>
    <w:rsid w:val="00F50204"/>
    <w:rsid w:val="00F54649"/>
    <w:rsid w:val="00F55F2E"/>
    <w:rsid w:val="00F57FAD"/>
    <w:rsid w:val="00F61451"/>
    <w:rsid w:val="00F67E92"/>
    <w:rsid w:val="00F72927"/>
    <w:rsid w:val="00F72E4D"/>
    <w:rsid w:val="00F73BDD"/>
    <w:rsid w:val="00F77E4C"/>
    <w:rsid w:val="00F809D3"/>
    <w:rsid w:val="00F93591"/>
    <w:rsid w:val="00F95940"/>
    <w:rsid w:val="00FB23FF"/>
    <w:rsid w:val="00FC03CC"/>
    <w:rsid w:val="00FC08A4"/>
    <w:rsid w:val="00FC20AD"/>
    <w:rsid w:val="00FC6B13"/>
    <w:rsid w:val="00FD2B5C"/>
    <w:rsid w:val="00FD2C2C"/>
    <w:rsid w:val="00FD49B7"/>
    <w:rsid w:val="00FD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072C02-D2BB-4869-B706-68A2FDC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E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Odwoanieprzypisudolnego">
    <w:name w:val="footnote reference"/>
    <w:basedOn w:val="Domylnaczcionkaakapitu"/>
    <w:uiPriority w:val="99"/>
    <w:semiHidden/>
    <w:unhideWhenUsed/>
    <w:rsid w:val="008F0A58"/>
    <w:rPr>
      <w:vertAlign w:val="superscript"/>
    </w:rPr>
  </w:style>
  <w:style w:type="paragraph" w:styleId="Bezodstpw">
    <w:name w:val="No Spacing"/>
    <w:basedOn w:val="Normalny"/>
    <w:uiPriority w:val="1"/>
    <w:qFormat/>
    <w:rsid w:val="008F0A58"/>
    <w:pPr>
      <w:autoSpaceDE w:val="0"/>
      <w:autoSpaceDN w:val="0"/>
      <w:adjustRightInd w:val="0"/>
      <w:spacing w:before="60" w:after="0" w:line="240" w:lineRule="auto"/>
      <w:jc w:val="both"/>
    </w:pPr>
    <w:rPr>
      <w:rFonts w:eastAsia="Times New Roman" w:cs="Times New Roman"/>
      <w:sz w:val="20"/>
      <w:szCs w:val="20"/>
      <w:lang w:val="en-GB" w:eastAsia="pl-PL"/>
    </w:rPr>
  </w:style>
  <w:style w:type="table" w:customStyle="1" w:styleId="Jasnecieniowanie1">
    <w:name w:val="Jasne cieniowanie1"/>
    <w:basedOn w:val="Standardowy"/>
    <w:uiPriority w:val="60"/>
    <w:rsid w:val="008F0A58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1">
    <w:name w:val="Table Normal1"/>
    <w:uiPriority w:val="2"/>
    <w:semiHidden/>
    <w:unhideWhenUsed/>
    <w:qFormat/>
    <w:rsid w:val="00CA5B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A5B1F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5B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5B1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B1F"/>
    <w:rPr>
      <w:rFonts w:ascii="Times New Roman" w:hAnsi="Times New Roman"/>
      <w:b/>
      <w:bCs/>
      <w:sz w:val="20"/>
      <w:szCs w:val="20"/>
    </w:rPr>
  </w:style>
  <w:style w:type="paragraph" w:customStyle="1" w:styleId="Tabelka">
    <w:name w:val="Tabelka"/>
    <w:basedOn w:val="Normalny"/>
    <w:link w:val="TabelkaZnak"/>
    <w:qFormat/>
    <w:rsid w:val="00317542"/>
    <w:pPr>
      <w:widowControl w:val="0"/>
      <w:adjustRightInd w:val="0"/>
      <w:spacing w:before="60" w:after="60"/>
      <w:jc w:val="both"/>
      <w:textAlignment w:val="baseline"/>
    </w:pPr>
    <w:rPr>
      <w:rFonts w:ascii="Cambria" w:eastAsia="Times New Roman" w:hAnsi="Cambria" w:cs="Arial"/>
      <w:color w:val="000000"/>
      <w:sz w:val="20"/>
      <w:szCs w:val="20"/>
      <w:lang w:eastAsia="pl-PL"/>
    </w:rPr>
  </w:style>
  <w:style w:type="character" w:customStyle="1" w:styleId="TabelkaZnak">
    <w:name w:val="Tabelka Znak"/>
    <w:basedOn w:val="Domylnaczcionkaakapitu"/>
    <w:link w:val="Tabelka"/>
    <w:locked/>
    <w:rsid w:val="00317542"/>
    <w:rPr>
      <w:rFonts w:ascii="Cambria" w:eastAsia="Times New Roman" w:hAnsi="Cambria" w:cs="Arial"/>
      <w:color w:val="000000"/>
      <w:sz w:val="20"/>
      <w:szCs w:val="20"/>
      <w:lang w:eastAsia="pl-PL"/>
    </w:rPr>
  </w:style>
  <w:style w:type="character" w:customStyle="1" w:styleId="hps">
    <w:name w:val="hps"/>
    <w:basedOn w:val="Domylnaczcionkaakapitu"/>
    <w:rsid w:val="005534C3"/>
  </w:style>
  <w:style w:type="table" w:customStyle="1" w:styleId="Jasnecieniowanie2">
    <w:name w:val="Jasne cieniowanie2"/>
    <w:basedOn w:val="Standardowy"/>
    <w:uiPriority w:val="60"/>
    <w:rsid w:val="005039C1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A91D-EFC5-4B1B-8C1D-4EE5915B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5095</Characters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2016-07-21T10:15:00Z</cp:lastPrinted>
  <dcterms:created xsi:type="dcterms:W3CDTF">2017-12-20T17:11:00Z</dcterms:created>
  <dcterms:modified xsi:type="dcterms:W3CDTF">2017-12-20T17:20:00Z</dcterms:modified>
</cp:coreProperties>
</file>