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6DD8" w14:textId="15EB7A95" w:rsidR="00241EEF" w:rsidRDefault="003174B6" w:rsidP="00B94093">
      <w:pPr>
        <w:rPr>
          <w:rFonts w:ascii="Lato" w:hAnsi="Lato"/>
          <w:sz w:val="20"/>
          <w:szCs w:val="20"/>
        </w:rPr>
      </w:pPr>
      <w:r>
        <w:rPr>
          <w:noProof/>
          <w:lang w:eastAsia="pl-PL"/>
        </w:rPr>
        <w:drawing>
          <wp:anchor distT="0" distB="0" distL="114300" distR="114300" simplePos="0" relativeHeight="251660288" behindDoc="0" locked="0" layoutInCell="1" allowOverlap="1" wp14:anchorId="05CA7003" wp14:editId="31170B1E">
            <wp:simplePos x="0" y="0"/>
            <wp:positionH relativeFrom="column">
              <wp:posOffset>-280670</wp:posOffset>
            </wp:positionH>
            <wp:positionV relativeFrom="page">
              <wp:posOffset>9648825</wp:posOffset>
            </wp:positionV>
            <wp:extent cx="2000250" cy="723265"/>
            <wp:effectExtent l="0" t="0" r="0" b="0"/>
            <wp:wrapThrough wrapText="bothSides">
              <wp:wrapPolygon edited="0">
                <wp:start x="3086" y="1707"/>
                <wp:lineTo x="1646" y="3982"/>
                <wp:lineTo x="617" y="7396"/>
                <wp:lineTo x="823" y="15930"/>
                <wp:lineTo x="2674" y="18205"/>
                <wp:lineTo x="6171" y="19343"/>
                <wp:lineTo x="20571" y="19343"/>
                <wp:lineTo x="20983" y="17637"/>
                <wp:lineTo x="20366" y="15361"/>
                <wp:lineTo x="18514" y="11947"/>
                <wp:lineTo x="20983" y="7396"/>
                <wp:lineTo x="20160" y="4551"/>
                <wp:lineTo x="3909" y="1707"/>
                <wp:lineTo x="3086" y="1707"/>
              </wp:wrapPolygon>
            </wp:wrapThrough>
            <wp:docPr id="7" name="Obraz 7" descr="Obraz zawierający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symbol&#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0250" cy="723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2F22">
        <w:rPr>
          <w:rFonts w:ascii="Lato" w:hAnsi="Lato"/>
          <w:noProof/>
          <w:sz w:val="20"/>
          <w:szCs w:val="20"/>
        </w:rPr>
        <w:drawing>
          <wp:anchor distT="0" distB="0" distL="114300" distR="114300" simplePos="0" relativeHeight="251658240" behindDoc="1" locked="0" layoutInCell="1" allowOverlap="1" wp14:anchorId="7CD50CF6" wp14:editId="54C549E4">
            <wp:simplePos x="0" y="0"/>
            <wp:positionH relativeFrom="page">
              <wp:align>left</wp:align>
            </wp:positionH>
            <wp:positionV relativeFrom="page">
              <wp:posOffset>6985</wp:posOffset>
            </wp:positionV>
            <wp:extent cx="7563485" cy="10720705"/>
            <wp:effectExtent l="0" t="0" r="0" b="4445"/>
            <wp:wrapTight wrapText="bothSides">
              <wp:wrapPolygon edited="0">
                <wp:start x="0" y="0"/>
                <wp:lineTo x="0" y="21571"/>
                <wp:lineTo x="21544" y="21571"/>
                <wp:lineTo x="21544" y="0"/>
                <wp:lineTo x="0" y="0"/>
              </wp:wrapPolygon>
            </wp:wrapTight>
            <wp:docPr id="53300928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09285" name="Obraz 533009285"/>
                    <pic:cNvPicPr/>
                  </pic:nvPicPr>
                  <pic:blipFill>
                    <a:blip r:embed="rId9">
                      <a:extLst>
                        <a:ext uri="{28A0092B-C50C-407E-A947-70E740481C1C}">
                          <a14:useLocalDpi xmlns:a14="http://schemas.microsoft.com/office/drawing/2010/main" val="0"/>
                        </a:ext>
                      </a:extLst>
                    </a:blip>
                    <a:stretch>
                      <a:fillRect/>
                    </a:stretch>
                  </pic:blipFill>
                  <pic:spPr>
                    <a:xfrm>
                      <a:off x="0" y="0"/>
                      <a:ext cx="7563485" cy="10720705"/>
                    </a:xfrm>
                    <a:prstGeom prst="rect">
                      <a:avLst/>
                    </a:prstGeom>
                  </pic:spPr>
                </pic:pic>
              </a:graphicData>
            </a:graphic>
            <wp14:sizeRelH relativeFrom="margin">
              <wp14:pctWidth>0</wp14:pctWidth>
            </wp14:sizeRelH>
            <wp14:sizeRelV relativeFrom="margin">
              <wp14:pctHeight>0</wp14:pctHeight>
            </wp14:sizeRelV>
          </wp:anchor>
        </w:drawing>
      </w:r>
    </w:p>
    <w:p w14:paraId="5A244D42" w14:textId="123B94FF" w:rsidR="00B94093" w:rsidRDefault="00B94093" w:rsidP="00B94093">
      <w:pPr>
        <w:pStyle w:val="rozdzial"/>
        <w:numPr>
          <w:ilvl w:val="0"/>
          <w:numId w:val="0"/>
        </w:numPr>
      </w:pPr>
      <w:r>
        <w:lastRenderedPageBreak/>
        <w:t>Spis treści</w:t>
      </w:r>
    </w:p>
    <w:p w14:paraId="5A3211F3" w14:textId="77777777" w:rsidR="00B94093" w:rsidRDefault="00B94093">
      <w:pPr>
        <w:pStyle w:val="Spistreci1"/>
        <w:tabs>
          <w:tab w:val="left" w:pos="480"/>
          <w:tab w:val="right" w:leader="dot" w:pos="9062"/>
        </w:tabs>
        <w:rPr>
          <w:rFonts w:ascii="Lato" w:hAnsi="Lato"/>
          <w:sz w:val="20"/>
          <w:szCs w:val="20"/>
        </w:rPr>
      </w:pPr>
    </w:p>
    <w:p w14:paraId="19435C74" w14:textId="246069A3" w:rsidR="00B94093" w:rsidRDefault="00B94093">
      <w:pPr>
        <w:pStyle w:val="Spistreci1"/>
        <w:tabs>
          <w:tab w:val="left" w:pos="480"/>
          <w:tab w:val="right" w:leader="dot" w:pos="9062"/>
        </w:tabs>
        <w:rPr>
          <w:rFonts w:eastAsiaTheme="minorEastAsia"/>
          <w:noProof/>
          <w:lang w:eastAsia="pl-PL"/>
        </w:rPr>
      </w:pPr>
      <w:r>
        <w:rPr>
          <w:rFonts w:ascii="Lato" w:hAnsi="Lato"/>
          <w:sz w:val="20"/>
          <w:szCs w:val="20"/>
        </w:rPr>
        <w:fldChar w:fldCharType="begin"/>
      </w:r>
      <w:r>
        <w:rPr>
          <w:rFonts w:ascii="Lato" w:hAnsi="Lato"/>
          <w:sz w:val="20"/>
          <w:szCs w:val="20"/>
        </w:rPr>
        <w:instrText xml:space="preserve"> TOC \o "1-3" \h \z \t "rozdzial;1;podrozdzial;2" </w:instrText>
      </w:r>
      <w:r>
        <w:rPr>
          <w:rFonts w:ascii="Lato" w:hAnsi="Lato"/>
          <w:sz w:val="20"/>
          <w:szCs w:val="20"/>
        </w:rPr>
        <w:fldChar w:fldCharType="separate"/>
      </w:r>
      <w:hyperlink w:anchor="_Toc228873225" w:history="1">
        <w:r w:rsidRPr="00646413">
          <w:rPr>
            <w:rStyle w:val="Hipercze"/>
            <w:noProof/>
          </w:rPr>
          <w:t>I.</w:t>
        </w:r>
        <w:r>
          <w:rPr>
            <w:rFonts w:eastAsiaTheme="minorEastAsia"/>
            <w:noProof/>
            <w:lang w:eastAsia="pl-PL"/>
          </w:rPr>
          <w:tab/>
        </w:r>
        <w:r w:rsidRPr="00646413">
          <w:rPr>
            <w:rStyle w:val="Hipercze"/>
            <w:noProof/>
          </w:rPr>
          <w:t>Wprowadzenie</w:t>
        </w:r>
        <w:r>
          <w:rPr>
            <w:noProof/>
            <w:webHidden/>
          </w:rPr>
          <w:tab/>
        </w:r>
        <w:r>
          <w:rPr>
            <w:noProof/>
            <w:webHidden/>
          </w:rPr>
          <w:fldChar w:fldCharType="begin"/>
        </w:r>
        <w:r>
          <w:rPr>
            <w:noProof/>
            <w:webHidden/>
          </w:rPr>
          <w:instrText xml:space="preserve"> PAGEREF _Toc228873225 \h </w:instrText>
        </w:r>
        <w:r>
          <w:rPr>
            <w:noProof/>
            <w:webHidden/>
          </w:rPr>
        </w:r>
        <w:r>
          <w:rPr>
            <w:noProof/>
            <w:webHidden/>
          </w:rPr>
          <w:fldChar w:fldCharType="separate"/>
        </w:r>
        <w:r w:rsidR="00E242A7">
          <w:rPr>
            <w:noProof/>
            <w:webHidden/>
          </w:rPr>
          <w:t>2</w:t>
        </w:r>
        <w:r>
          <w:rPr>
            <w:noProof/>
            <w:webHidden/>
          </w:rPr>
          <w:fldChar w:fldCharType="end"/>
        </w:r>
      </w:hyperlink>
    </w:p>
    <w:p w14:paraId="483E7A7F" w14:textId="5E9DED67" w:rsidR="00B94093" w:rsidRDefault="00B94093">
      <w:pPr>
        <w:pStyle w:val="Spistreci1"/>
        <w:tabs>
          <w:tab w:val="left" w:pos="480"/>
          <w:tab w:val="right" w:leader="dot" w:pos="9062"/>
        </w:tabs>
        <w:rPr>
          <w:rFonts w:eastAsiaTheme="minorEastAsia"/>
          <w:noProof/>
          <w:lang w:eastAsia="pl-PL"/>
        </w:rPr>
      </w:pPr>
      <w:hyperlink w:anchor="_Toc228873226" w:history="1">
        <w:r w:rsidRPr="00646413">
          <w:rPr>
            <w:rStyle w:val="Hipercze"/>
            <w:noProof/>
          </w:rPr>
          <w:t>II.</w:t>
        </w:r>
        <w:r>
          <w:rPr>
            <w:rFonts w:eastAsiaTheme="minorEastAsia"/>
            <w:noProof/>
            <w:lang w:eastAsia="pl-PL"/>
          </w:rPr>
          <w:tab/>
        </w:r>
        <w:r w:rsidRPr="00646413">
          <w:rPr>
            <w:rStyle w:val="Hipercze"/>
            <w:noProof/>
          </w:rPr>
          <w:t>Cel opracowania</w:t>
        </w:r>
        <w:r>
          <w:rPr>
            <w:noProof/>
            <w:webHidden/>
          </w:rPr>
          <w:tab/>
        </w:r>
        <w:r>
          <w:rPr>
            <w:noProof/>
            <w:webHidden/>
          </w:rPr>
          <w:fldChar w:fldCharType="begin"/>
        </w:r>
        <w:r>
          <w:rPr>
            <w:noProof/>
            <w:webHidden/>
          </w:rPr>
          <w:instrText xml:space="preserve"> PAGEREF _Toc228873226 \h </w:instrText>
        </w:r>
        <w:r>
          <w:rPr>
            <w:noProof/>
            <w:webHidden/>
          </w:rPr>
        </w:r>
        <w:r>
          <w:rPr>
            <w:noProof/>
            <w:webHidden/>
          </w:rPr>
          <w:fldChar w:fldCharType="separate"/>
        </w:r>
        <w:r w:rsidR="00E242A7">
          <w:rPr>
            <w:noProof/>
            <w:webHidden/>
          </w:rPr>
          <w:t>5</w:t>
        </w:r>
        <w:r>
          <w:rPr>
            <w:noProof/>
            <w:webHidden/>
          </w:rPr>
          <w:fldChar w:fldCharType="end"/>
        </w:r>
      </w:hyperlink>
    </w:p>
    <w:p w14:paraId="1FEE485C" w14:textId="5E3957FB" w:rsidR="00B94093" w:rsidRDefault="00B94093">
      <w:pPr>
        <w:pStyle w:val="Spistreci1"/>
        <w:tabs>
          <w:tab w:val="left" w:pos="720"/>
          <w:tab w:val="right" w:leader="dot" w:pos="9062"/>
        </w:tabs>
        <w:rPr>
          <w:rFonts w:eastAsiaTheme="minorEastAsia"/>
          <w:noProof/>
          <w:lang w:eastAsia="pl-PL"/>
        </w:rPr>
      </w:pPr>
      <w:hyperlink w:anchor="_Toc228873227" w:history="1">
        <w:r w:rsidRPr="00646413">
          <w:rPr>
            <w:rStyle w:val="Hipercze"/>
            <w:noProof/>
          </w:rPr>
          <w:t>III.</w:t>
        </w:r>
        <w:r>
          <w:rPr>
            <w:rFonts w:eastAsiaTheme="minorEastAsia"/>
            <w:noProof/>
            <w:lang w:eastAsia="pl-PL"/>
          </w:rPr>
          <w:t xml:space="preserve">     </w:t>
        </w:r>
        <w:r w:rsidRPr="00646413">
          <w:rPr>
            <w:rStyle w:val="Hipercze"/>
            <w:noProof/>
          </w:rPr>
          <w:t>Rozumienie komponentu krajowego</w:t>
        </w:r>
        <w:r>
          <w:rPr>
            <w:noProof/>
            <w:webHidden/>
          </w:rPr>
          <w:tab/>
        </w:r>
        <w:r>
          <w:rPr>
            <w:noProof/>
            <w:webHidden/>
          </w:rPr>
          <w:fldChar w:fldCharType="begin"/>
        </w:r>
        <w:r>
          <w:rPr>
            <w:noProof/>
            <w:webHidden/>
          </w:rPr>
          <w:instrText xml:space="preserve"> PAGEREF _Toc228873227 \h </w:instrText>
        </w:r>
        <w:r>
          <w:rPr>
            <w:noProof/>
            <w:webHidden/>
          </w:rPr>
        </w:r>
        <w:r>
          <w:rPr>
            <w:noProof/>
            <w:webHidden/>
          </w:rPr>
          <w:fldChar w:fldCharType="separate"/>
        </w:r>
        <w:r w:rsidR="00E242A7">
          <w:rPr>
            <w:noProof/>
            <w:webHidden/>
          </w:rPr>
          <w:t>6</w:t>
        </w:r>
        <w:r>
          <w:rPr>
            <w:noProof/>
            <w:webHidden/>
          </w:rPr>
          <w:fldChar w:fldCharType="end"/>
        </w:r>
      </w:hyperlink>
    </w:p>
    <w:p w14:paraId="135AAC52" w14:textId="3535EBDE" w:rsidR="00B94093" w:rsidRDefault="00B94093">
      <w:pPr>
        <w:pStyle w:val="Spistreci1"/>
        <w:tabs>
          <w:tab w:val="left" w:pos="480"/>
          <w:tab w:val="right" w:leader="dot" w:pos="9062"/>
        </w:tabs>
        <w:rPr>
          <w:rFonts w:eastAsiaTheme="minorEastAsia"/>
          <w:noProof/>
          <w:lang w:eastAsia="pl-PL"/>
        </w:rPr>
      </w:pPr>
      <w:hyperlink w:anchor="_Toc228873228" w:history="1">
        <w:r w:rsidRPr="00646413">
          <w:rPr>
            <w:rStyle w:val="Hipercze"/>
            <w:noProof/>
          </w:rPr>
          <w:t>IV.</w:t>
        </w:r>
        <w:r>
          <w:rPr>
            <w:rFonts w:eastAsiaTheme="minorEastAsia"/>
            <w:noProof/>
            <w:lang w:eastAsia="pl-PL"/>
          </w:rPr>
          <w:tab/>
        </w:r>
        <w:r w:rsidRPr="00646413">
          <w:rPr>
            <w:rStyle w:val="Hipercze"/>
            <w:noProof/>
          </w:rPr>
          <w:t>Obszary dobrych praktyk</w:t>
        </w:r>
        <w:r>
          <w:rPr>
            <w:noProof/>
            <w:webHidden/>
          </w:rPr>
          <w:tab/>
        </w:r>
        <w:r>
          <w:rPr>
            <w:noProof/>
            <w:webHidden/>
          </w:rPr>
          <w:fldChar w:fldCharType="begin"/>
        </w:r>
        <w:r>
          <w:rPr>
            <w:noProof/>
            <w:webHidden/>
          </w:rPr>
          <w:instrText xml:space="preserve"> PAGEREF _Toc228873228 \h </w:instrText>
        </w:r>
        <w:r>
          <w:rPr>
            <w:noProof/>
            <w:webHidden/>
          </w:rPr>
        </w:r>
        <w:r>
          <w:rPr>
            <w:noProof/>
            <w:webHidden/>
          </w:rPr>
          <w:fldChar w:fldCharType="separate"/>
        </w:r>
        <w:r w:rsidR="00E242A7">
          <w:rPr>
            <w:noProof/>
            <w:webHidden/>
          </w:rPr>
          <w:t>7</w:t>
        </w:r>
        <w:r>
          <w:rPr>
            <w:noProof/>
            <w:webHidden/>
          </w:rPr>
          <w:fldChar w:fldCharType="end"/>
        </w:r>
      </w:hyperlink>
    </w:p>
    <w:p w14:paraId="1891706D" w14:textId="3C968830" w:rsidR="00B94093" w:rsidRDefault="00B94093" w:rsidP="00B94093">
      <w:pPr>
        <w:pStyle w:val="Spistreci2"/>
        <w:numPr>
          <w:ilvl w:val="0"/>
          <w:numId w:val="28"/>
        </w:numPr>
        <w:tabs>
          <w:tab w:val="left" w:pos="720"/>
          <w:tab w:val="right" w:leader="dot" w:pos="9062"/>
        </w:tabs>
        <w:rPr>
          <w:rFonts w:eastAsiaTheme="minorEastAsia"/>
          <w:noProof/>
          <w:lang w:eastAsia="pl-PL"/>
        </w:rPr>
      </w:pPr>
      <w:hyperlink w:anchor="_Toc228873229" w:history="1">
        <w:r>
          <w:rPr>
            <w:rFonts w:eastAsiaTheme="minorEastAsia"/>
            <w:noProof/>
            <w:lang w:eastAsia="pl-PL"/>
          </w:rPr>
          <w:t xml:space="preserve">     </w:t>
        </w:r>
        <w:r w:rsidRPr="00646413">
          <w:rPr>
            <w:rStyle w:val="Hipercze"/>
            <w:noProof/>
          </w:rPr>
          <w:t>PLANOWANIE I AKTYWNA WSPÓŁPRACA Z RYNKIEM</w:t>
        </w:r>
        <w:r>
          <w:rPr>
            <w:noProof/>
            <w:webHidden/>
          </w:rPr>
          <w:tab/>
        </w:r>
        <w:r>
          <w:rPr>
            <w:noProof/>
            <w:webHidden/>
          </w:rPr>
          <w:fldChar w:fldCharType="begin"/>
        </w:r>
        <w:r>
          <w:rPr>
            <w:noProof/>
            <w:webHidden/>
          </w:rPr>
          <w:instrText xml:space="preserve"> PAGEREF _Toc228873229 \h </w:instrText>
        </w:r>
        <w:r>
          <w:rPr>
            <w:noProof/>
            <w:webHidden/>
          </w:rPr>
        </w:r>
        <w:r>
          <w:rPr>
            <w:noProof/>
            <w:webHidden/>
          </w:rPr>
          <w:fldChar w:fldCharType="separate"/>
        </w:r>
        <w:r w:rsidR="00E242A7">
          <w:rPr>
            <w:noProof/>
            <w:webHidden/>
          </w:rPr>
          <w:t>7</w:t>
        </w:r>
        <w:r>
          <w:rPr>
            <w:noProof/>
            <w:webHidden/>
          </w:rPr>
          <w:fldChar w:fldCharType="end"/>
        </w:r>
      </w:hyperlink>
    </w:p>
    <w:p w14:paraId="1E92C6A3" w14:textId="17C83A66" w:rsidR="00B94093" w:rsidRDefault="00B94093" w:rsidP="00B94093">
      <w:pPr>
        <w:pStyle w:val="Spistreci2"/>
        <w:numPr>
          <w:ilvl w:val="0"/>
          <w:numId w:val="28"/>
        </w:numPr>
        <w:tabs>
          <w:tab w:val="left" w:pos="720"/>
          <w:tab w:val="right" w:leader="dot" w:pos="9062"/>
        </w:tabs>
        <w:rPr>
          <w:rFonts w:eastAsiaTheme="minorEastAsia"/>
          <w:noProof/>
          <w:lang w:eastAsia="pl-PL"/>
        </w:rPr>
      </w:pPr>
      <w:hyperlink w:anchor="_Toc228873230" w:history="1">
        <w:r>
          <w:rPr>
            <w:rFonts w:eastAsiaTheme="minorEastAsia"/>
            <w:noProof/>
            <w:lang w:eastAsia="pl-PL"/>
          </w:rPr>
          <w:t xml:space="preserve">     </w:t>
        </w:r>
        <w:r w:rsidRPr="00646413">
          <w:rPr>
            <w:rStyle w:val="Hipercze"/>
            <w:noProof/>
          </w:rPr>
          <w:t>STRUKTURA ZAMÓWIEŃ I DOSTĘP DO RYNKU</w:t>
        </w:r>
        <w:r>
          <w:rPr>
            <w:noProof/>
            <w:webHidden/>
          </w:rPr>
          <w:tab/>
        </w:r>
        <w:r>
          <w:rPr>
            <w:noProof/>
            <w:webHidden/>
          </w:rPr>
          <w:fldChar w:fldCharType="begin"/>
        </w:r>
        <w:r>
          <w:rPr>
            <w:noProof/>
            <w:webHidden/>
          </w:rPr>
          <w:instrText xml:space="preserve"> PAGEREF _Toc228873230 \h </w:instrText>
        </w:r>
        <w:r>
          <w:rPr>
            <w:noProof/>
            <w:webHidden/>
          </w:rPr>
        </w:r>
        <w:r>
          <w:rPr>
            <w:noProof/>
            <w:webHidden/>
          </w:rPr>
          <w:fldChar w:fldCharType="separate"/>
        </w:r>
        <w:r w:rsidR="00E242A7">
          <w:rPr>
            <w:noProof/>
            <w:webHidden/>
          </w:rPr>
          <w:t>12</w:t>
        </w:r>
        <w:r>
          <w:rPr>
            <w:noProof/>
            <w:webHidden/>
          </w:rPr>
          <w:fldChar w:fldCharType="end"/>
        </w:r>
      </w:hyperlink>
    </w:p>
    <w:p w14:paraId="7FDB282A" w14:textId="624DB6F9" w:rsidR="00B94093" w:rsidRDefault="00B94093">
      <w:pPr>
        <w:pStyle w:val="Spistreci2"/>
        <w:tabs>
          <w:tab w:val="left" w:pos="960"/>
          <w:tab w:val="right" w:leader="dot" w:pos="9062"/>
        </w:tabs>
        <w:rPr>
          <w:rFonts w:eastAsiaTheme="minorEastAsia"/>
          <w:noProof/>
          <w:lang w:eastAsia="pl-PL"/>
        </w:rPr>
      </w:pPr>
      <w:hyperlink w:anchor="_Toc228873231" w:history="1">
        <w:r w:rsidRPr="00646413">
          <w:rPr>
            <w:rStyle w:val="Hipercze"/>
            <w:noProof/>
          </w:rPr>
          <w:t>III.</w:t>
        </w:r>
        <w:r>
          <w:rPr>
            <w:rFonts w:eastAsiaTheme="minorEastAsia"/>
            <w:noProof/>
            <w:lang w:eastAsia="pl-PL"/>
          </w:rPr>
          <w:tab/>
        </w:r>
        <w:r w:rsidRPr="00646413">
          <w:rPr>
            <w:rStyle w:val="Hipercze"/>
            <w:noProof/>
          </w:rPr>
          <w:t>DOKUMENTACJA, STANDARDY I FORMALNOŚCI</w:t>
        </w:r>
        <w:r>
          <w:rPr>
            <w:noProof/>
            <w:webHidden/>
          </w:rPr>
          <w:tab/>
        </w:r>
        <w:r>
          <w:rPr>
            <w:noProof/>
            <w:webHidden/>
          </w:rPr>
          <w:fldChar w:fldCharType="begin"/>
        </w:r>
        <w:r>
          <w:rPr>
            <w:noProof/>
            <w:webHidden/>
          </w:rPr>
          <w:instrText xml:space="preserve"> PAGEREF _Toc228873231 \h </w:instrText>
        </w:r>
        <w:r>
          <w:rPr>
            <w:noProof/>
            <w:webHidden/>
          </w:rPr>
        </w:r>
        <w:r>
          <w:rPr>
            <w:noProof/>
            <w:webHidden/>
          </w:rPr>
          <w:fldChar w:fldCharType="separate"/>
        </w:r>
        <w:r w:rsidR="00E242A7">
          <w:rPr>
            <w:noProof/>
            <w:webHidden/>
          </w:rPr>
          <w:t>14</w:t>
        </w:r>
        <w:r>
          <w:rPr>
            <w:noProof/>
            <w:webHidden/>
          </w:rPr>
          <w:fldChar w:fldCharType="end"/>
        </w:r>
      </w:hyperlink>
    </w:p>
    <w:p w14:paraId="15A0C201" w14:textId="46AA6063" w:rsidR="00B94093" w:rsidRDefault="00B94093">
      <w:pPr>
        <w:pStyle w:val="Spistreci2"/>
        <w:tabs>
          <w:tab w:val="left" w:pos="960"/>
          <w:tab w:val="right" w:leader="dot" w:pos="9062"/>
        </w:tabs>
        <w:rPr>
          <w:rFonts w:eastAsiaTheme="minorEastAsia"/>
          <w:noProof/>
          <w:lang w:eastAsia="pl-PL"/>
        </w:rPr>
      </w:pPr>
      <w:hyperlink w:anchor="_Toc228873232" w:history="1">
        <w:r w:rsidRPr="00646413">
          <w:rPr>
            <w:rStyle w:val="Hipercze"/>
            <w:noProof/>
          </w:rPr>
          <w:t>IV.</w:t>
        </w:r>
        <w:r>
          <w:rPr>
            <w:rFonts w:eastAsiaTheme="minorEastAsia"/>
            <w:noProof/>
            <w:lang w:eastAsia="pl-PL"/>
          </w:rPr>
          <w:tab/>
        </w:r>
        <w:r w:rsidRPr="00646413">
          <w:rPr>
            <w:rStyle w:val="Hipercze"/>
            <w:noProof/>
          </w:rPr>
          <w:t>REFERENCJE I WIARYGODNOŚĆ WYKONAWCÓW</w:t>
        </w:r>
        <w:r>
          <w:rPr>
            <w:noProof/>
            <w:webHidden/>
          </w:rPr>
          <w:tab/>
        </w:r>
        <w:r>
          <w:rPr>
            <w:noProof/>
            <w:webHidden/>
          </w:rPr>
          <w:fldChar w:fldCharType="begin"/>
        </w:r>
        <w:r>
          <w:rPr>
            <w:noProof/>
            <w:webHidden/>
          </w:rPr>
          <w:instrText xml:space="preserve"> PAGEREF _Toc228873232 \h </w:instrText>
        </w:r>
        <w:r>
          <w:rPr>
            <w:noProof/>
            <w:webHidden/>
          </w:rPr>
        </w:r>
        <w:r>
          <w:rPr>
            <w:noProof/>
            <w:webHidden/>
          </w:rPr>
          <w:fldChar w:fldCharType="separate"/>
        </w:r>
        <w:r w:rsidR="00E242A7">
          <w:rPr>
            <w:noProof/>
            <w:webHidden/>
          </w:rPr>
          <w:t>17</w:t>
        </w:r>
        <w:r>
          <w:rPr>
            <w:noProof/>
            <w:webHidden/>
          </w:rPr>
          <w:fldChar w:fldCharType="end"/>
        </w:r>
      </w:hyperlink>
    </w:p>
    <w:p w14:paraId="533F65D2" w14:textId="725B8037" w:rsidR="00B94093" w:rsidRDefault="00B94093">
      <w:pPr>
        <w:pStyle w:val="Spistreci2"/>
        <w:tabs>
          <w:tab w:val="left" w:pos="720"/>
          <w:tab w:val="right" w:leader="dot" w:pos="9062"/>
        </w:tabs>
        <w:rPr>
          <w:rFonts w:eastAsiaTheme="minorEastAsia"/>
          <w:noProof/>
          <w:lang w:eastAsia="pl-PL"/>
        </w:rPr>
      </w:pPr>
      <w:hyperlink w:anchor="_Toc228873233" w:history="1">
        <w:r w:rsidRPr="00646413">
          <w:rPr>
            <w:rStyle w:val="Hipercze"/>
            <w:noProof/>
          </w:rPr>
          <w:t>V.</w:t>
        </w:r>
        <w:r>
          <w:rPr>
            <w:rFonts w:eastAsiaTheme="minorEastAsia"/>
            <w:noProof/>
            <w:lang w:eastAsia="pl-PL"/>
          </w:rPr>
          <w:tab/>
          <w:t xml:space="preserve">     </w:t>
        </w:r>
        <w:r w:rsidRPr="00646413">
          <w:rPr>
            <w:rStyle w:val="Hipercze"/>
            <w:noProof/>
          </w:rPr>
          <w:t>KRYTERIA OCENY OFERT I KONKURENCYJNOŚĆ</w:t>
        </w:r>
        <w:r>
          <w:rPr>
            <w:noProof/>
            <w:webHidden/>
          </w:rPr>
          <w:tab/>
        </w:r>
        <w:r>
          <w:rPr>
            <w:noProof/>
            <w:webHidden/>
          </w:rPr>
          <w:fldChar w:fldCharType="begin"/>
        </w:r>
        <w:r>
          <w:rPr>
            <w:noProof/>
            <w:webHidden/>
          </w:rPr>
          <w:instrText xml:space="preserve"> PAGEREF _Toc228873233 \h </w:instrText>
        </w:r>
        <w:r>
          <w:rPr>
            <w:noProof/>
            <w:webHidden/>
          </w:rPr>
        </w:r>
        <w:r>
          <w:rPr>
            <w:noProof/>
            <w:webHidden/>
          </w:rPr>
          <w:fldChar w:fldCharType="separate"/>
        </w:r>
        <w:r w:rsidR="00E242A7">
          <w:rPr>
            <w:noProof/>
            <w:webHidden/>
          </w:rPr>
          <w:t>19</w:t>
        </w:r>
        <w:r>
          <w:rPr>
            <w:noProof/>
            <w:webHidden/>
          </w:rPr>
          <w:fldChar w:fldCharType="end"/>
        </w:r>
      </w:hyperlink>
    </w:p>
    <w:p w14:paraId="423211BD" w14:textId="6F656DAF" w:rsidR="00B94093" w:rsidRDefault="00B94093">
      <w:pPr>
        <w:pStyle w:val="Spistreci2"/>
        <w:tabs>
          <w:tab w:val="left" w:pos="960"/>
          <w:tab w:val="right" w:leader="dot" w:pos="9062"/>
        </w:tabs>
        <w:rPr>
          <w:rFonts w:eastAsiaTheme="minorEastAsia"/>
          <w:noProof/>
          <w:lang w:eastAsia="pl-PL"/>
        </w:rPr>
      </w:pPr>
      <w:hyperlink w:anchor="_Toc228873234" w:history="1">
        <w:r w:rsidRPr="00646413">
          <w:rPr>
            <w:rStyle w:val="Hipercze"/>
            <w:noProof/>
          </w:rPr>
          <w:t>VI.</w:t>
        </w:r>
        <w:r>
          <w:rPr>
            <w:rFonts w:eastAsiaTheme="minorEastAsia"/>
            <w:noProof/>
            <w:lang w:eastAsia="pl-PL"/>
          </w:rPr>
          <w:tab/>
        </w:r>
        <w:r w:rsidRPr="00646413">
          <w:rPr>
            <w:rStyle w:val="Hipercze"/>
            <w:noProof/>
          </w:rPr>
          <w:t>WYMOGI ORGANIZACYJNE I KADROWE</w:t>
        </w:r>
        <w:r>
          <w:rPr>
            <w:noProof/>
            <w:webHidden/>
          </w:rPr>
          <w:tab/>
        </w:r>
        <w:r>
          <w:rPr>
            <w:noProof/>
            <w:webHidden/>
          </w:rPr>
          <w:fldChar w:fldCharType="begin"/>
        </w:r>
        <w:r>
          <w:rPr>
            <w:noProof/>
            <w:webHidden/>
          </w:rPr>
          <w:instrText xml:space="preserve"> PAGEREF _Toc228873234 \h </w:instrText>
        </w:r>
        <w:r>
          <w:rPr>
            <w:noProof/>
            <w:webHidden/>
          </w:rPr>
        </w:r>
        <w:r>
          <w:rPr>
            <w:noProof/>
            <w:webHidden/>
          </w:rPr>
          <w:fldChar w:fldCharType="separate"/>
        </w:r>
        <w:r w:rsidR="00E242A7">
          <w:rPr>
            <w:noProof/>
            <w:webHidden/>
          </w:rPr>
          <w:t>21</w:t>
        </w:r>
        <w:r>
          <w:rPr>
            <w:noProof/>
            <w:webHidden/>
          </w:rPr>
          <w:fldChar w:fldCharType="end"/>
        </w:r>
      </w:hyperlink>
    </w:p>
    <w:p w14:paraId="15DF6172" w14:textId="7158C386" w:rsidR="00B94093" w:rsidRDefault="00B94093">
      <w:pPr>
        <w:pStyle w:val="Spistreci2"/>
        <w:tabs>
          <w:tab w:val="left" w:pos="960"/>
          <w:tab w:val="right" w:leader="dot" w:pos="9062"/>
        </w:tabs>
        <w:rPr>
          <w:rFonts w:eastAsiaTheme="minorEastAsia"/>
          <w:noProof/>
          <w:lang w:eastAsia="pl-PL"/>
        </w:rPr>
      </w:pPr>
      <w:hyperlink w:anchor="_Toc228873235" w:history="1">
        <w:r w:rsidRPr="00646413">
          <w:rPr>
            <w:rStyle w:val="Hipercze"/>
            <w:noProof/>
          </w:rPr>
          <w:t>VII.</w:t>
        </w:r>
        <w:r>
          <w:rPr>
            <w:rFonts w:eastAsiaTheme="minorEastAsia"/>
            <w:noProof/>
            <w:lang w:eastAsia="pl-PL"/>
          </w:rPr>
          <w:tab/>
        </w:r>
        <w:r w:rsidRPr="00646413">
          <w:rPr>
            <w:rStyle w:val="Hipercze"/>
            <w:noProof/>
          </w:rPr>
          <w:t>USŁUGI, SERWIS I CYKL ŻYCIA</w:t>
        </w:r>
        <w:r>
          <w:rPr>
            <w:noProof/>
            <w:webHidden/>
          </w:rPr>
          <w:tab/>
        </w:r>
        <w:r>
          <w:rPr>
            <w:noProof/>
            <w:webHidden/>
          </w:rPr>
          <w:fldChar w:fldCharType="begin"/>
        </w:r>
        <w:r>
          <w:rPr>
            <w:noProof/>
            <w:webHidden/>
          </w:rPr>
          <w:instrText xml:space="preserve"> PAGEREF _Toc228873235 \h </w:instrText>
        </w:r>
        <w:r>
          <w:rPr>
            <w:noProof/>
            <w:webHidden/>
          </w:rPr>
        </w:r>
        <w:r>
          <w:rPr>
            <w:noProof/>
            <w:webHidden/>
          </w:rPr>
          <w:fldChar w:fldCharType="separate"/>
        </w:r>
        <w:r w:rsidR="00E242A7">
          <w:rPr>
            <w:noProof/>
            <w:webHidden/>
          </w:rPr>
          <w:t>22</w:t>
        </w:r>
        <w:r>
          <w:rPr>
            <w:noProof/>
            <w:webHidden/>
          </w:rPr>
          <w:fldChar w:fldCharType="end"/>
        </w:r>
      </w:hyperlink>
    </w:p>
    <w:p w14:paraId="35AA0777" w14:textId="613241AC" w:rsidR="00B94093" w:rsidRDefault="00B94093">
      <w:pPr>
        <w:pStyle w:val="Spistreci2"/>
        <w:tabs>
          <w:tab w:val="left" w:pos="960"/>
          <w:tab w:val="right" w:leader="dot" w:pos="9062"/>
        </w:tabs>
        <w:rPr>
          <w:rFonts w:eastAsiaTheme="minorEastAsia"/>
          <w:noProof/>
          <w:lang w:eastAsia="pl-PL"/>
        </w:rPr>
      </w:pPr>
      <w:hyperlink w:anchor="_Toc228873236" w:history="1">
        <w:r w:rsidRPr="00646413">
          <w:rPr>
            <w:rStyle w:val="Hipercze"/>
            <w:noProof/>
          </w:rPr>
          <w:t>VIII.</w:t>
        </w:r>
        <w:r>
          <w:rPr>
            <w:rFonts w:eastAsiaTheme="minorEastAsia"/>
            <w:noProof/>
            <w:lang w:eastAsia="pl-PL"/>
          </w:rPr>
          <w:tab/>
        </w:r>
        <w:r w:rsidRPr="00646413">
          <w:rPr>
            <w:rStyle w:val="Hipercze"/>
            <w:noProof/>
          </w:rPr>
          <w:t>INNOWACJE, ROZWÓJ KOMPETENCJI, BADANIA I ROZWÓJ</w:t>
        </w:r>
        <w:r>
          <w:rPr>
            <w:noProof/>
            <w:webHidden/>
          </w:rPr>
          <w:tab/>
        </w:r>
        <w:r>
          <w:rPr>
            <w:noProof/>
            <w:webHidden/>
          </w:rPr>
          <w:fldChar w:fldCharType="begin"/>
        </w:r>
        <w:r>
          <w:rPr>
            <w:noProof/>
            <w:webHidden/>
          </w:rPr>
          <w:instrText xml:space="preserve"> PAGEREF _Toc228873236 \h </w:instrText>
        </w:r>
        <w:r>
          <w:rPr>
            <w:noProof/>
            <w:webHidden/>
          </w:rPr>
        </w:r>
        <w:r>
          <w:rPr>
            <w:noProof/>
            <w:webHidden/>
          </w:rPr>
          <w:fldChar w:fldCharType="separate"/>
        </w:r>
        <w:r w:rsidR="00E242A7">
          <w:rPr>
            <w:noProof/>
            <w:webHidden/>
          </w:rPr>
          <w:t>24</w:t>
        </w:r>
        <w:r>
          <w:rPr>
            <w:noProof/>
            <w:webHidden/>
          </w:rPr>
          <w:fldChar w:fldCharType="end"/>
        </w:r>
      </w:hyperlink>
    </w:p>
    <w:p w14:paraId="56ED2AC8" w14:textId="22ABAD44" w:rsidR="00B94093" w:rsidRDefault="00B94093">
      <w:pPr>
        <w:pStyle w:val="Spistreci2"/>
        <w:tabs>
          <w:tab w:val="left" w:pos="960"/>
          <w:tab w:val="right" w:leader="dot" w:pos="9062"/>
        </w:tabs>
        <w:rPr>
          <w:rFonts w:eastAsiaTheme="minorEastAsia"/>
          <w:noProof/>
          <w:lang w:eastAsia="pl-PL"/>
        </w:rPr>
      </w:pPr>
      <w:hyperlink w:anchor="_Toc228873237" w:history="1">
        <w:r w:rsidRPr="00646413">
          <w:rPr>
            <w:rStyle w:val="Hipercze"/>
            <w:noProof/>
          </w:rPr>
          <w:t>IX.</w:t>
        </w:r>
        <w:r>
          <w:rPr>
            <w:rFonts w:eastAsiaTheme="minorEastAsia"/>
            <w:noProof/>
            <w:lang w:eastAsia="pl-PL"/>
          </w:rPr>
          <w:tab/>
        </w:r>
        <w:r w:rsidRPr="00646413">
          <w:rPr>
            <w:rStyle w:val="Hipercze"/>
            <w:noProof/>
          </w:rPr>
          <w:t>ESG, ŚRODOWISKOWE, SPOŁECZNE</w:t>
        </w:r>
        <w:r>
          <w:rPr>
            <w:noProof/>
            <w:webHidden/>
          </w:rPr>
          <w:tab/>
        </w:r>
        <w:r>
          <w:rPr>
            <w:noProof/>
            <w:webHidden/>
          </w:rPr>
          <w:fldChar w:fldCharType="begin"/>
        </w:r>
        <w:r>
          <w:rPr>
            <w:noProof/>
            <w:webHidden/>
          </w:rPr>
          <w:instrText xml:space="preserve"> PAGEREF _Toc228873237 \h </w:instrText>
        </w:r>
        <w:r>
          <w:rPr>
            <w:noProof/>
            <w:webHidden/>
          </w:rPr>
        </w:r>
        <w:r>
          <w:rPr>
            <w:noProof/>
            <w:webHidden/>
          </w:rPr>
          <w:fldChar w:fldCharType="separate"/>
        </w:r>
        <w:r w:rsidR="00E242A7">
          <w:rPr>
            <w:noProof/>
            <w:webHidden/>
          </w:rPr>
          <w:t>25</w:t>
        </w:r>
        <w:r>
          <w:rPr>
            <w:noProof/>
            <w:webHidden/>
          </w:rPr>
          <w:fldChar w:fldCharType="end"/>
        </w:r>
      </w:hyperlink>
    </w:p>
    <w:p w14:paraId="638F3097" w14:textId="67AB66BC" w:rsidR="00B94093" w:rsidRDefault="00B94093">
      <w:pPr>
        <w:pStyle w:val="Spistreci2"/>
        <w:tabs>
          <w:tab w:val="left" w:pos="720"/>
          <w:tab w:val="right" w:leader="dot" w:pos="9062"/>
        </w:tabs>
        <w:rPr>
          <w:rFonts w:eastAsiaTheme="minorEastAsia"/>
          <w:noProof/>
          <w:lang w:eastAsia="pl-PL"/>
        </w:rPr>
      </w:pPr>
      <w:hyperlink w:anchor="_Toc228873238" w:history="1">
        <w:r w:rsidRPr="00646413">
          <w:rPr>
            <w:rStyle w:val="Hipercze"/>
            <w:noProof/>
          </w:rPr>
          <w:t>X.</w:t>
        </w:r>
        <w:r>
          <w:rPr>
            <w:rFonts w:eastAsiaTheme="minorEastAsia"/>
            <w:noProof/>
            <w:lang w:eastAsia="pl-PL"/>
          </w:rPr>
          <w:tab/>
          <w:t xml:space="preserve">     </w:t>
        </w:r>
        <w:r w:rsidRPr="00646413">
          <w:rPr>
            <w:rStyle w:val="Hipercze"/>
            <w:noProof/>
          </w:rPr>
          <w:t>LOKALNA OBECNOŚĆ OPERACYJNA</w:t>
        </w:r>
        <w:r>
          <w:rPr>
            <w:noProof/>
            <w:webHidden/>
          </w:rPr>
          <w:tab/>
        </w:r>
        <w:r>
          <w:rPr>
            <w:noProof/>
            <w:webHidden/>
          </w:rPr>
          <w:fldChar w:fldCharType="begin"/>
        </w:r>
        <w:r>
          <w:rPr>
            <w:noProof/>
            <w:webHidden/>
          </w:rPr>
          <w:instrText xml:space="preserve"> PAGEREF _Toc228873238 \h </w:instrText>
        </w:r>
        <w:r>
          <w:rPr>
            <w:noProof/>
            <w:webHidden/>
          </w:rPr>
        </w:r>
        <w:r>
          <w:rPr>
            <w:noProof/>
            <w:webHidden/>
          </w:rPr>
          <w:fldChar w:fldCharType="separate"/>
        </w:r>
        <w:r w:rsidR="00E242A7">
          <w:rPr>
            <w:noProof/>
            <w:webHidden/>
          </w:rPr>
          <w:t>27</w:t>
        </w:r>
        <w:r>
          <w:rPr>
            <w:noProof/>
            <w:webHidden/>
          </w:rPr>
          <w:fldChar w:fldCharType="end"/>
        </w:r>
      </w:hyperlink>
    </w:p>
    <w:p w14:paraId="07480D51" w14:textId="1F221650" w:rsidR="00B94093" w:rsidRDefault="00B94093">
      <w:pPr>
        <w:pStyle w:val="Spistreci2"/>
        <w:tabs>
          <w:tab w:val="left" w:pos="960"/>
          <w:tab w:val="right" w:leader="dot" w:pos="9062"/>
        </w:tabs>
        <w:rPr>
          <w:rFonts w:eastAsiaTheme="minorEastAsia"/>
          <w:noProof/>
          <w:lang w:eastAsia="pl-PL"/>
        </w:rPr>
      </w:pPr>
      <w:hyperlink w:anchor="_Toc228873239" w:history="1">
        <w:r w:rsidRPr="00646413">
          <w:rPr>
            <w:rStyle w:val="Hipercze"/>
            <w:noProof/>
          </w:rPr>
          <w:t>XI.</w:t>
        </w:r>
        <w:r>
          <w:rPr>
            <w:rFonts w:eastAsiaTheme="minorEastAsia"/>
            <w:noProof/>
            <w:lang w:eastAsia="pl-PL"/>
          </w:rPr>
          <w:tab/>
        </w:r>
        <w:r w:rsidRPr="00646413">
          <w:rPr>
            <w:rStyle w:val="Hipercze"/>
            <w:noProof/>
          </w:rPr>
          <w:t>MONITORING, RAPORTOWANIE</w:t>
        </w:r>
        <w:r>
          <w:rPr>
            <w:noProof/>
            <w:webHidden/>
          </w:rPr>
          <w:tab/>
        </w:r>
        <w:r>
          <w:rPr>
            <w:noProof/>
            <w:webHidden/>
          </w:rPr>
          <w:fldChar w:fldCharType="begin"/>
        </w:r>
        <w:r>
          <w:rPr>
            <w:noProof/>
            <w:webHidden/>
          </w:rPr>
          <w:instrText xml:space="preserve"> PAGEREF _Toc228873239 \h </w:instrText>
        </w:r>
        <w:r>
          <w:rPr>
            <w:noProof/>
            <w:webHidden/>
          </w:rPr>
        </w:r>
        <w:r>
          <w:rPr>
            <w:noProof/>
            <w:webHidden/>
          </w:rPr>
          <w:fldChar w:fldCharType="separate"/>
        </w:r>
        <w:r w:rsidR="00E242A7">
          <w:rPr>
            <w:noProof/>
            <w:webHidden/>
          </w:rPr>
          <w:t>28</w:t>
        </w:r>
        <w:r>
          <w:rPr>
            <w:noProof/>
            <w:webHidden/>
          </w:rPr>
          <w:fldChar w:fldCharType="end"/>
        </w:r>
      </w:hyperlink>
    </w:p>
    <w:p w14:paraId="72338496" w14:textId="25AD599D" w:rsidR="00B94093" w:rsidRDefault="00B94093">
      <w:pPr>
        <w:pStyle w:val="Spistreci2"/>
        <w:tabs>
          <w:tab w:val="left" w:pos="960"/>
          <w:tab w:val="right" w:leader="dot" w:pos="9062"/>
        </w:tabs>
        <w:rPr>
          <w:rFonts w:eastAsiaTheme="minorEastAsia"/>
          <w:noProof/>
          <w:lang w:eastAsia="pl-PL"/>
        </w:rPr>
      </w:pPr>
      <w:hyperlink w:anchor="_Toc228873240" w:history="1">
        <w:r w:rsidRPr="00646413">
          <w:rPr>
            <w:rStyle w:val="Hipercze"/>
            <w:noProof/>
          </w:rPr>
          <w:t>XII.</w:t>
        </w:r>
        <w:r>
          <w:rPr>
            <w:rFonts w:eastAsiaTheme="minorEastAsia"/>
            <w:noProof/>
            <w:lang w:eastAsia="pl-PL"/>
          </w:rPr>
          <w:tab/>
        </w:r>
        <w:r w:rsidRPr="00646413">
          <w:rPr>
            <w:rStyle w:val="Hipercze"/>
            <w:noProof/>
          </w:rPr>
          <w:t>FINANSOWANIE, GWARANCJE I WARUNKI KONTRAKTOWE</w:t>
        </w:r>
        <w:r>
          <w:rPr>
            <w:noProof/>
            <w:webHidden/>
          </w:rPr>
          <w:tab/>
        </w:r>
        <w:r>
          <w:rPr>
            <w:noProof/>
            <w:webHidden/>
          </w:rPr>
          <w:fldChar w:fldCharType="begin"/>
        </w:r>
        <w:r>
          <w:rPr>
            <w:noProof/>
            <w:webHidden/>
          </w:rPr>
          <w:instrText xml:space="preserve"> PAGEREF _Toc228873240 \h </w:instrText>
        </w:r>
        <w:r>
          <w:rPr>
            <w:noProof/>
            <w:webHidden/>
          </w:rPr>
        </w:r>
        <w:r>
          <w:rPr>
            <w:noProof/>
            <w:webHidden/>
          </w:rPr>
          <w:fldChar w:fldCharType="separate"/>
        </w:r>
        <w:r w:rsidR="00E242A7">
          <w:rPr>
            <w:noProof/>
            <w:webHidden/>
          </w:rPr>
          <w:t>29</w:t>
        </w:r>
        <w:r>
          <w:rPr>
            <w:noProof/>
            <w:webHidden/>
          </w:rPr>
          <w:fldChar w:fldCharType="end"/>
        </w:r>
      </w:hyperlink>
    </w:p>
    <w:p w14:paraId="2B8573BB" w14:textId="3D72561E" w:rsidR="00241EEF" w:rsidRDefault="00B94093">
      <w:pPr>
        <w:rPr>
          <w:rFonts w:ascii="Lato" w:hAnsi="Lato"/>
          <w:sz w:val="20"/>
          <w:szCs w:val="20"/>
        </w:rPr>
      </w:pPr>
      <w:r>
        <w:rPr>
          <w:rFonts w:ascii="Lato" w:hAnsi="Lato"/>
          <w:sz w:val="20"/>
          <w:szCs w:val="20"/>
        </w:rPr>
        <w:fldChar w:fldCharType="end"/>
      </w:r>
      <w:r w:rsidR="00241EEF">
        <w:rPr>
          <w:rFonts w:ascii="Lato" w:hAnsi="Lato"/>
          <w:sz w:val="20"/>
          <w:szCs w:val="20"/>
        </w:rPr>
        <w:br w:type="page"/>
      </w:r>
    </w:p>
    <w:p w14:paraId="7B272A64" w14:textId="77777777" w:rsidR="00E242A7" w:rsidRDefault="00E242A7" w:rsidP="00E242A7">
      <w:pPr>
        <w:pStyle w:val="rozdzial"/>
        <w:numPr>
          <w:ilvl w:val="0"/>
          <w:numId w:val="0"/>
        </w:numPr>
        <w:ind w:left="1080"/>
      </w:pPr>
      <w:bookmarkStart w:id="0" w:name="_Toc228873225"/>
    </w:p>
    <w:p w14:paraId="34CA4C00" w14:textId="77777777" w:rsidR="00E242A7" w:rsidRDefault="00E242A7" w:rsidP="00E242A7">
      <w:pPr>
        <w:pStyle w:val="rozdzial"/>
        <w:numPr>
          <w:ilvl w:val="0"/>
          <w:numId w:val="0"/>
        </w:numPr>
        <w:ind w:left="1080"/>
      </w:pPr>
    </w:p>
    <w:p w14:paraId="5433F67D" w14:textId="77777777" w:rsidR="00E242A7" w:rsidRDefault="00E242A7" w:rsidP="00E242A7">
      <w:pPr>
        <w:pStyle w:val="rozdzial"/>
        <w:numPr>
          <w:ilvl w:val="0"/>
          <w:numId w:val="0"/>
        </w:numPr>
        <w:ind w:left="1080"/>
      </w:pPr>
    </w:p>
    <w:p w14:paraId="2ACC9C44" w14:textId="77777777" w:rsidR="00E242A7" w:rsidRDefault="00E242A7" w:rsidP="00E242A7">
      <w:pPr>
        <w:pStyle w:val="rozdzial"/>
        <w:numPr>
          <w:ilvl w:val="0"/>
          <w:numId w:val="0"/>
        </w:numPr>
        <w:ind w:left="1080"/>
      </w:pPr>
    </w:p>
    <w:p w14:paraId="69DA9AAB" w14:textId="77777777" w:rsidR="00E242A7" w:rsidRDefault="00E242A7" w:rsidP="00E242A7">
      <w:pPr>
        <w:pStyle w:val="rozdzial"/>
        <w:numPr>
          <w:ilvl w:val="0"/>
          <w:numId w:val="0"/>
        </w:numPr>
        <w:ind w:left="1080"/>
      </w:pPr>
    </w:p>
    <w:p w14:paraId="185EE109" w14:textId="77777777" w:rsidR="00E242A7" w:rsidRDefault="00E242A7" w:rsidP="00E242A7">
      <w:pPr>
        <w:pStyle w:val="rozdzial"/>
        <w:numPr>
          <w:ilvl w:val="0"/>
          <w:numId w:val="0"/>
        </w:numPr>
        <w:ind w:left="1080"/>
      </w:pPr>
    </w:p>
    <w:p w14:paraId="1622A4F9" w14:textId="77777777" w:rsidR="00E242A7" w:rsidRDefault="00E242A7" w:rsidP="00E242A7">
      <w:pPr>
        <w:pStyle w:val="rozdzial"/>
        <w:numPr>
          <w:ilvl w:val="0"/>
          <w:numId w:val="0"/>
        </w:numPr>
        <w:ind w:left="1080"/>
      </w:pPr>
    </w:p>
    <w:p w14:paraId="3BAC7F9F" w14:textId="77777777" w:rsidR="00E242A7" w:rsidRDefault="00E242A7" w:rsidP="00E242A7">
      <w:pPr>
        <w:pStyle w:val="rozdzial"/>
        <w:numPr>
          <w:ilvl w:val="0"/>
          <w:numId w:val="0"/>
        </w:numPr>
        <w:ind w:left="1080"/>
      </w:pPr>
    </w:p>
    <w:p w14:paraId="7D9DBE44" w14:textId="3A26BCD6" w:rsidR="000403F1" w:rsidRDefault="00631CBB" w:rsidP="00241EEF">
      <w:pPr>
        <w:pStyle w:val="rozdzial"/>
      </w:pPr>
      <w:r w:rsidRPr="00054889">
        <w:t>Wprowadzenie</w:t>
      </w:r>
      <w:bookmarkEnd w:id="0"/>
    </w:p>
    <w:p w14:paraId="408C0BB2" w14:textId="77777777" w:rsidR="00E242A7" w:rsidRDefault="00E242A7" w:rsidP="00E242A7">
      <w:pPr>
        <w:pStyle w:val="rozdzial"/>
        <w:numPr>
          <w:ilvl w:val="0"/>
          <w:numId w:val="0"/>
        </w:numPr>
        <w:ind w:left="1080"/>
      </w:pPr>
    </w:p>
    <w:p w14:paraId="1F1CE466" w14:textId="77777777" w:rsidR="00E242A7" w:rsidRPr="00054889" w:rsidRDefault="00E242A7" w:rsidP="00E242A7">
      <w:pPr>
        <w:pStyle w:val="rozdzial"/>
        <w:numPr>
          <w:ilvl w:val="0"/>
          <w:numId w:val="0"/>
        </w:numPr>
        <w:ind w:left="1080"/>
      </w:pPr>
    </w:p>
    <w:p w14:paraId="0EA8347C" w14:textId="1BB9894E" w:rsidR="00831A17" w:rsidRPr="00054889" w:rsidRDefault="00831A17" w:rsidP="00097032">
      <w:pPr>
        <w:spacing w:after="120" w:line="360" w:lineRule="auto"/>
        <w:jc w:val="both"/>
        <w:rPr>
          <w:rFonts w:ascii="Lato" w:hAnsi="Lato"/>
          <w:sz w:val="20"/>
          <w:szCs w:val="20"/>
        </w:rPr>
      </w:pPr>
      <w:r w:rsidRPr="00054889">
        <w:rPr>
          <w:rFonts w:ascii="Lato" w:hAnsi="Lato"/>
          <w:sz w:val="20"/>
          <w:szCs w:val="20"/>
        </w:rPr>
        <w:t xml:space="preserve">Pandemia COVID-19, </w:t>
      </w:r>
      <w:proofErr w:type="spellStart"/>
      <w:r w:rsidRPr="00054889">
        <w:rPr>
          <w:rFonts w:ascii="Lato" w:hAnsi="Lato"/>
          <w:sz w:val="20"/>
          <w:szCs w:val="20"/>
        </w:rPr>
        <w:t>pełnoskalowa</w:t>
      </w:r>
      <w:proofErr w:type="spellEnd"/>
      <w:r w:rsidRPr="00054889">
        <w:rPr>
          <w:rFonts w:ascii="Lato" w:hAnsi="Lato"/>
          <w:sz w:val="20"/>
          <w:szCs w:val="20"/>
        </w:rPr>
        <w:t xml:space="preserve"> rosyjska agresja na Ukrainę oraz nasilająca się globalna rywalizacja gospodarcza doprowadziły do zrewidowania wielu poglądów na sposób </w:t>
      </w:r>
      <w:r w:rsidR="00AE0B45">
        <w:rPr>
          <w:rFonts w:ascii="Lato" w:hAnsi="Lato"/>
          <w:sz w:val="20"/>
          <w:szCs w:val="20"/>
        </w:rPr>
        <w:t>uprawiania</w:t>
      </w:r>
      <w:r w:rsidR="00AE0B45" w:rsidRPr="00054889">
        <w:rPr>
          <w:rFonts w:ascii="Lato" w:hAnsi="Lato"/>
          <w:sz w:val="20"/>
          <w:szCs w:val="20"/>
        </w:rPr>
        <w:t xml:space="preserve"> </w:t>
      </w:r>
      <w:r w:rsidRPr="00054889">
        <w:rPr>
          <w:rFonts w:ascii="Lato" w:hAnsi="Lato"/>
          <w:sz w:val="20"/>
          <w:szCs w:val="20"/>
        </w:rPr>
        <w:t xml:space="preserve">polityki gospodarczej oraz do poszukiwania nowych instrumentów jej realizacji. Wśród proponowanych rozwiązań wymienia się podejmowanie przez administrację publiczną aktywnych działań na rzecz wzmacniania krajowej bazy przemysłowej i usługowej w poszczególnych sektorach gospodarki, w tym promowanie udziału komponentu krajowego (w międzynarodowej debacie gospodarczej oznaczanego </w:t>
      </w:r>
      <w:r w:rsidR="008C6090">
        <w:rPr>
          <w:rFonts w:ascii="Lato" w:hAnsi="Lato"/>
          <w:sz w:val="20"/>
          <w:szCs w:val="20"/>
        </w:rPr>
        <w:t xml:space="preserve">w uproszczeniu </w:t>
      </w:r>
      <w:r w:rsidRPr="00054889">
        <w:rPr>
          <w:rFonts w:ascii="Lato" w:hAnsi="Lato"/>
          <w:sz w:val="20"/>
          <w:szCs w:val="20"/>
        </w:rPr>
        <w:t xml:space="preserve">jako </w:t>
      </w:r>
      <w:proofErr w:type="spellStart"/>
      <w:r w:rsidRPr="00054889">
        <w:rPr>
          <w:rFonts w:ascii="Lato" w:hAnsi="Lato"/>
          <w:i/>
          <w:sz w:val="20"/>
          <w:szCs w:val="20"/>
        </w:rPr>
        <w:t>local</w:t>
      </w:r>
      <w:proofErr w:type="spellEnd"/>
      <w:r w:rsidRPr="00054889">
        <w:rPr>
          <w:rFonts w:ascii="Lato" w:hAnsi="Lato"/>
          <w:i/>
          <w:sz w:val="20"/>
          <w:szCs w:val="20"/>
        </w:rPr>
        <w:t xml:space="preserve"> </w:t>
      </w:r>
      <w:proofErr w:type="spellStart"/>
      <w:r w:rsidRPr="00054889">
        <w:rPr>
          <w:rFonts w:ascii="Lato" w:hAnsi="Lato"/>
          <w:i/>
          <w:sz w:val="20"/>
          <w:szCs w:val="20"/>
        </w:rPr>
        <w:t>content</w:t>
      </w:r>
      <w:proofErr w:type="spellEnd"/>
      <w:r w:rsidRPr="00054889">
        <w:rPr>
          <w:rFonts w:ascii="Lato" w:hAnsi="Lato"/>
          <w:sz w:val="20"/>
          <w:szCs w:val="20"/>
        </w:rPr>
        <w:t xml:space="preserve">) przy realizacji inwestycji </w:t>
      </w:r>
      <w:r w:rsidR="005F13F1" w:rsidRPr="005F13F1">
        <w:rPr>
          <w:rFonts w:ascii="Lato" w:hAnsi="Lato"/>
          <w:sz w:val="20"/>
          <w:szCs w:val="20"/>
        </w:rPr>
        <w:t>przez spółki z udziałem Skarbu Państwa i ich podmioty zależne</w:t>
      </w:r>
      <w:r w:rsidRPr="00054889">
        <w:rPr>
          <w:rFonts w:ascii="Lato" w:hAnsi="Lato"/>
          <w:sz w:val="20"/>
          <w:szCs w:val="20"/>
        </w:rPr>
        <w:t>.</w:t>
      </w:r>
    </w:p>
    <w:p w14:paraId="14D1374E" w14:textId="13DB9E9D" w:rsidR="00831A17" w:rsidRPr="00054889" w:rsidRDefault="00831A17" w:rsidP="00097032">
      <w:pPr>
        <w:spacing w:after="120" w:line="360" w:lineRule="auto"/>
        <w:jc w:val="both"/>
        <w:rPr>
          <w:rFonts w:ascii="Lato" w:hAnsi="Lato"/>
          <w:sz w:val="20"/>
          <w:szCs w:val="20"/>
        </w:rPr>
      </w:pPr>
      <w:r w:rsidRPr="00054889">
        <w:rPr>
          <w:rFonts w:ascii="Lato" w:hAnsi="Lato"/>
          <w:sz w:val="20"/>
          <w:szCs w:val="20"/>
        </w:rPr>
        <w:t>Konieczność wzmacniania krajowej bazy przemysłowej</w:t>
      </w:r>
      <w:r w:rsidR="00061D73">
        <w:rPr>
          <w:rFonts w:ascii="Lato" w:hAnsi="Lato"/>
          <w:sz w:val="20"/>
          <w:szCs w:val="20"/>
        </w:rPr>
        <w:t xml:space="preserve"> i usługowej oraz</w:t>
      </w:r>
      <w:r w:rsidR="008F360C" w:rsidRPr="00054889">
        <w:rPr>
          <w:rFonts w:ascii="Lato" w:hAnsi="Lato"/>
          <w:sz w:val="20"/>
          <w:szCs w:val="20"/>
        </w:rPr>
        <w:t xml:space="preserve"> dążenia do zmniejszania zależności od krajów trzecich</w:t>
      </w:r>
      <w:r w:rsidRPr="00054889">
        <w:rPr>
          <w:rFonts w:ascii="Lato" w:hAnsi="Lato"/>
          <w:sz w:val="20"/>
          <w:szCs w:val="20"/>
        </w:rPr>
        <w:t xml:space="preserve"> jest identyfikowana przez szereg państw takich jak USA</w:t>
      </w:r>
      <w:r w:rsidR="008F360C" w:rsidRPr="00054889">
        <w:rPr>
          <w:rFonts w:ascii="Lato" w:hAnsi="Lato"/>
          <w:sz w:val="20"/>
          <w:szCs w:val="20"/>
        </w:rPr>
        <w:t xml:space="preserve"> czy</w:t>
      </w:r>
      <w:r w:rsidRPr="00054889">
        <w:rPr>
          <w:rFonts w:ascii="Lato" w:hAnsi="Lato"/>
          <w:sz w:val="20"/>
          <w:szCs w:val="20"/>
        </w:rPr>
        <w:t xml:space="preserve"> Wielka Brytania. Coraz więcej państw na świecie widzi </w:t>
      </w:r>
      <w:r w:rsidR="008F360C" w:rsidRPr="00054889">
        <w:rPr>
          <w:rFonts w:ascii="Lato" w:hAnsi="Lato"/>
          <w:sz w:val="20"/>
          <w:szCs w:val="20"/>
        </w:rPr>
        <w:t>potrzebę</w:t>
      </w:r>
      <w:r w:rsidRPr="00054889">
        <w:rPr>
          <w:rFonts w:ascii="Lato" w:hAnsi="Lato"/>
          <w:sz w:val="20"/>
          <w:szCs w:val="20"/>
        </w:rPr>
        <w:t xml:space="preserve"> wspierania własnego przemysłu, a koncepcje suwerenności gospodarczej i technologicznej są przedmiotem szczegółowej debaty. Polski Instytut Ekonomiczny 28 września 2022 r. opublikował raport</w:t>
      </w:r>
      <w:r w:rsidRPr="00054889">
        <w:rPr>
          <w:rFonts w:ascii="Lato" w:hAnsi="Lato"/>
          <w:sz w:val="20"/>
          <w:szCs w:val="20"/>
          <w:vertAlign w:val="superscript"/>
        </w:rPr>
        <w:footnoteReference w:id="1"/>
      </w:r>
      <w:r w:rsidRPr="00054889">
        <w:rPr>
          <w:rFonts w:ascii="Lato" w:hAnsi="Lato"/>
          <w:sz w:val="20"/>
          <w:szCs w:val="20"/>
        </w:rPr>
        <w:t xml:space="preserve"> pt. </w:t>
      </w:r>
      <w:r w:rsidRPr="00054889">
        <w:rPr>
          <w:rFonts w:ascii="Lato" w:hAnsi="Lato"/>
          <w:i/>
          <w:sz w:val="20"/>
          <w:szCs w:val="20"/>
        </w:rPr>
        <w:t xml:space="preserve">Dekada bezpieczeństwa ekonomicznego. Od </w:t>
      </w:r>
      <w:proofErr w:type="spellStart"/>
      <w:r w:rsidRPr="00054889">
        <w:rPr>
          <w:rFonts w:ascii="Lato" w:hAnsi="Lato"/>
          <w:i/>
          <w:sz w:val="20"/>
          <w:szCs w:val="20"/>
        </w:rPr>
        <w:t>offshoringu</w:t>
      </w:r>
      <w:proofErr w:type="spellEnd"/>
      <w:r w:rsidRPr="00054889">
        <w:rPr>
          <w:rFonts w:ascii="Lato" w:hAnsi="Lato"/>
          <w:i/>
          <w:sz w:val="20"/>
          <w:szCs w:val="20"/>
        </w:rPr>
        <w:t xml:space="preserve"> do częściowego </w:t>
      </w:r>
      <w:proofErr w:type="spellStart"/>
      <w:r w:rsidRPr="00054889">
        <w:rPr>
          <w:rFonts w:ascii="Lato" w:hAnsi="Lato"/>
          <w:i/>
          <w:sz w:val="20"/>
          <w:szCs w:val="20"/>
        </w:rPr>
        <w:t>friendshoringu</w:t>
      </w:r>
      <w:proofErr w:type="spellEnd"/>
      <w:r w:rsidRPr="00054889">
        <w:rPr>
          <w:rFonts w:ascii="Lato" w:hAnsi="Lato"/>
          <w:sz w:val="20"/>
          <w:szCs w:val="20"/>
        </w:rPr>
        <w:t xml:space="preserve">, w którym wskazał, że bezpieczeństwo łańcuchów dostaw staje się kluczowym trendem globalizacji, a odporność łańcucha dostaw i współpraca z zaufanymi partnerami gospodarczymi w obliczu braku stabilności i konfliktów interesów zmienia dotychczasowy model gospodarczy. Instytut wskazał w raporcie na nowe zjawiska przemysłowe takie jak </w:t>
      </w:r>
      <w:proofErr w:type="spellStart"/>
      <w:r w:rsidRPr="00054889">
        <w:rPr>
          <w:rFonts w:ascii="Lato" w:hAnsi="Lato"/>
          <w:i/>
          <w:sz w:val="20"/>
          <w:szCs w:val="20"/>
        </w:rPr>
        <w:t>friendshoring</w:t>
      </w:r>
      <w:proofErr w:type="spellEnd"/>
      <w:r w:rsidRPr="00054889">
        <w:rPr>
          <w:rFonts w:ascii="Lato" w:hAnsi="Lato"/>
          <w:sz w:val="20"/>
          <w:szCs w:val="20"/>
        </w:rPr>
        <w:t xml:space="preserve">, czyli przenoszenie produkcji do grupy państw hołdujących podobnym wartościom w polityce międzynarodowej, </w:t>
      </w:r>
      <w:proofErr w:type="spellStart"/>
      <w:r w:rsidRPr="00054889">
        <w:rPr>
          <w:rFonts w:ascii="Lato" w:hAnsi="Lato"/>
          <w:i/>
          <w:sz w:val="20"/>
          <w:szCs w:val="20"/>
        </w:rPr>
        <w:t>nearshoring</w:t>
      </w:r>
      <w:proofErr w:type="spellEnd"/>
      <w:r w:rsidRPr="00054889">
        <w:rPr>
          <w:rFonts w:ascii="Lato" w:hAnsi="Lato"/>
          <w:sz w:val="20"/>
          <w:szCs w:val="20"/>
        </w:rPr>
        <w:t xml:space="preserve">, czyli skracanie łańcuchów dostaw, czy </w:t>
      </w:r>
      <w:proofErr w:type="spellStart"/>
      <w:r w:rsidRPr="00054889">
        <w:rPr>
          <w:rFonts w:ascii="Lato" w:hAnsi="Lato"/>
          <w:i/>
          <w:sz w:val="20"/>
          <w:szCs w:val="20"/>
        </w:rPr>
        <w:t>reshoring</w:t>
      </w:r>
      <w:proofErr w:type="spellEnd"/>
      <w:r w:rsidRPr="00054889">
        <w:rPr>
          <w:rFonts w:ascii="Lato" w:hAnsi="Lato"/>
          <w:sz w:val="20"/>
          <w:szCs w:val="20"/>
        </w:rPr>
        <w:t xml:space="preserve"> lub </w:t>
      </w:r>
      <w:proofErr w:type="spellStart"/>
      <w:r w:rsidRPr="00054889">
        <w:rPr>
          <w:rFonts w:ascii="Lato" w:hAnsi="Lato"/>
          <w:i/>
          <w:sz w:val="20"/>
          <w:szCs w:val="20"/>
        </w:rPr>
        <w:t>backshoring</w:t>
      </w:r>
      <w:proofErr w:type="spellEnd"/>
      <w:r w:rsidRPr="00054889">
        <w:rPr>
          <w:rFonts w:ascii="Lato" w:hAnsi="Lato"/>
          <w:i/>
          <w:sz w:val="20"/>
          <w:szCs w:val="20"/>
        </w:rPr>
        <w:t xml:space="preserve"> </w:t>
      </w:r>
      <w:r w:rsidRPr="00054889">
        <w:rPr>
          <w:rFonts w:ascii="Lato" w:hAnsi="Lato"/>
          <w:sz w:val="20"/>
          <w:szCs w:val="20"/>
        </w:rPr>
        <w:t xml:space="preserve">oznaczające sprowadzanie produkcji kluczowych towarów do państw macierzystych. W ocenie Instytutu koszt alternatywny niezwiększenia odporności łańcuchów dostaw to narażenie na niedobory w okresach napięć politycznych i gospodarczych. </w:t>
      </w:r>
    </w:p>
    <w:p w14:paraId="39436DCC" w14:textId="7FF03D9A" w:rsidR="00831A17" w:rsidRPr="00054889" w:rsidRDefault="00831A17" w:rsidP="00097032">
      <w:pPr>
        <w:spacing w:after="120" w:line="360" w:lineRule="auto"/>
        <w:jc w:val="both"/>
        <w:rPr>
          <w:rFonts w:ascii="Lato" w:hAnsi="Lato"/>
          <w:sz w:val="20"/>
          <w:szCs w:val="20"/>
        </w:rPr>
      </w:pPr>
      <w:r w:rsidRPr="00054889">
        <w:rPr>
          <w:rFonts w:ascii="Lato" w:hAnsi="Lato"/>
          <w:sz w:val="20"/>
          <w:szCs w:val="20"/>
        </w:rPr>
        <w:lastRenderedPageBreak/>
        <w:t>W czerwcu 2023 r. Komisja Europejska opublikowała „Europejską Strategię Bezpieczeństwa Gospodarczego</w:t>
      </w:r>
      <w:r w:rsidRPr="00054889">
        <w:rPr>
          <w:rFonts w:ascii="Lato" w:hAnsi="Lato"/>
          <w:sz w:val="20"/>
          <w:szCs w:val="20"/>
          <w:vertAlign w:val="superscript"/>
        </w:rPr>
        <w:footnoteReference w:id="2"/>
      </w:r>
      <w:r w:rsidRPr="00054889">
        <w:rPr>
          <w:rFonts w:ascii="Lato" w:hAnsi="Lato"/>
          <w:sz w:val="20"/>
          <w:szCs w:val="20"/>
        </w:rPr>
        <w:t xml:space="preserve">”, będącą kontynuacją zaktualizowanej strategii przemysłowej UE ogłoszonej w 2021 r. Wśród priorytetów UE znalazło się promowanie własnej konkurencyjności poprzez zwiększenie odporności gospodarki i łańcuchów dostaw oraz pobudzanie innowacji i potencjału przemysłowego. Bezpieczeństwo gospodarcze stało się jednym z najistotniejszych tematów w dyskusjach prowadzonych przez przedstawicieli państw członkowskich UE. W rezultacie 9 września 2024 r. były prezes Europejskiego Banku Centralnego i były premier Włoch, Mario </w:t>
      </w:r>
      <w:proofErr w:type="spellStart"/>
      <w:r w:rsidRPr="00054889">
        <w:rPr>
          <w:rFonts w:ascii="Lato" w:hAnsi="Lato"/>
          <w:sz w:val="20"/>
          <w:szCs w:val="20"/>
        </w:rPr>
        <w:t>Draghi</w:t>
      </w:r>
      <w:proofErr w:type="spellEnd"/>
      <w:r w:rsidRPr="00054889">
        <w:rPr>
          <w:rFonts w:ascii="Lato" w:hAnsi="Lato"/>
          <w:sz w:val="20"/>
          <w:szCs w:val="20"/>
        </w:rPr>
        <w:t xml:space="preserve"> zaprezentował w Brukseli raport</w:t>
      </w:r>
      <w:r w:rsidR="00D62FF3">
        <w:rPr>
          <w:rStyle w:val="Odwoanieprzypisudolnego"/>
          <w:rFonts w:ascii="Lato" w:hAnsi="Lato"/>
          <w:sz w:val="20"/>
          <w:szCs w:val="20"/>
        </w:rPr>
        <w:footnoteReference w:id="3"/>
      </w:r>
      <w:r w:rsidRPr="00054889">
        <w:rPr>
          <w:rFonts w:ascii="Lato" w:hAnsi="Lato"/>
          <w:sz w:val="20"/>
          <w:szCs w:val="20"/>
        </w:rPr>
        <w:t xml:space="preserve"> przygotowany na zlecenie Komisji Europejskiej, a dotyczący strategii na rzecz zwiększenia konkurencyjności unijnej gospodarki. Wśród trzech głównych obszarów działania mających na celu ponowne ożywienie zrównoważonego wzrostu gospodarczego w UE wskazał zwiększenie bezpieczeństwa i redukcję zależności przemysłowej od krajów trzecich. </w:t>
      </w:r>
    </w:p>
    <w:p w14:paraId="6AD8095E" w14:textId="1C808867" w:rsidR="00831A17" w:rsidRPr="00054889" w:rsidRDefault="00831A17" w:rsidP="00097032">
      <w:pPr>
        <w:spacing w:after="120" w:line="360" w:lineRule="auto"/>
        <w:jc w:val="both"/>
        <w:rPr>
          <w:rFonts w:ascii="Lato" w:hAnsi="Lato"/>
          <w:sz w:val="20"/>
          <w:szCs w:val="20"/>
        </w:rPr>
      </w:pPr>
      <w:r w:rsidRPr="00054889">
        <w:rPr>
          <w:rFonts w:ascii="Lato" w:hAnsi="Lato"/>
          <w:sz w:val="20"/>
          <w:szCs w:val="20"/>
        </w:rPr>
        <w:t xml:space="preserve">Polska pozostaje w </w:t>
      </w:r>
      <w:r w:rsidR="004266FC">
        <w:rPr>
          <w:rFonts w:ascii="Lato" w:hAnsi="Lato"/>
          <w:sz w:val="20"/>
          <w:szCs w:val="20"/>
        </w:rPr>
        <w:t>światowej czołówce wzrostu gospodarczego i</w:t>
      </w:r>
      <w:r w:rsidRPr="00054889">
        <w:rPr>
          <w:rFonts w:ascii="Lato" w:hAnsi="Lato"/>
          <w:sz w:val="20"/>
          <w:szCs w:val="20"/>
        </w:rPr>
        <w:t xml:space="preserve"> aktywnego kreowania polityki gospodarczej, zwłaszcza w kontekście realizacji wieloletnich programów modernizacji kraju. </w:t>
      </w:r>
      <w:r w:rsidR="000E3D1A">
        <w:rPr>
          <w:rFonts w:ascii="Lato" w:hAnsi="Lato"/>
          <w:sz w:val="20"/>
          <w:szCs w:val="20"/>
        </w:rPr>
        <w:t xml:space="preserve">Określone przez Prezesa Rady Ministrów </w:t>
      </w:r>
      <w:r w:rsidR="00FD67BB">
        <w:rPr>
          <w:rFonts w:ascii="Lato" w:hAnsi="Lato"/>
          <w:sz w:val="20"/>
          <w:szCs w:val="20"/>
        </w:rPr>
        <w:t>mianem</w:t>
      </w:r>
      <w:r w:rsidR="000E3D1A">
        <w:rPr>
          <w:rFonts w:ascii="Lato" w:hAnsi="Lato"/>
          <w:sz w:val="20"/>
          <w:szCs w:val="20"/>
        </w:rPr>
        <w:t xml:space="preserve"> „repolonizacja gospodarki</w:t>
      </w:r>
      <w:r w:rsidR="00FD67BB">
        <w:rPr>
          <w:rFonts w:ascii="Lato" w:hAnsi="Lato"/>
          <w:sz w:val="20"/>
          <w:szCs w:val="20"/>
        </w:rPr>
        <w:t>”</w:t>
      </w:r>
      <w:r w:rsidR="000E3D1A">
        <w:rPr>
          <w:rFonts w:ascii="Lato" w:hAnsi="Lato"/>
          <w:sz w:val="20"/>
          <w:szCs w:val="20"/>
        </w:rPr>
        <w:t xml:space="preserve"> d</w:t>
      </w:r>
      <w:r w:rsidR="00973AC2">
        <w:rPr>
          <w:rFonts w:ascii="Lato" w:hAnsi="Lato"/>
          <w:sz w:val="20"/>
          <w:szCs w:val="20"/>
        </w:rPr>
        <w:t xml:space="preserve">ziałania mające na celu wzmacnianie </w:t>
      </w:r>
      <w:r w:rsidR="000E3D1A">
        <w:rPr>
          <w:rFonts w:ascii="Lato" w:hAnsi="Lato"/>
          <w:sz w:val="20"/>
          <w:szCs w:val="20"/>
        </w:rPr>
        <w:t xml:space="preserve">polskich przedsiębiorców i ich pozycji w przetargach publicznych </w:t>
      </w:r>
      <w:r w:rsidR="0033208E">
        <w:rPr>
          <w:rFonts w:ascii="Lato" w:hAnsi="Lato"/>
          <w:sz w:val="20"/>
          <w:szCs w:val="20"/>
        </w:rPr>
        <w:t xml:space="preserve">należą do </w:t>
      </w:r>
      <w:r w:rsidR="000E3D1A">
        <w:rPr>
          <w:rFonts w:ascii="Lato" w:hAnsi="Lato"/>
          <w:sz w:val="20"/>
          <w:szCs w:val="20"/>
        </w:rPr>
        <w:t xml:space="preserve">priorytetów </w:t>
      </w:r>
      <w:r w:rsidR="0033208E">
        <w:rPr>
          <w:rFonts w:ascii="Lato" w:hAnsi="Lato"/>
          <w:sz w:val="20"/>
          <w:szCs w:val="20"/>
        </w:rPr>
        <w:t xml:space="preserve">obecnego Rządu. </w:t>
      </w:r>
      <w:r w:rsidRPr="00054889">
        <w:rPr>
          <w:rFonts w:ascii="Lato" w:hAnsi="Lato"/>
          <w:sz w:val="20"/>
          <w:szCs w:val="20"/>
        </w:rPr>
        <w:t xml:space="preserve">Stanowią one szansę dla krajowych </w:t>
      </w:r>
      <w:r w:rsidR="0033208E">
        <w:rPr>
          <w:rFonts w:ascii="Lato" w:hAnsi="Lato"/>
          <w:sz w:val="20"/>
          <w:szCs w:val="20"/>
        </w:rPr>
        <w:t>firm</w:t>
      </w:r>
      <w:r w:rsidR="007D5C6D" w:rsidRPr="00054889">
        <w:rPr>
          <w:rFonts w:ascii="Lato" w:hAnsi="Lato"/>
          <w:sz w:val="20"/>
          <w:szCs w:val="20"/>
        </w:rPr>
        <w:t>, w tym spółek z udziałem Skarbu Państwa</w:t>
      </w:r>
      <w:r w:rsidRPr="00054889">
        <w:rPr>
          <w:rFonts w:ascii="Lato" w:hAnsi="Lato"/>
          <w:sz w:val="20"/>
          <w:szCs w:val="20"/>
        </w:rPr>
        <w:t xml:space="preserve"> na rozbudowę własnego potencjału produkcyjnego i usługowego oraz zwiększenie konkurencyjności</w:t>
      </w:r>
      <w:r w:rsidR="00D62FF3">
        <w:rPr>
          <w:rFonts w:ascii="Lato" w:hAnsi="Lato"/>
          <w:sz w:val="20"/>
          <w:szCs w:val="20"/>
        </w:rPr>
        <w:t xml:space="preserve"> na rynku krajowym i międzynarodowym</w:t>
      </w:r>
      <w:r w:rsidRPr="00054889">
        <w:rPr>
          <w:rFonts w:ascii="Lato" w:hAnsi="Lato"/>
          <w:sz w:val="20"/>
          <w:szCs w:val="20"/>
        </w:rPr>
        <w:t xml:space="preserve">. </w:t>
      </w:r>
      <w:r w:rsidR="00FD67BB">
        <w:rPr>
          <w:rFonts w:ascii="Lato" w:hAnsi="Lato"/>
          <w:sz w:val="20"/>
          <w:szCs w:val="20"/>
        </w:rPr>
        <w:t>Jednym z filarów repolonizacji gospodarki jest k</w:t>
      </w:r>
      <w:r w:rsidRPr="00054889">
        <w:rPr>
          <w:rFonts w:ascii="Lato" w:hAnsi="Lato"/>
          <w:sz w:val="20"/>
          <w:szCs w:val="20"/>
        </w:rPr>
        <w:t>orzystanie w jak najszerszym zakresie ze wsparcia lokalnych firm</w:t>
      </w:r>
      <w:r w:rsidR="00FD67BB">
        <w:rPr>
          <w:rFonts w:ascii="Lato" w:hAnsi="Lato"/>
          <w:sz w:val="20"/>
          <w:szCs w:val="20"/>
        </w:rPr>
        <w:t>,</w:t>
      </w:r>
      <w:r w:rsidRPr="00054889">
        <w:rPr>
          <w:rFonts w:ascii="Lato" w:hAnsi="Lato"/>
          <w:sz w:val="20"/>
          <w:szCs w:val="20"/>
        </w:rPr>
        <w:t xml:space="preserve"> </w:t>
      </w:r>
      <w:r w:rsidR="00FD67BB">
        <w:rPr>
          <w:rFonts w:ascii="Lato" w:hAnsi="Lato"/>
          <w:sz w:val="20"/>
          <w:szCs w:val="20"/>
        </w:rPr>
        <w:t xml:space="preserve">co </w:t>
      </w:r>
      <w:r w:rsidRPr="00054889">
        <w:rPr>
          <w:rFonts w:ascii="Lato" w:hAnsi="Lato"/>
          <w:sz w:val="20"/>
          <w:szCs w:val="20"/>
        </w:rPr>
        <w:t xml:space="preserve">przyczynia się do skracania, a przez to stabilizacji łańcuchów dostaw i w rezultacie do zrównoważonego rozwoju gospodarczego i ochrony środowiska. Przekłada się to na zwiększanie odporności gospodarki i jej większą konkurencyjność w skali makroekonomicznej, zwłaszcza w dobie globalnych turbulencji. </w:t>
      </w:r>
    </w:p>
    <w:p w14:paraId="601FE794" w14:textId="084DBF9D" w:rsidR="003E3EE0" w:rsidRDefault="00831A17" w:rsidP="00097032">
      <w:pPr>
        <w:spacing w:after="120" w:line="360" w:lineRule="auto"/>
        <w:jc w:val="both"/>
        <w:rPr>
          <w:rFonts w:ascii="Lato" w:hAnsi="Lato"/>
          <w:sz w:val="20"/>
          <w:szCs w:val="20"/>
        </w:rPr>
      </w:pPr>
      <w:r w:rsidRPr="00054889">
        <w:rPr>
          <w:rFonts w:ascii="Lato" w:hAnsi="Lato"/>
          <w:sz w:val="20"/>
          <w:szCs w:val="20"/>
        </w:rPr>
        <w:t>Spółki Skarbu Państwa są zaangażowane w realizację szeregu inwestycji, które będą miały pozytywny wpływ na bezpieczeństwo</w:t>
      </w:r>
      <w:r w:rsidR="002254EA">
        <w:rPr>
          <w:rFonts w:ascii="Lato" w:hAnsi="Lato"/>
          <w:sz w:val="20"/>
          <w:szCs w:val="20"/>
        </w:rPr>
        <w:t xml:space="preserve"> i odporność</w:t>
      </w:r>
      <w:r w:rsidRPr="00054889">
        <w:rPr>
          <w:rFonts w:ascii="Lato" w:hAnsi="Lato"/>
          <w:sz w:val="20"/>
          <w:szCs w:val="20"/>
        </w:rPr>
        <w:t xml:space="preserve"> państwa </w:t>
      </w:r>
      <w:r w:rsidR="002254EA">
        <w:rPr>
          <w:rFonts w:ascii="Lato" w:hAnsi="Lato"/>
          <w:sz w:val="20"/>
          <w:szCs w:val="20"/>
        </w:rPr>
        <w:t>jak też</w:t>
      </w:r>
      <w:r w:rsidRPr="00054889">
        <w:rPr>
          <w:rFonts w:ascii="Lato" w:hAnsi="Lato"/>
          <w:sz w:val="20"/>
          <w:szCs w:val="20"/>
        </w:rPr>
        <w:t xml:space="preserve"> rozwój polskiej gospodarki. Wraz z wieloma instytucjami publicznymi mogą stanowić przykłady dla prywatnego biznesu w zakresie </w:t>
      </w:r>
      <w:r w:rsidR="00DB0A67">
        <w:rPr>
          <w:rFonts w:ascii="Lato" w:hAnsi="Lato"/>
          <w:sz w:val="20"/>
          <w:szCs w:val="20"/>
        </w:rPr>
        <w:t>repolonizacji zamówień</w:t>
      </w:r>
      <w:r w:rsidR="00E61D11">
        <w:rPr>
          <w:rFonts w:ascii="Lato" w:hAnsi="Lato"/>
          <w:sz w:val="20"/>
          <w:szCs w:val="20"/>
        </w:rPr>
        <w:t xml:space="preserve"> wyrobów i usług</w:t>
      </w:r>
      <w:r w:rsidR="00DB0A67">
        <w:rPr>
          <w:rFonts w:ascii="Lato" w:hAnsi="Lato"/>
          <w:sz w:val="20"/>
          <w:szCs w:val="20"/>
        </w:rPr>
        <w:t>, poprzez</w:t>
      </w:r>
      <w:r w:rsidR="00D55C5E">
        <w:rPr>
          <w:rFonts w:ascii="Lato" w:hAnsi="Lato"/>
          <w:sz w:val="20"/>
          <w:szCs w:val="20"/>
        </w:rPr>
        <w:t xml:space="preserve"> </w:t>
      </w:r>
      <w:r w:rsidR="00DB0A67" w:rsidRPr="00054889">
        <w:rPr>
          <w:rFonts w:ascii="Lato" w:hAnsi="Lato"/>
          <w:sz w:val="20"/>
          <w:szCs w:val="20"/>
        </w:rPr>
        <w:t>zwiększani</w:t>
      </w:r>
      <w:r w:rsidR="00DB0A67">
        <w:rPr>
          <w:rFonts w:ascii="Lato" w:hAnsi="Lato"/>
          <w:sz w:val="20"/>
          <w:szCs w:val="20"/>
        </w:rPr>
        <w:t>e</w:t>
      </w:r>
      <w:r w:rsidR="00DB0A67" w:rsidRPr="00054889">
        <w:rPr>
          <w:rFonts w:ascii="Lato" w:hAnsi="Lato"/>
          <w:sz w:val="20"/>
          <w:szCs w:val="20"/>
        </w:rPr>
        <w:t xml:space="preserve"> </w:t>
      </w:r>
      <w:r w:rsidRPr="00054889">
        <w:rPr>
          <w:rFonts w:ascii="Lato" w:hAnsi="Lato"/>
          <w:sz w:val="20"/>
          <w:szCs w:val="20"/>
        </w:rPr>
        <w:t xml:space="preserve">udziału komponentu krajowego przy realizacji kluczowych inwestycji. </w:t>
      </w:r>
      <w:r w:rsidR="003E3EE0" w:rsidRPr="00054889">
        <w:rPr>
          <w:rFonts w:ascii="Lato" w:hAnsi="Lato"/>
          <w:sz w:val="20"/>
          <w:szCs w:val="20"/>
        </w:rPr>
        <w:t xml:space="preserve">Świadome i systemowe uwzględnianie komponentu krajowego </w:t>
      </w:r>
      <w:r w:rsidR="00A31EBC" w:rsidRPr="00054889">
        <w:rPr>
          <w:rFonts w:ascii="Lato" w:hAnsi="Lato"/>
          <w:sz w:val="20"/>
          <w:szCs w:val="20"/>
        </w:rPr>
        <w:t>w kluczowych procesach inwestycyjnych</w:t>
      </w:r>
      <w:r w:rsidR="003E3EE0" w:rsidRPr="00054889">
        <w:rPr>
          <w:rFonts w:ascii="Lato" w:hAnsi="Lato"/>
          <w:sz w:val="20"/>
          <w:szCs w:val="20"/>
        </w:rPr>
        <w:t xml:space="preserve"> może sprzyjać</w:t>
      </w:r>
      <w:r w:rsidR="00452472">
        <w:rPr>
          <w:rFonts w:ascii="Lato" w:hAnsi="Lato"/>
          <w:sz w:val="20"/>
          <w:szCs w:val="20"/>
        </w:rPr>
        <w:t xml:space="preserve"> tworzeniu nowych miejsc pracy,</w:t>
      </w:r>
      <w:r w:rsidR="003E3EE0" w:rsidRPr="00054889">
        <w:rPr>
          <w:rFonts w:ascii="Lato" w:hAnsi="Lato"/>
          <w:sz w:val="20"/>
          <w:szCs w:val="20"/>
        </w:rPr>
        <w:t xml:space="preserve"> budowie stabilnych łańcuchów dostaw, zwiększaniu odporności gospodarczej oraz ograniczaniu </w:t>
      </w:r>
      <w:proofErr w:type="spellStart"/>
      <w:r w:rsidR="003E3EE0" w:rsidRPr="00054889">
        <w:rPr>
          <w:rFonts w:ascii="Lato" w:hAnsi="Lato"/>
          <w:sz w:val="20"/>
          <w:szCs w:val="20"/>
        </w:rPr>
        <w:t>ryzyk</w:t>
      </w:r>
      <w:proofErr w:type="spellEnd"/>
      <w:r w:rsidR="003E3EE0" w:rsidRPr="00054889">
        <w:rPr>
          <w:rFonts w:ascii="Lato" w:hAnsi="Lato"/>
          <w:sz w:val="20"/>
          <w:szCs w:val="20"/>
        </w:rPr>
        <w:t xml:space="preserve"> geopolitycznych i logistycznych. Silny i rozwinięty rynek</w:t>
      </w:r>
      <w:r w:rsidRPr="00054889">
        <w:rPr>
          <w:rFonts w:ascii="Lato" w:hAnsi="Lato"/>
          <w:sz w:val="20"/>
          <w:szCs w:val="20"/>
        </w:rPr>
        <w:t xml:space="preserve"> krajowych</w:t>
      </w:r>
      <w:r w:rsidR="003E3EE0" w:rsidRPr="00054889">
        <w:rPr>
          <w:rFonts w:ascii="Lato" w:hAnsi="Lato"/>
          <w:sz w:val="20"/>
          <w:szCs w:val="20"/>
        </w:rPr>
        <w:t xml:space="preserve"> wykonawców działających w</w:t>
      </w:r>
      <w:r w:rsidR="002254EA">
        <w:rPr>
          <w:rFonts w:ascii="Lato" w:hAnsi="Lato"/>
          <w:sz w:val="20"/>
          <w:szCs w:val="20"/>
        </w:rPr>
        <w:t xml:space="preserve"> </w:t>
      </w:r>
      <w:r w:rsidR="003E3EE0" w:rsidRPr="00054889">
        <w:rPr>
          <w:rFonts w:ascii="Lato" w:hAnsi="Lato"/>
          <w:sz w:val="20"/>
          <w:szCs w:val="20"/>
        </w:rPr>
        <w:t>Polsce stanowi element wzmacniający bezpieczeństwo ekonomiczne, infrastrukturalne i technologiczne państwa.</w:t>
      </w:r>
      <w:r w:rsidR="00E61D11">
        <w:rPr>
          <w:rFonts w:ascii="Lato" w:hAnsi="Lato"/>
          <w:sz w:val="20"/>
          <w:szCs w:val="20"/>
        </w:rPr>
        <w:t xml:space="preserve"> Lokalne zaangażowanie firm i</w:t>
      </w:r>
      <w:r w:rsidR="00635CD5">
        <w:rPr>
          <w:rFonts w:ascii="Lato" w:hAnsi="Lato"/>
          <w:sz w:val="20"/>
          <w:szCs w:val="20"/>
        </w:rPr>
        <w:t> </w:t>
      </w:r>
      <w:r w:rsidR="00E61D11">
        <w:rPr>
          <w:rFonts w:ascii="Lato" w:hAnsi="Lato"/>
          <w:sz w:val="20"/>
          <w:szCs w:val="20"/>
        </w:rPr>
        <w:t>staj</w:t>
      </w:r>
      <w:r w:rsidR="00635CD5">
        <w:rPr>
          <w:rFonts w:ascii="Lato" w:hAnsi="Lato"/>
          <w:sz w:val="20"/>
          <w:szCs w:val="20"/>
        </w:rPr>
        <w:t>e</w:t>
      </w:r>
      <w:r w:rsidR="00E61D11">
        <w:rPr>
          <w:rFonts w:ascii="Lato" w:hAnsi="Lato"/>
          <w:sz w:val="20"/>
          <w:szCs w:val="20"/>
        </w:rPr>
        <w:t xml:space="preserve"> się więc osią polityki </w:t>
      </w:r>
      <w:r w:rsidR="008A5804">
        <w:rPr>
          <w:rFonts w:ascii="Lato" w:hAnsi="Lato"/>
          <w:sz w:val="20"/>
          <w:szCs w:val="20"/>
        </w:rPr>
        <w:t>repolonizacji gospodarki państwa.</w:t>
      </w:r>
    </w:p>
    <w:p w14:paraId="5F574A1B" w14:textId="77777777" w:rsidR="00E242A7" w:rsidRDefault="00E242A7" w:rsidP="00097032">
      <w:pPr>
        <w:spacing w:after="120" w:line="360" w:lineRule="auto"/>
        <w:jc w:val="both"/>
        <w:rPr>
          <w:rFonts w:ascii="Lato" w:hAnsi="Lato"/>
          <w:sz w:val="20"/>
          <w:szCs w:val="20"/>
        </w:rPr>
      </w:pPr>
    </w:p>
    <w:p w14:paraId="23C38417" w14:textId="77777777" w:rsidR="00CA7023" w:rsidRPr="00054889" w:rsidRDefault="00CA7023" w:rsidP="00097032">
      <w:pPr>
        <w:spacing w:after="120" w:line="360" w:lineRule="auto"/>
        <w:jc w:val="both"/>
        <w:rPr>
          <w:rFonts w:ascii="Lato" w:hAnsi="Lato"/>
          <w:sz w:val="20"/>
          <w:szCs w:val="20"/>
        </w:rPr>
      </w:pPr>
    </w:p>
    <w:p w14:paraId="01ECCA11" w14:textId="269D841E" w:rsidR="0001743C" w:rsidRDefault="00EE392F" w:rsidP="00097032">
      <w:pPr>
        <w:spacing w:after="120" w:line="360" w:lineRule="auto"/>
        <w:jc w:val="both"/>
        <w:rPr>
          <w:rFonts w:ascii="Lato" w:hAnsi="Lato"/>
          <w:sz w:val="20"/>
          <w:szCs w:val="20"/>
        </w:rPr>
      </w:pPr>
      <w:r w:rsidRPr="00EE392F">
        <w:rPr>
          <w:rFonts w:ascii="Lato" w:hAnsi="Lato"/>
          <w:sz w:val="20"/>
          <w:szCs w:val="20"/>
        </w:rPr>
        <w:lastRenderedPageBreak/>
        <w:t>W celu koordynacji wykonywania uprawnień przysługujących Skarbowi Państwa</w:t>
      </w:r>
      <w:r>
        <w:rPr>
          <w:rFonts w:ascii="Lato" w:hAnsi="Lato"/>
          <w:sz w:val="20"/>
          <w:szCs w:val="20"/>
        </w:rPr>
        <w:t xml:space="preserve"> zgodnie z art. 7 ust. 3 pkt 2 ustawy z dnia 16 grudnia 2016 r. o zasadach zarządzania mieniem państwowym</w:t>
      </w:r>
      <w:r w:rsidRPr="00EE392F">
        <w:rPr>
          <w:rFonts w:ascii="Lato" w:hAnsi="Lato"/>
          <w:sz w:val="20"/>
          <w:szCs w:val="20"/>
        </w:rPr>
        <w:t xml:space="preserve"> </w:t>
      </w:r>
      <w:r>
        <w:rPr>
          <w:rFonts w:ascii="Lato" w:hAnsi="Lato"/>
          <w:sz w:val="20"/>
          <w:szCs w:val="20"/>
        </w:rPr>
        <w:t>n</w:t>
      </w:r>
      <w:r w:rsidR="00C17389" w:rsidRPr="00054889">
        <w:rPr>
          <w:rFonts w:ascii="Lato" w:hAnsi="Lato"/>
          <w:sz w:val="20"/>
          <w:szCs w:val="20"/>
        </w:rPr>
        <w:t>iniejsz</w:t>
      </w:r>
      <w:r w:rsidR="002254EA">
        <w:rPr>
          <w:rFonts w:ascii="Lato" w:hAnsi="Lato"/>
          <w:sz w:val="20"/>
          <w:szCs w:val="20"/>
        </w:rPr>
        <w:t>y dokument pt.</w:t>
      </w:r>
      <w:r w:rsidR="00C17389" w:rsidRPr="00054889">
        <w:rPr>
          <w:rFonts w:ascii="Lato" w:hAnsi="Lato"/>
          <w:sz w:val="20"/>
          <w:szCs w:val="20"/>
        </w:rPr>
        <w:t xml:space="preserve"> </w:t>
      </w:r>
      <w:r w:rsidR="00C17389" w:rsidRPr="00054889">
        <w:rPr>
          <w:rFonts w:ascii="Lato" w:hAnsi="Lato"/>
          <w:i/>
          <w:sz w:val="20"/>
          <w:szCs w:val="20"/>
        </w:rPr>
        <w:t>Dobre praktyki w zakresie zwiększenia przez spółki z udziałem Skarbu Państwa udziału komponentu krajowego w kluczowych procesach inwestycyjnych</w:t>
      </w:r>
      <w:r w:rsidR="003E3EE0" w:rsidRPr="00054889">
        <w:rPr>
          <w:rFonts w:ascii="Lato" w:hAnsi="Lato"/>
          <w:sz w:val="20"/>
          <w:szCs w:val="20"/>
        </w:rPr>
        <w:t xml:space="preserve"> </w:t>
      </w:r>
      <w:r w:rsidR="00C17389" w:rsidRPr="00054889">
        <w:rPr>
          <w:rFonts w:ascii="Lato" w:hAnsi="Lato"/>
          <w:sz w:val="20"/>
          <w:szCs w:val="20"/>
        </w:rPr>
        <w:t>(„</w:t>
      </w:r>
      <w:r w:rsidR="00C17389" w:rsidRPr="00054889">
        <w:rPr>
          <w:rFonts w:ascii="Lato" w:hAnsi="Lato"/>
          <w:b/>
          <w:sz w:val="20"/>
          <w:szCs w:val="20"/>
        </w:rPr>
        <w:t>Dobre praktyki</w:t>
      </w:r>
      <w:r w:rsidR="00C17389" w:rsidRPr="00054889">
        <w:rPr>
          <w:rFonts w:ascii="Lato" w:hAnsi="Lato"/>
          <w:sz w:val="20"/>
          <w:szCs w:val="20"/>
        </w:rPr>
        <w:t xml:space="preserve">”) </w:t>
      </w:r>
      <w:r w:rsidR="00A94F4B" w:rsidRPr="00054889">
        <w:rPr>
          <w:rFonts w:ascii="Lato" w:hAnsi="Lato"/>
          <w:sz w:val="20"/>
          <w:szCs w:val="20"/>
        </w:rPr>
        <w:t>wskazuje</w:t>
      </w:r>
      <w:r w:rsidR="003E3EE0" w:rsidRPr="00054889">
        <w:rPr>
          <w:rFonts w:ascii="Lato" w:hAnsi="Lato"/>
          <w:sz w:val="20"/>
          <w:szCs w:val="20"/>
        </w:rPr>
        <w:t xml:space="preserve"> kierunki oraz rekomendacje umożliwiające wzmacnianie krajowego potencjału gospodarczego w sposób przejrzysty</w:t>
      </w:r>
      <w:r w:rsidR="000404DE" w:rsidRPr="00054889">
        <w:rPr>
          <w:rFonts w:ascii="Lato" w:hAnsi="Lato"/>
          <w:sz w:val="20"/>
          <w:szCs w:val="20"/>
        </w:rPr>
        <w:t xml:space="preserve"> i </w:t>
      </w:r>
      <w:r w:rsidR="003E3EE0" w:rsidRPr="00054889">
        <w:rPr>
          <w:rFonts w:ascii="Lato" w:hAnsi="Lato"/>
          <w:sz w:val="20"/>
          <w:szCs w:val="20"/>
        </w:rPr>
        <w:t xml:space="preserve">proporcjonalny </w:t>
      </w:r>
      <w:r w:rsidR="00C03032" w:rsidRPr="00054889">
        <w:rPr>
          <w:rFonts w:ascii="Lato" w:hAnsi="Lato"/>
          <w:sz w:val="20"/>
          <w:szCs w:val="20"/>
        </w:rPr>
        <w:t>w ramach obowiązując</w:t>
      </w:r>
      <w:r w:rsidR="006D7D46" w:rsidRPr="00054889">
        <w:rPr>
          <w:rFonts w:ascii="Lato" w:hAnsi="Lato"/>
          <w:sz w:val="20"/>
          <w:szCs w:val="20"/>
        </w:rPr>
        <w:t>ych przepisów</w:t>
      </w:r>
      <w:r w:rsidR="003E3EE0" w:rsidRPr="00054889">
        <w:rPr>
          <w:rFonts w:ascii="Lato" w:hAnsi="Lato"/>
          <w:sz w:val="20"/>
          <w:szCs w:val="20"/>
        </w:rPr>
        <w:t xml:space="preserve"> prawa.</w:t>
      </w:r>
      <w:r w:rsidR="004A77BC" w:rsidRPr="00054889">
        <w:rPr>
          <w:rFonts w:ascii="Lato" w:hAnsi="Lato"/>
          <w:sz w:val="20"/>
          <w:szCs w:val="20"/>
        </w:rPr>
        <w:t xml:space="preserve"> Jego powstanie jest efektem prac Zespołu do spraw Udziału Komponentu Krajowego w Kluczowych Procesach Inwestycyjnych powołanego przez Ministra Aktywów Państwowych na mocy zarządzenia z dnia 8</w:t>
      </w:r>
      <w:r w:rsidR="006D7D46" w:rsidRPr="00054889">
        <w:rPr>
          <w:rFonts w:ascii="Lato" w:hAnsi="Lato"/>
          <w:sz w:val="20"/>
          <w:szCs w:val="20"/>
        </w:rPr>
        <w:t> </w:t>
      </w:r>
      <w:r w:rsidR="004A77BC" w:rsidRPr="00054889">
        <w:rPr>
          <w:rFonts w:ascii="Lato" w:hAnsi="Lato"/>
          <w:sz w:val="20"/>
          <w:szCs w:val="20"/>
        </w:rPr>
        <w:t xml:space="preserve">października 2025 r. </w:t>
      </w:r>
      <w:r w:rsidR="0005698C" w:rsidRPr="00054889">
        <w:rPr>
          <w:rFonts w:ascii="Lato" w:hAnsi="Lato"/>
          <w:sz w:val="20"/>
          <w:szCs w:val="20"/>
        </w:rPr>
        <w:t xml:space="preserve">w związku z priorytetem Rady Ministrów P12 pn. </w:t>
      </w:r>
      <w:r w:rsidR="0005698C" w:rsidRPr="00054889">
        <w:rPr>
          <w:rFonts w:ascii="Lato" w:hAnsi="Lato"/>
          <w:i/>
          <w:sz w:val="20"/>
          <w:szCs w:val="20"/>
        </w:rPr>
        <w:t>Komponent krajowy w kluczowych procesach inwestycyjnych spółek z udziałem Skarbu Państwa,</w:t>
      </w:r>
      <w:r w:rsidR="004246CF">
        <w:rPr>
          <w:rFonts w:ascii="Lato" w:hAnsi="Lato"/>
          <w:i/>
          <w:sz w:val="20"/>
          <w:szCs w:val="20"/>
        </w:rPr>
        <w:t xml:space="preserve"> </w:t>
      </w:r>
      <w:r w:rsidR="0005698C" w:rsidRPr="00054889">
        <w:rPr>
          <w:rFonts w:ascii="Lato" w:hAnsi="Lato"/>
          <w:i/>
          <w:sz w:val="20"/>
          <w:szCs w:val="20"/>
        </w:rPr>
        <w:t>w</w:t>
      </w:r>
      <w:r w:rsidR="00635CD5">
        <w:rPr>
          <w:rFonts w:ascii="Lato" w:hAnsi="Lato"/>
          <w:i/>
          <w:sz w:val="20"/>
          <w:szCs w:val="20"/>
        </w:rPr>
        <w:t> </w:t>
      </w:r>
      <w:r w:rsidR="0005698C" w:rsidRPr="00054889">
        <w:rPr>
          <w:rFonts w:ascii="Lato" w:hAnsi="Lato"/>
          <w:i/>
          <w:sz w:val="20"/>
          <w:szCs w:val="20"/>
        </w:rPr>
        <w:t xml:space="preserve">których prawa z akcji i udziałów wykonuje minister właściwy do spraw aktywów państwowych – </w:t>
      </w:r>
      <w:proofErr w:type="spellStart"/>
      <w:r w:rsidR="0005698C" w:rsidRPr="00054889">
        <w:rPr>
          <w:rFonts w:ascii="Lato" w:hAnsi="Lato"/>
          <w:i/>
          <w:sz w:val="20"/>
          <w:szCs w:val="20"/>
        </w:rPr>
        <w:t>local</w:t>
      </w:r>
      <w:proofErr w:type="spellEnd"/>
      <w:r w:rsidR="0005698C" w:rsidRPr="00054889">
        <w:rPr>
          <w:rFonts w:ascii="Lato" w:hAnsi="Lato"/>
          <w:i/>
          <w:sz w:val="20"/>
          <w:szCs w:val="20"/>
        </w:rPr>
        <w:t xml:space="preserve"> </w:t>
      </w:r>
      <w:proofErr w:type="spellStart"/>
      <w:r w:rsidR="0005698C" w:rsidRPr="00054889">
        <w:rPr>
          <w:rFonts w:ascii="Lato" w:hAnsi="Lato"/>
          <w:i/>
          <w:sz w:val="20"/>
          <w:szCs w:val="20"/>
        </w:rPr>
        <w:t>content</w:t>
      </w:r>
      <w:proofErr w:type="spellEnd"/>
      <w:r w:rsidR="004E7E88">
        <w:rPr>
          <w:rFonts w:ascii="Lato" w:hAnsi="Lato"/>
          <w:i/>
          <w:sz w:val="20"/>
          <w:szCs w:val="20"/>
        </w:rPr>
        <w:t>,</w:t>
      </w:r>
      <w:r w:rsidR="002254EA">
        <w:rPr>
          <w:rFonts w:ascii="Lato" w:hAnsi="Lato"/>
          <w:sz w:val="20"/>
          <w:szCs w:val="20"/>
        </w:rPr>
        <w:t xml:space="preserve"> </w:t>
      </w:r>
      <w:r w:rsidR="004E7E88">
        <w:rPr>
          <w:rFonts w:ascii="Lato" w:hAnsi="Lato"/>
          <w:sz w:val="20"/>
          <w:szCs w:val="20"/>
        </w:rPr>
        <w:t xml:space="preserve">jak również wytycznymi wynikającymi ze </w:t>
      </w:r>
      <w:r w:rsidR="004E7E88" w:rsidRPr="00DD3E8E">
        <w:rPr>
          <w:rFonts w:ascii="Lato" w:hAnsi="Lato"/>
          <w:i/>
          <w:sz w:val="20"/>
          <w:szCs w:val="20"/>
        </w:rPr>
        <w:t>Strategii Rozwoju Polski do 2035 r.</w:t>
      </w:r>
      <w:r w:rsidR="004E7E88">
        <w:rPr>
          <w:rFonts w:ascii="Lato" w:hAnsi="Lato"/>
          <w:sz w:val="20"/>
          <w:szCs w:val="20"/>
        </w:rPr>
        <w:t xml:space="preserve"> mającej status śródokresowej strategii rozwoju kraju w rozumieniu ustawy z dnia 6 grudnia 2006 r. </w:t>
      </w:r>
      <w:r w:rsidR="004E7E88" w:rsidRPr="0000335F">
        <w:rPr>
          <w:rFonts w:ascii="Lato" w:hAnsi="Lato"/>
          <w:i/>
          <w:sz w:val="20"/>
          <w:szCs w:val="20"/>
        </w:rPr>
        <w:t>o zasadach prowadzenia polityki rozwoju</w:t>
      </w:r>
      <w:r w:rsidR="004E7E88">
        <w:rPr>
          <w:rFonts w:ascii="Lato" w:hAnsi="Lato"/>
          <w:sz w:val="20"/>
          <w:szCs w:val="20"/>
        </w:rPr>
        <w:t xml:space="preserve">. W opracowaniu Dobrych praktyk uczestniczyła również Prokuratoria Generalna </w:t>
      </w:r>
      <w:r w:rsidR="002A7DD3">
        <w:rPr>
          <w:rFonts w:ascii="Lato" w:hAnsi="Lato"/>
          <w:sz w:val="20"/>
          <w:szCs w:val="20"/>
        </w:rPr>
        <w:t xml:space="preserve">Rzeczypospolitej Polskiej </w:t>
      </w:r>
      <w:r w:rsidR="004E7E88">
        <w:rPr>
          <w:rFonts w:ascii="Lato" w:hAnsi="Lato"/>
          <w:sz w:val="20"/>
          <w:szCs w:val="20"/>
        </w:rPr>
        <w:t xml:space="preserve">oraz Kancelaria Prezesa Rady Ministrów. </w:t>
      </w:r>
      <w:r w:rsidR="0000335F">
        <w:rPr>
          <w:rFonts w:ascii="Lato" w:hAnsi="Lato"/>
          <w:sz w:val="20"/>
          <w:szCs w:val="20"/>
        </w:rPr>
        <w:t xml:space="preserve">Dobre praktyki dotyczą udzielania zamówień przez spółki z udziałem Skarbu Państwa w zakresie nieobjętym przepisami ustawy z dnia </w:t>
      </w:r>
      <w:r w:rsidR="0000335F" w:rsidRPr="0000335F">
        <w:rPr>
          <w:rFonts w:ascii="Lato" w:hAnsi="Lato"/>
          <w:sz w:val="20"/>
          <w:szCs w:val="20"/>
        </w:rPr>
        <w:t>11 września 2019 r.</w:t>
      </w:r>
      <w:r w:rsidR="0000335F">
        <w:rPr>
          <w:rFonts w:ascii="Lato" w:hAnsi="Lato"/>
          <w:sz w:val="20"/>
          <w:szCs w:val="20"/>
        </w:rPr>
        <w:t xml:space="preserve"> </w:t>
      </w:r>
      <w:r w:rsidR="0000335F" w:rsidRPr="0000335F">
        <w:rPr>
          <w:rFonts w:ascii="Lato" w:hAnsi="Lato"/>
          <w:i/>
          <w:sz w:val="20"/>
          <w:szCs w:val="20"/>
        </w:rPr>
        <w:t>Prawo zamówień publicznych</w:t>
      </w:r>
      <w:r w:rsidR="0000335F">
        <w:rPr>
          <w:rFonts w:ascii="Lato" w:hAnsi="Lato"/>
          <w:sz w:val="20"/>
          <w:szCs w:val="20"/>
        </w:rPr>
        <w:t>. Wytyczne w zakresie udzielania zamówień publicznych objętych przepisami tejże ustawy są zawarte w Polityce Zakupowej Państwa na lata 2026-2029 przyjętej przez Radę Ministrów 31 marca 2026 r.</w:t>
      </w:r>
      <w:r w:rsidR="00E242A7">
        <w:rPr>
          <w:rFonts w:ascii="Lato" w:hAnsi="Lato"/>
          <w:sz w:val="20"/>
          <w:szCs w:val="20"/>
        </w:rPr>
        <w:t xml:space="preserve"> </w:t>
      </w:r>
    </w:p>
    <w:p w14:paraId="16CCF834" w14:textId="77777777" w:rsidR="00E242A7" w:rsidRDefault="00E242A7" w:rsidP="00097032">
      <w:pPr>
        <w:spacing w:after="120" w:line="360" w:lineRule="auto"/>
        <w:jc w:val="both"/>
        <w:rPr>
          <w:rFonts w:ascii="Lato" w:hAnsi="Lato"/>
          <w:sz w:val="20"/>
          <w:szCs w:val="20"/>
        </w:rPr>
      </w:pPr>
    </w:p>
    <w:p w14:paraId="0B6E8DB4" w14:textId="77777777" w:rsidR="00E242A7" w:rsidRPr="00054889" w:rsidRDefault="00E242A7" w:rsidP="00097032">
      <w:pPr>
        <w:spacing w:after="120" w:line="360" w:lineRule="auto"/>
        <w:jc w:val="both"/>
        <w:rPr>
          <w:rFonts w:ascii="Lato" w:hAnsi="Lato"/>
          <w:sz w:val="20"/>
          <w:szCs w:val="20"/>
        </w:rPr>
      </w:pPr>
    </w:p>
    <w:p w14:paraId="46138073" w14:textId="6D0D2067" w:rsidR="008036A0" w:rsidRPr="00E242A7" w:rsidRDefault="00E242A7" w:rsidP="00E242A7">
      <w:pPr>
        <w:spacing w:after="120" w:line="360" w:lineRule="auto"/>
        <w:ind w:left="4248" w:firstLine="708"/>
        <w:jc w:val="both"/>
        <w:rPr>
          <w:rFonts w:ascii="Lato" w:hAnsi="Lato"/>
          <w:b/>
          <w:bCs/>
          <w:sz w:val="20"/>
          <w:szCs w:val="20"/>
        </w:rPr>
      </w:pPr>
      <w:r w:rsidRPr="00E242A7">
        <w:rPr>
          <w:rFonts w:ascii="Lato" w:hAnsi="Lato"/>
          <w:b/>
          <w:bCs/>
          <w:sz w:val="20"/>
          <w:szCs w:val="20"/>
        </w:rPr>
        <w:t xml:space="preserve">PREZES RADY MINISTRÓW </w:t>
      </w:r>
    </w:p>
    <w:p w14:paraId="18BB6BEC" w14:textId="77777777" w:rsidR="00E242A7" w:rsidRPr="00E242A7" w:rsidRDefault="00E242A7" w:rsidP="00097032">
      <w:pPr>
        <w:spacing w:after="120" w:line="360" w:lineRule="auto"/>
        <w:jc w:val="both"/>
        <w:rPr>
          <w:rFonts w:ascii="Lato" w:hAnsi="Lato"/>
          <w:b/>
          <w:bCs/>
          <w:sz w:val="20"/>
          <w:szCs w:val="20"/>
        </w:rPr>
      </w:pPr>
    </w:p>
    <w:p w14:paraId="25A29075" w14:textId="77777777" w:rsidR="00E242A7" w:rsidRPr="00E242A7" w:rsidRDefault="00E242A7" w:rsidP="00097032">
      <w:pPr>
        <w:spacing w:after="120" w:line="360" w:lineRule="auto"/>
        <w:jc w:val="both"/>
        <w:rPr>
          <w:rFonts w:ascii="Lato" w:hAnsi="Lato"/>
          <w:b/>
          <w:bCs/>
          <w:sz w:val="20"/>
          <w:szCs w:val="20"/>
        </w:rPr>
      </w:pPr>
    </w:p>
    <w:p w14:paraId="3B7C41B2" w14:textId="45254BAF" w:rsidR="00E242A7" w:rsidRPr="00E242A7" w:rsidRDefault="00E242A7" w:rsidP="00E242A7">
      <w:pPr>
        <w:spacing w:after="120" w:line="360" w:lineRule="auto"/>
        <w:ind w:left="4248" w:firstLine="708"/>
        <w:jc w:val="both"/>
        <w:rPr>
          <w:rFonts w:ascii="Lato" w:hAnsi="Lato"/>
          <w:b/>
          <w:bCs/>
          <w:sz w:val="20"/>
          <w:szCs w:val="20"/>
        </w:rPr>
      </w:pPr>
      <w:r>
        <w:rPr>
          <w:rFonts w:ascii="Lato" w:hAnsi="Lato"/>
          <w:b/>
          <w:bCs/>
          <w:sz w:val="20"/>
          <w:szCs w:val="20"/>
        </w:rPr>
        <w:t xml:space="preserve">           </w:t>
      </w:r>
      <w:r w:rsidRPr="00E242A7">
        <w:rPr>
          <w:rFonts w:ascii="Lato" w:hAnsi="Lato"/>
          <w:b/>
          <w:bCs/>
          <w:sz w:val="20"/>
          <w:szCs w:val="20"/>
        </w:rPr>
        <w:t>DONALD TUSK</w:t>
      </w:r>
    </w:p>
    <w:p w14:paraId="23C15381" w14:textId="77777777" w:rsidR="008036A0" w:rsidRDefault="008036A0" w:rsidP="008036A0">
      <w:pPr>
        <w:tabs>
          <w:tab w:val="left" w:pos="2127"/>
        </w:tabs>
        <w:spacing w:after="120" w:line="360" w:lineRule="auto"/>
        <w:jc w:val="both"/>
        <w:rPr>
          <w:rFonts w:ascii="Lato" w:hAnsi="Lato"/>
          <w:sz w:val="20"/>
          <w:szCs w:val="20"/>
        </w:rPr>
      </w:pPr>
    </w:p>
    <w:p w14:paraId="77E780A7" w14:textId="77777777" w:rsidR="00E242A7" w:rsidRDefault="00E242A7" w:rsidP="008036A0">
      <w:pPr>
        <w:tabs>
          <w:tab w:val="left" w:pos="2127"/>
        </w:tabs>
        <w:spacing w:after="120" w:line="360" w:lineRule="auto"/>
        <w:jc w:val="both"/>
        <w:rPr>
          <w:rFonts w:ascii="Lato" w:hAnsi="Lato"/>
          <w:sz w:val="20"/>
          <w:szCs w:val="20"/>
        </w:rPr>
      </w:pPr>
    </w:p>
    <w:p w14:paraId="280F6E40" w14:textId="77777777" w:rsidR="00E242A7" w:rsidRDefault="00E242A7" w:rsidP="008036A0">
      <w:pPr>
        <w:tabs>
          <w:tab w:val="left" w:pos="2127"/>
        </w:tabs>
        <w:spacing w:after="120" w:line="360" w:lineRule="auto"/>
        <w:jc w:val="both"/>
        <w:rPr>
          <w:rFonts w:ascii="Lato" w:hAnsi="Lato"/>
          <w:sz w:val="20"/>
          <w:szCs w:val="20"/>
        </w:rPr>
      </w:pPr>
    </w:p>
    <w:p w14:paraId="4D5BF379" w14:textId="77777777" w:rsidR="00E242A7" w:rsidRDefault="00E242A7" w:rsidP="008036A0">
      <w:pPr>
        <w:tabs>
          <w:tab w:val="left" w:pos="2127"/>
        </w:tabs>
        <w:spacing w:after="120" w:line="360" w:lineRule="auto"/>
        <w:jc w:val="both"/>
        <w:rPr>
          <w:rFonts w:ascii="Lato" w:hAnsi="Lato"/>
          <w:sz w:val="20"/>
          <w:szCs w:val="20"/>
        </w:rPr>
      </w:pPr>
    </w:p>
    <w:p w14:paraId="26D52FD1" w14:textId="77777777" w:rsidR="00E242A7" w:rsidRDefault="00E242A7" w:rsidP="008036A0">
      <w:pPr>
        <w:tabs>
          <w:tab w:val="left" w:pos="2127"/>
        </w:tabs>
        <w:spacing w:after="120" w:line="360" w:lineRule="auto"/>
        <w:jc w:val="both"/>
        <w:rPr>
          <w:rFonts w:ascii="Lato" w:hAnsi="Lato"/>
          <w:sz w:val="20"/>
          <w:szCs w:val="20"/>
        </w:rPr>
      </w:pPr>
    </w:p>
    <w:p w14:paraId="75D5F16A" w14:textId="77777777" w:rsidR="00E242A7" w:rsidRDefault="00E242A7" w:rsidP="008036A0">
      <w:pPr>
        <w:tabs>
          <w:tab w:val="left" w:pos="2127"/>
        </w:tabs>
        <w:spacing w:after="120" w:line="360" w:lineRule="auto"/>
        <w:jc w:val="both"/>
        <w:rPr>
          <w:rFonts w:ascii="Lato" w:hAnsi="Lato"/>
          <w:sz w:val="20"/>
          <w:szCs w:val="20"/>
        </w:rPr>
      </w:pPr>
    </w:p>
    <w:p w14:paraId="09B695A6" w14:textId="77777777" w:rsidR="00E242A7" w:rsidRDefault="00E242A7" w:rsidP="008036A0">
      <w:pPr>
        <w:tabs>
          <w:tab w:val="left" w:pos="2127"/>
        </w:tabs>
        <w:spacing w:after="120" w:line="360" w:lineRule="auto"/>
        <w:jc w:val="both"/>
        <w:rPr>
          <w:rFonts w:ascii="Lato" w:hAnsi="Lato"/>
          <w:sz w:val="20"/>
          <w:szCs w:val="20"/>
        </w:rPr>
      </w:pPr>
    </w:p>
    <w:p w14:paraId="216A21CF" w14:textId="77777777" w:rsidR="00E242A7" w:rsidRDefault="00E242A7" w:rsidP="008036A0">
      <w:pPr>
        <w:tabs>
          <w:tab w:val="left" w:pos="2127"/>
        </w:tabs>
        <w:spacing w:after="120" w:line="360" w:lineRule="auto"/>
        <w:jc w:val="both"/>
        <w:rPr>
          <w:rFonts w:ascii="Lato" w:hAnsi="Lato"/>
          <w:sz w:val="20"/>
          <w:szCs w:val="20"/>
        </w:rPr>
      </w:pPr>
    </w:p>
    <w:p w14:paraId="1EF73B35" w14:textId="77777777" w:rsidR="00E242A7" w:rsidRDefault="00E242A7" w:rsidP="008036A0">
      <w:pPr>
        <w:tabs>
          <w:tab w:val="left" w:pos="2127"/>
        </w:tabs>
        <w:spacing w:after="120" w:line="360" w:lineRule="auto"/>
        <w:jc w:val="both"/>
        <w:rPr>
          <w:rFonts w:ascii="Lato" w:hAnsi="Lato"/>
          <w:sz w:val="20"/>
          <w:szCs w:val="20"/>
        </w:rPr>
      </w:pPr>
    </w:p>
    <w:p w14:paraId="101D09FE" w14:textId="77777777" w:rsidR="00E242A7" w:rsidRDefault="00E242A7" w:rsidP="008036A0">
      <w:pPr>
        <w:tabs>
          <w:tab w:val="left" w:pos="2127"/>
        </w:tabs>
        <w:spacing w:after="120" w:line="360" w:lineRule="auto"/>
        <w:jc w:val="both"/>
        <w:rPr>
          <w:rFonts w:ascii="Lato" w:hAnsi="Lato"/>
          <w:sz w:val="20"/>
          <w:szCs w:val="20"/>
        </w:rPr>
      </w:pPr>
    </w:p>
    <w:p w14:paraId="3D279491" w14:textId="5C02EB07" w:rsidR="0001743C" w:rsidRDefault="001D7649" w:rsidP="00241EEF">
      <w:pPr>
        <w:pStyle w:val="rozdzial"/>
      </w:pPr>
      <w:bookmarkStart w:id="1" w:name="_Toc228873226"/>
      <w:r w:rsidRPr="00054889">
        <w:lastRenderedPageBreak/>
        <w:t>Cel opracowania</w:t>
      </w:r>
      <w:bookmarkEnd w:id="1"/>
    </w:p>
    <w:p w14:paraId="28F3683C" w14:textId="0EA4DFC2" w:rsidR="003E3EE0" w:rsidRPr="00054889" w:rsidRDefault="000A5317" w:rsidP="00097032">
      <w:pPr>
        <w:spacing w:after="120" w:line="360" w:lineRule="auto"/>
        <w:jc w:val="both"/>
        <w:rPr>
          <w:rFonts w:ascii="Lato" w:hAnsi="Lato"/>
          <w:sz w:val="20"/>
          <w:szCs w:val="20"/>
        </w:rPr>
      </w:pPr>
      <w:r w:rsidRPr="00054889">
        <w:rPr>
          <w:rFonts w:ascii="Lato" w:hAnsi="Lato"/>
          <w:sz w:val="20"/>
          <w:szCs w:val="20"/>
        </w:rPr>
        <w:t xml:space="preserve">Celem </w:t>
      </w:r>
      <w:r w:rsidR="00F74DEB" w:rsidRPr="00054889">
        <w:rPr>
          <w:rFonts w:ascii="Lato" w:hAnsi="Lato"/>
          <w:sz w:val="20"/>
          <w:szCs w:val="20"/>
        </w:rPr>
        <w:t>Dobrych praktyk</w:t>
      </w:r>
      <w:r w:rsidRPr="00054889">
        <w:rPr>
          <w:rFonts w:ascii="Lato" w:hAnsi="Lato"/>
          <w:sz w:val="20"/>
          <w:szCs w:val="20"/>
        </w:rPr>
        <w:t xml:space="preserve"> jest wskazanie</w:t>
      </w:r>
      <w:r w:rsidR="006D7D46" w:rsidRPr="00054889">
        <w:rPr>
          <w:rFonts w:ascii="Lato" w:hAnsi="Lato"/>
          <w:sz w:val="20"/>
          <w:szCs w:val="20"/>
        </w:rPr>
        <w:t xml:space="preserve"> praktycznych</w:t>
      </w:r>
      <w:r w:rsidRPr="00054889">
        <w:rPr>
          <w:rFonts w:ascii="Lato" w:hAnsi="Lato"/>
          <w:sz w:val="20"/>
          <w:szCs w:val="20"/>
        </w:rPr>
        <w:t xml:space="preserve"> rozwiązań</w:t>
      </w:r>
      <w:r w:rsidR="006D7D46" w:rsidRPr="00054889">
        <w:rPr>
          <w:rFonts w:ascii="Lato" w:hAnsi="Lato"/>
          <w:sz w:val="20"/>
          <w:szCs w:val="20"/>
        </w:rPr>
        <w:t xml:space="preserve">, które mają </w:t>
      </w:r>
      <w:r w:rsidR="003E3EE0" w:rsidRPr="00054889">
        <w:rPr>
          <w:rFonts w:ascii="Lato" w:hAnsi="Lato"/>
          <w:sz w:val="20"/>
          <w:szCs w:val="20"/>
        </w:rPr>
        <w:t>wspiera</w:t>
      </w:r>
      <w:r w:rsidR="006D7D46" w:rsidRPr="00054889">
        <w:rPr>
          <w:rFonts w:ascii="Lato" w:hAnsi="Lato"/>
          <w:sz w:val="20"/>
          <w:szCs w:val="20"/>
        </w:rPr>
        <w:t xml:space="preserve">ć </w:t>
      </w:r>
      <w:r w:rsidR="008A5804">
        <w:rPr>
          <w:rFonts w:ascii="Lato" w:hAnsi="Lato"/>
          <w:sz w:val="20"/>
          <w:szCs w:val="20"/>
        </w:rPr>
        <w:t xml:space="preserve">repolonizację polskiej gospodarki poprzez </w:t>
      </w:r>
      <w:r w:rsidR="006D7D46" w:rsidRPr="00054889">
        <w:rPr>
          <w:rFonts w:ascii="Lato" w:hAnsi="Lato"/>
          <w:sz w:val="20"/>
          <w:szCs w:val="20"/>
        </w:rPr>
        <w:t>zwiększenie udziału komponentu krajowego w kluczowych procesach inwestycyjnych realizowanych przez spółki z udziałem Skarbu Państwa. Rezultatem tych działań ma być</w:t>
      </w:r>
      <w:r w:rsidR="003E3EE0" w:rsidRPr="00054889">
        <w:rPr>
          <w:rFonts w:ascii="Lato" w:hAnsi="Lato"/>
          <w:sz w:val="20"/>
          <w:szCs w:val="20"/>
        </w:rPr>
        <w:t xml:space="preserve"> </w:t>
      </w:r>
      <w:r w:rsidR="006D7D46" w:rsidRPr="00054889">
        <w:rPr>
          <w:rFonts w:ascii="Lato" w:hAnsi="Lato"/>
          <w:sz w:val="20"/>
          <w:szCs w:val="20"/>
        </w:rPr>
        <w:t>trwałe wzmocnienie</w:t>
      </w:r>
      <w:r w:rsidR="00820171" w:rsidRPr="00054889">
        <w:rPr>
          <w:rFonts w:ascii="Lato" w:hAnsi="Lato"/>
          <w:sz w:val="20"/>
          <w:szCs w:val="20"/>
        </w:rPr>
        <w:t xml:space="preserve"> </w:t>
      </w:r>
      <w:r w:rsidR="003E3EE0" w:rsidRPr="00054889">
        <w:rPr>
          <w:rFonts w:ascii="Lato" w:hAnsi="Lato"/>
          <w:sz w:val="20"/>
          <w:szCs w:val="20"/>
        </w:rPr>
        <w:t xml:space="preserve">konkurencyjności polskiej gospodarki </w:t>
      </w:r>
      <w:r w:rsidR="006D7D46" w:rsidRPr="00054889">
        <w:rPr>
          <w:rFonts w:ascii="Lato" w:hAnsi="Lato"/>
          <w:sz w:val="20"/>
          <w:szCs w:val="20"/>
        </w:rPr>
        <w:t xml:space="preserve">i odporniejsze </w:t>
      </w:r>
      <w:r w:rsidR="003E3EE0" w:rsidRPr="00054889">
        <w:rPr>
          <w:rFonts w:ascii="Lato" w:hAnsi="Lato"/>
          <w:sz w:val="20"/>
          <w:szCs w:val="20"/>
        </w:rPr>
        <w:t>krajow</w:t>
      </w:r>
      <w:r w:rsidR="006D7D46" w:rsidRPr="00054889">
        <w:rPr>
          <w:rFonts w:ascii="Lato" w:hAnsi="Lato"/>
          <w:sz w:val="20"/>
          <w:szCs w:val="20"/>
        </w:rPr>
        <w:t>e</w:t>
      </w:r>
      <w:r w:rsidR="003E3EE0" w:rsidRPr="00054889">
        <w:rPr>
          <w:rFonts w:ascii="Lato" w:hAnsi="Lato"/>
          <w:sz w:val="20"/>
          <w:szCs w:val="20"/>
        </w:rPr>
        <w:t xml:space="preserve"> łańcuch</w:t>
      </w:r>
      <w:r w:rsidR="006D7D46" w:rsidRPr="00054889">
        <w:rPr>
          <w:rFonts w:ascii="Lato" w:hAnsi="Lato"/>
          <w:sz w:val="20"/>
          <w:szCs w:val="20"/>
        </w:rPr>
        <w:t>y</w:t>
      </w:r>
      <w:r w:rsidR="003E3EE0" w:rsidRPr="00054889">
        <w:rPr>
          <w:rFonts w:ascii="Lato" w:hAnsi="Lato"/>
          <w:sz w:val="20"/>
          <w:szCs w:val="20"/>
        </w:rPr>
        <w:t xml:space="preserve"> dostaw </w:t>
      </w:r>
      <w:r w:rsidR="006D7D46" w:rsidRPr="00054889">
        <w:rPr>
          <w:rFonts w:ascii="Lato" w:hAnsi="Lato"/>
          <w:sz w:val="20"/>
          <w:szCs w:val="20"/>
        </w:rPr>
        <w:t>bazujące na</w:t>
      </w:r>
      <w:r w:rsidR="003E3EE0" w:rsidRPr="00054889">
        <w:rPr>
          <w:rFonts w:ascii="Lato" w:hAnsi="Lato"/>
          <w:sz w:val="20"/>
          <w:szCs w:val="20"/>
        </w:rPr>
        <w:t xml:space="preserve"> potencja</w:t>
      </w:r>
      <w:r w:rsidR="006D7D46" w:rsidRPr="00054889">
        <w:rPr>
          <w:rFonts w:ascii="Lato" w:hAnsi="Lato"/>
          <w:sz w:val="20"/>
          <w:szCs w:val="20"/>
        </w:rPr>
        <w:t>le</w:t>
      </w:r>
      <w:r w:rsidR="003E3EE0" w:rsidRPr="00054889">
        <w:rPr>
          <w:rFonts w:ascii="Lato" w:hAnsi="Lato"/>
          <w:sz w:val="20"/>
          <w:szCs w:val="20"/>
        </w:rPr>
        <w:t xml:space="preserve"> </w:t>
      </w:r>
      <w:r w:rsidR="006D7D46" w:rsidRPr="00054889">
        <w:rPr>
          <w:rFonts w:ascii="Lato" w:hAnsi="Lato"/>
          <w:sz w:val="20"/>
          <w:szCs w:val="20"/>
        </w:rPr>
        <w:t xml:space="preserve">krajowych </w:t>
      </w:r>
      <w:r w:rsidR="003E3EE0" w:rsidRPr="00054889">
        <w:rPr>
          <w:rFonts w:ascii="Lato" w:hAnsi="Lato"/>
          <w:sz w:val="20"/>
          <w:szCs w:val="20"/>
        </w:rPr>
        <w:t>przedsiębior</w:t>
      </w:r>
      <w:r w:rsidR="006D7D46" w:rsidRPr="00054889">
        <w:rPr>
          <w:rFonts w:ascii="Lato" w:hAnsi="Lato"/>
          <w:sz w:val="20"/>
          <w:szCs w:val="20"/>
        </w:rPr>
        <w:t>ców.</w:t>
      </w:r>
      <w:r w:rsidR="003E3EE0" w:rsidRPr="00054889">
        <w:rPr>
          <w:rFonts w:ascii="Lato" w:hAnsi="Lato"/>
          <w:sz w:val="20"/>
          <w:szCs w:val="20"/>
        </w:rPr>
        <w:t xml:space="preserve"> </w:t>
      </w:r>
    </w:p>
    <w:p w14:paraId="1CF28A6F" w14:textId="17786D9C" w:rsidR="003E3EE0" w:rsidRPr="00054889" w:rsidRDefault="003E3EE0" w:rsidP="00097032">
      <w:pPr>
        <w:spacing w:after="120" w:line="360" w:lineRule="auto"/>
        <w:rPr>
          <w:rFonts w:ascii="Lato" w:hAnsi="Lato"/>
          <w:sz w:val="20"/>
          <w:szCs w:val="20"/>
        </w:rPr>
      </w:pPr>
      <w:r w:rsidRPr="00054889">
        <w:rPr>
          <w:rFonts w:ascii="Lato" w:hAnsi="Lato"/>
          <w:sz w:val="20"/>
          <w:szCs w:val="20"/>
        </w:rPr>
        <w:t xml:space="preserve">Wskazane </w:t>
      </w:r>
      <w:r w:rsidR="00F74DEB" w:rsidRPr="00054889">
        <w:rPr>
          <w:rFonts w:ascii="Lato" w:hAnsi="Lato"/>
          <w:sz w:val="20"/>
          <w:szCs w:val="20"/>
        </w:rPr>
        <w:t>D</w:t>
      </w:r>
      <w:r w:rsidRPr="00054889">
        <w:rPr>
          <w:rFonts w:ascii="Lato" w:hAnsi="Lato"/>
          <w:sz w:val="20"/>
          <w:szCs w:val="20"/>
        </w:rPr>
        <w:t xml:space="preserve">obre praktyki </w:t>
      </w:r>
      <w:r w:rsidR="00047534">
        <w:rPr>
          <w:rFonts w:ascii="Lato" w:hAnsi="Lato"/>
          <w:sz w:val="20"/>
          <w:szCs w:val="20"/>
        </w:rPr>
        <w:t>mają</w:t>
      </w:r>
      <w:r w:rsidRPr="00054889">
        <w:rPr>
          <w:rFonts w:ascii="Lato" w:hAnsi="Lato"/>
          <w:sz w:val="20"/>
          <w:szCs w:val="20"/>
        </w:rPr>
        <w:t xml:space="preserve"> sprzyjać:</w:t>
      </w:r>
    </w:p>
    <w:p w14:paraId="1FB5867D" w14:textId="15507639" w:rsidR="003E3EE0" w:rsidRPr="00054889" w:rsidRDefault="003E3EE0" w:rsidP="00FD2F03">
      <w:pPr>
        <w:numPr>
          <w:ilvl w:val="0"/>
          <w:numId w:val="2"/>
        </w:numPr>
        <w:spacing w:after="120" w:line="360" w:lineRule="auto"/>
        <w:rPr>
          <w:rFonts w:ascii="Lato" w:hAnsi="Lato"/>
          <w:sz w:val="20"/>
          <w:szCs w:val="20"/>
        </w:rPr>
      </w:pPr>
      <w:r w:rsidRPr="00054889">
        <w:rPr>
          <w:rFonts w:ascii="Lato" w:hAnsi="Lato"/>
          <w:sz w:val="20"/>
          <w:szCs w:val="20"/>
        </w:rPr>
        <w:t>zwiększaniu konkurencyjności</w:t>
      </w:r>
      <w:r w:rsidR="0005698C" w:rsidRPr="00054889">
        <w:rPr>
          <w:rFonts w:ascii="Lato" w:hAnsi="Lato"/>
          <w:sz w:val="20"/>
          <w:szCs w:val="20"/>
        </w:rPr>
        <w:t xml:space="preserve"> i kompetencji</w:t>
      </w:r>
      <w:r w:rsidR="000A5317" w:rsidRPr="00054889">
        <w:rPr>
          <w:rFonts w:ascii="Lato" w:hAnsi="Lato"/>
          <w:sz w:val="20"/>
          <w:szCs w:val="20"/>
        </w:rPr>
        <w:t xml:space="preserve"> </w:t>
      </w:r>
      <w:r w:rsidR="000176D1" w:rsidRPr="00054889">
        <w:rPr>
          <w:rFonts w:ascii="Lato" w:hAnsi="Lato"/>
          <w:sz w:val="20"/>
          <w:szCs w:val="20"/>
        </w:rPr>
        <w:t>krajowych przedsiębiorstw</w:t>
      </w:r>
      <w:r w:rsidRPr="00054889">
        <w:rPr>
          <w:rFonts w:ascii="Lato" w:hAnsi="Lato"/>
          <w:sz w:val="20"/>
          <w:szCs w:val="20"/>
        </w:rPr>
        <w:t>,</w:t>
      </w:r>
    </w:p>
    <w:p w14:paraId="701DA0C9" w14:textId="052DC7FD" w:rsidR="0005698C" w:rsidRPr="00054889" w:rsidRDefault="00FE18FE" w:rsidP="00FD2F03">
      <w:pPr>
        <w:numPr>
          <w:ilvl w:val="0"/>
          <w:numId w:val="2"/>
        </w:numPr>
        <w:spacing w:after="120" w:line="360" w:lineRule="auto"/>
        <w:rPr>
          <w:rFonts w:ascii="Lato" w:hAnsi="Lato"/>
          <w:sz w:val="20"/>
          <w:szCs w:val="20"/>
        </w:rPr>
      </w:pPr>
      <w:r>
        <w:rPr>
          <w:rFonts w:ascii="Lato" w:hAnsi="Lato"/>
          <w:sz w:val="20"/>
          <w:szCs w:val="20"/>
        </w:rPr>
        <w:t>zmniejszaniu</w:t>
      </w:r>
      <w:r w:rsidR="0005698C" w:rsidRPr="00054889">
        <w:rPr>
          <w:rFonts w:ascii="Lato" w:hAnsi="Lato"/>
          <w:sz w:val="20"/>
          <w:szCs w:val="20"/>
        </w:rPr>
        <w:t xml:space="preserve"> uzależnienia od zewnętrznych łańcuchów dostaw,</w:t>
      </w:r>
    </w:p>
    <w:p w14:paraId="11F52BCD" w14:textId="45ABEFDC" w:rsidR="003E3EE0" w:rsidRPr="00054889" w:rsidRDefault="003E3EE0" w:rsidP="00FD2F03">
      <w:pPr>
        <w:numPr>
          <w:ilvl w:val="0"/>
          <w:numId w:val="2"/>
        </w:numPr>
        <w:spacing w:after="120" w:line="360" w:lineRule="auto"/>
        <w:rPr>
          <w:rFonts w:ascii="Lato" w:hAnsi="Lato"/>
          <w:sz w:val="20"/>
          <w:szCs w:val="20"/>
        </w:rPr>
      </w:pPr>
      <w:r w:rsidRPr="00054889">
        <w:rPr>
          <w:rFonts w:ascii="Lato" w:hAnsi="Lato"/>
          <w:sz w:val="20"/>
          <w:szCs w:val="20"/>
        </w:rPr>
        <w:t>budowaniu odporności gospodarki,</w:t>
      </w:r>
    </w:p>
    <w:p w14:paraId="1AB52259" w14:textId="07962297" w:rsidR="003E3EE0" w:rsidRPr="00054889" w:rsidRDefault="003E3EE0" w:rsidP="00FD2F03">
      <w:pPr>
        <w:numPr>
          <w:ilvl w:val="0"/>
          <w:numId w:val="2"/>
        </w:numPr>
        <w:spacing w:after="120" w:line="360" w:lineRule="auto"/>
        <w:rPr>
          <w:rFonts w:ascii="Lato" w:hAnsi="Lato"/>
          <w:sz w:val="20"/>
          <w:szCs w:val="20"/>
        </w:rPr>
      </w:pPr>
      <w:r w:rsidRPr="00054889">
        <w:rPr>
          <w:rFonts w:ascii="Lato" w:hAnsi="Lato"/>
          <w:sz w:val="20"/>
          <w:szCs w:val="20"/>
        </w:rPr>
        <w:t xml:space="preserve">zapewnieniu bezpieczeństwa realizowanych </w:t>
      </w:r>
      <w:r w:rsidR="00A31EBC" w:rsidRPr="00054889">
        <w:rPr>
          <w:rFonts w:ascii="Lato" w:hAnsi="Lato"/>
          <w:sz w:val="20"/>
          <w:szCs w:val="20"/>
        </w:rPr>
        <w:t>inwestycji</w:t>
      </w:r>
      <w:r w:rsidRPr="00054889">
        <w:rPr>
          <w:rFonts w:ascii="Lato" w:hAnsi="Lato"/>
          <w:sz w:val="20"/>
          <w:szCs w:val="20"/>
        </w:rPr>
        <w:t>.</w:t>
      </w:r>
    </w:p>
    <w:p w14:paraId="31F37C63" w14:textId="487DA1B8" w:rsidR="003E3EE0" w:rsidRPr="00054889" w:rsidRDefault="008A5804" w:rsidP="00097032">
      <w:pPr>
        <w:spacing w:after="120" w:line="360" w:lineRule="auto"/>
        <w:jc w:val="both"/>
        <w:rPr>
          <w:rFonts w:ascii="Lato" w:hAnsi="Lato"/>
          <w:sz w:val="20"/>
          <w:szCs w:val="20"/>
        </w:rPr>
      </w:pPr>
      <w:r>
        <w:rPr>
          <w:rFonts w:ascii="Lato" w:hAnsi="Lato"/>
          <w:sz w:val="20"/>
          <w:szCs w:val="20"/>
        </w:rPr>
        <w:t>Repolonizacja umożliwi r</w:t>
      </w:r>
      <w:r w:rsidR="003E3EE0" w:rsidRPr="00054889">
        <w:rPr>
          <w:rFonts w:ascii="Lato" w:hAnsi="Lato"/>
          <w:sz w:val="20"/>
          <w:szCs w:val="20"/>
        </w:rPr>
        <w:t>ozwój</w:t>
      </w:r>
      <w:r w:rsidR="0005698C" w:rsidRPr="00054889">
        <w:rPr>
          <w:rFonts w:ascii="Lato" w:hAnsi="Lato"/>
          <w:sz w:val="20"/>
          <w:szCs w:val="20"/>
        </w:rPr>
        <w:t xml:space="preserve"> potencjału</w:t>
      </w:r>
      <w:r w:rsidR="003E3EE0" w:rsidRPr="00054889">
        <w:rPr>
          <w:rFonts w:ascii="Lato" w:hAnsi="Lato"/>
          <w:sz w:val="20"/>
          <w:szCs w:val="20"/>
        </w:rPr>
        <w:t xml:space="preserve"> podmiotów </w:t>
      </w:r>
      <w:r>
        <w:rPr>
          <w:rFonts w:ascii="Lato" w:hAnsi="Lato"/>
          <w:sz w:val="20"/>
          <w:szCs w:val="20"/>
        </w:rPr>
        <w:t xml:space="preserve">przemysłowych i usługowych </w:t>
      </w:r>
      <w:r w:rsidR="000176D1" w:rsidRPr="00054889">
        <w:rPr>
          <w:rFonts w:ascii="Lato" w:hAnsi="Lato"/>
          <w:sz w:val="20"/>
          <w:szCs w:val="20"/>
        </w:rPr>
        <w:t>prowadzących działalność</w:t>
      </w:r>
      <w:r w:rsidR="0005698C" w:rsidRPr="00054889">
        <w:rPr>
          <w:rFonts w:ascii="Lato" w:hAnsi="Lato"/>
          <w:sz w:val="20"/>
          <w:szCs w:val="20"/>
        </w:rPr>
        <w:t xml:space="preserve"> gospodarczą</w:t>
      </w:r>
      <w:r w:rsidR="003E3EE0" w:rsidRPr="00054889">
        <w:rPr>
          <w:rFonts w:ascii="Lato" w:hAnsi="Lato"/>
          <w:sz w:val="20"/>
          <w:szCs w:val="20"/>
        </w:rPr>
        <w:t xml:space="preserve"> </w:t>
      </w:r>
      <w:r w:rsidR="0005698C" w:rsidRPr="00054889">
        <w:rPr>
          <w:rFonts w:ascii="Lato" w:hAnsi="Lato"/>
          <w:sz w:val="20"/>
          <w:szCs w:val="20"/>
        </w:rPr>
        <w:t>na terytorium</w:t>
      </w:r>
      <w:r w:rsidR="003E3EE0" w:rsidRPr="00054889">
        <w:rPr>
          <w:rFonts w:ascii="Lato" w:hAnsi="Lato"/>
          <w:sz w:val="20"/>
          <w:szCs w:val="20"/>
        </w:rPr>
        <w:t xml:space="preserve"> Pols</w:t>
      </w:r>
      <w:r w:rsidR="0005698C" w:rsidRPr="00054889">
        <w:rPr>
          <w:rFonts w:ascii="Lato" w:hAnsi="Lato"/>
          <w:sz w:val="20"/>
          <w:szCs w:val="20"/>
        </w:rPr>
        <w:t>ki</w:t>
      </w:r>
      <w:r w:rsidR="00174F9A">
        <w:rPr>
          <w:rFonts w:ascii="Lato" w:hAnsi="Lato"/>
          <w:sz w:val="20"/>
          <w:szCs w:val="20"/>
        </w:rPr>
        <w:t>,</w:t>
      </w:r>
      <w:r w:rsidR="003E3EE0" w:rsidRPr="00054889">
        <w:rPr>
          <w:rFonts w:ascii="Lato" w:hAnsi="Lato"/>
          <w:sz w:val="20"/>
          <w:szCs w:val="20"/>
        </w:rPr>
        <w:t xml:space="preserve"> </w:t>
      </w:r>
      <w:r>
        <w:rPr>
          <w:rFonts w:ascii="Lato" w:hAnsi="Lato"/>
          <w:sz w:val="20"/>
          <w:szCs w:val="20"/>
        </w:rPr>
        <w:t>wzmocni</w:t>
      </w:r>
      <w:r w:rsidRPr="00054889">
        <w:rPr>
          <w:rFonts w:ascii="Lato" w:hAnsi="Lato"/>
          <w:sz w:val="20"/>
          <w:szCs w:val="20"/>
        </w:rPr>
        <w:t xml:space="preserve"> </w:t>
      </w:r>
      <w:r w:rsidR="003E3EE0" w:rsidRPr="00054889">
        <w:rPr>
          <w:rFonts w:ascii="Lato" w:hAnsi="Lato"/>
          <w:sz w:val="20"/>
          <w:szCs w:val="20"/>
        </w:rPr>
        <w:t xml:space="preserve">stabilność </w:t>
      </w:r>
      <w:r w:rsidR="000176D1" w:rsidRPr="00054889">
        <w:rPr>
          <w:rFonts w:ascii="Lato" w:hAnsi="Lato"/>
          <w:sz w:val="20"/>
          <w:szCs w:val="20"/>
        </w:rPr>
        <w:t xml:space="preserve">procesów </w:t>
      </w:r>
      <w:r w:rsidR="003E3EE0" w:rsidRPr="00054889">
        <w:rPr>
          <w:rFonts w:ascii="Lato" w:hAnsi="Lato"/>
          <w:sz w:val="20"/>
          <w:szCs w:val="20"/>
        </w:rPr>
        <w:t>inwestyc</w:t>
      </w:r>
      <w:r w:rsidR="000176D1" w:rsidRPr="00054889">
        <w:rPr>
          <w:rFonts w:ascii="Lato" w:hAnsi="Lato"/>
          <w:sz w:val="20"/>
          <w:szCs w:val="20"/>
        </w:rPr>
        <w:t>yjnych</w:t>
      </w:r>
      <w:r w:rsidR="003E3EE0" w:rsidRPr="00054889">
        <w:rPr>
          <w:rFonts w:ascii="Lato" w:hAnsi="Lato"/>
          <w:sz w:val="20"/>
          <w:szCs w:val="20"/>
        </w:rPr>
        <w:t xml:space="preserve">, </w:t>
      </w:r>
      <w:r>
        <w:rPr>
          <w:rFonts w:ascii="Lato" w:hAnsi="Lato"/>
          <w:sz w:val="20"/>
          <w:szCs w:val="20"/>
        </w:rPr>
        <w:t xml:space="preserve">skróci </w:t>
      </w:r>
      <w:r w:rsidR="003E3EE0" w:rsidRPr="00054889">
        <w:rPr>
          <w:rFonts w:ascii="Lato" w:hAnsi="Lato"/>
          <w:sz w:val="20"/>
          <w:szCs w:val="20"/>
        </w:rPr>
        <w:t xml:space="preserve">łańcuchy </w:t>
      </w:r>
      <w:r w:rsidR="0005698C" w:rsidRPr="00054889">
        <w:rPr>
          <w:rFonts w:ascii="Lato" w:hAnsi="Lato"/>
          <w:sz w:val="20"/>
          <w:szCs w:val="20"/>
        </w:rPr>
        <w:t>dostaw</w:t>
      </w:r>
      <w:r w:rsidR="003E3EE0" w:rsidRPr="00054889">
        <w:rPr>
          <w:rFonts w:ascii="Lato" w:hAnsi="Lato"/>
          <w:sz w:val="20"/>
          <w:szCs w:val="20"/>
        </w:rPr>
        <w:t xml:space="preserve"> i </w:t>
      </w:r>
      <w:r w:rsidR="00D55C5E">
        <w:rPr>
          <w:rFonts w:ascii="Lato" w:hAnsi="Lato"/>
          <w:sz w:val="20"/>
          <w:szCs w:val="20"/>
        </w:rPr>
        <w:t>będzie</w:t>
      </w:r>
      <w:r w:rsidR="00D55C5E" w:rsidRPr="00054889">
        <w:rPr>
          <w:rFonts w:ascii="Lato" w:hAnsi="Lato"/>
          <w:sz w:val="20"/>
          <w:szCs w:val="20"/>
        </w:rPr>
        <w:t xml:space="preserve"> </w:t>
      </w:r>
      <w:r w:rsidR="003E3EE0" w:rsidRPr="00054889">
        <w:rPr>
          <w:rFonts w:ascii="Lato" w:hAnsi="Lato"/>
          <w:sz w:val="20"/>
          <w:szCs w:val="20"/>
        </w:rPr>
        <w:t>sprzyja</w:t>
      </w:r>
      <w:r>
        <w:rPr>
          <w:rFonts w:ascii="Lato" w:hAnsi="Lato"/>
          <w:sz w:val="20"/>
          <w:szCs w:val="20"/>
        </w:rPr>
        <w:t xml:space="preserve">ła </w:t>
      </w:r>
      <w:r w:rsidR="003E3EE0" w:rsidRPr="00054889">
        <w:rPr>
          <w:rFonts w:ascii="Lato" w:hAnsi="Lato"/>
          <w:sz w:val="20"/>
          <w:szCs w:val="20"/>
        </w:rPr>
        <w:t>tworzeniu długofalowej wartości dodanej</w:t>
      </w:r>
      <w:r w:rsidR="000176D1" w:rsidRPr="00054889">
        <w:rPr>
          <w:rFonts w:ascii="Lato" w:hAnsi="Lato"/>
          <w:sz w:val="20"/>
          <w:szCs w:val="20"/>
        </w:rPr>
        <w:t xml:space="preserve"> dla krajowej gospodarki</w:t>
      </w:r>
      <w:r w:rsidR="00174F9A">
        <w:rPr>
          <w:rFonts w:ascii="Lato" w:hAnsi="Lato"/>
          <w:sz w:val="20"/>
          <w:szCs w:val="20"/>
        </w:rPr>
        <w:t>, co przełoży się na wyższe PKB oraz transfer nowoczesnych technologii</w:t>
      </w:r>
      <w:r w:rsidR="000176D1" w:rsidRPr="00054889">
        <w:rPr>
          <w:rFonts w:ascii="Lato" w:hAnsi="Lato"/>
          <w:sz w:val="20"/>
          <w:szCs w:val="20"/>
        </w:rPr>
        <w:t>.</w:t>
      </w:r>
    </w:p>
    <w:p w14:paraId="6502FDCC" w14:textId="57C13425" w:rsidR="003F4AD2" w:rsidRPr="00054889" w:rsidRDefault="003F4AD2" w:rsidP="00A3229C">
      <w:pPr>
        <w:spacing w:line="360" w:lineRule="auto"/>
        <w:rPr>
          <w:rFonts w:ascii="Lato" w:hAnsi="Lato"/>
          <w:color w:val="215E99" w:themeColor="text2" w:themeTint="BF"/>
          <w:sz w:val="20"/>
          <w:szCs w:val="20"/>
        </w:rPr>
      </w:pPr>
      <w:r w:rsidRPr="00054889">
        <w:rPr>
          <w:rFonts w:ascii="Lato" w:hAnsi="Lato"/>
          <w:color w:val="215E99" w:themeColor="text2" w:themeTint="BF"/>
          <w:sz w:val="20"/>
          <w:szCs w:val="20"/>
        </w:rPr>
        <w:br w:type="page"/>
      </w:r>
    </w:p>
    <w:p w14:paraId="6DC801B6" w14:textId="0403CE1E" w:rsidR="000176D1" w:rsidRPr="00054889" w:rsidRDefault="000176D1" w:rsidP="00241EEF">
      <w:pPr>
        <w:pStyle w:val="rozdzial"/>
      </w:pPr>
      <w:bookmarkStart w:id="2" w:name="_Toc228873227"/>
      <w:r w:rsidRPr="00054889">
        <w:lastRenderedPageBreak/>
        <w:t>Rozumienie komponentu krajowego</w:t>
      </w:r>
      <w:bookmarkEnd w:id="2"/>
      <w:r w:rsidRPr="00054889">
        <w:t xml:space="preserve"> </w:t>
      </w:r>
    </w:p>
    <w:p w14:paraId="2107162A" w14:textId="27EA04C1" w:rsidR="000176D1" w:rsidRPr="00054889" w:rsidRDefault="000176D1" w:rsidP="00097032">
      <w:pPr>
        <w:pStyle w:val="Akapitzlist"/>
        <w:widowControl w:val="0"/>
        <w:spacing w:after="120" w:line="360" w:lineRule="auto"/>
        <w:ind w:left="1080"/>
        <w:contextualSpacing w:val="0"/>
        <w:rPr>
          <w:rFonts w:ascii="Lato" w:hAnsi="Lato"/>
          <w:sz w:val="20"/>
          <w:szCs w:val="20"/>
        </w:rPr>
      </w:pPr>
    </w:p>
    <w:p w14:paraId="57C51C21" w14:textId="1FD731B0" w:rsidR="000176D1" w:rsidRPr="002037D2" w:rsidRDefault="002037D2" w:rsidP="002037D2">
      <w:pPr>
        <w:widowControl w:val="0"/>
        <w:spacing w:after="120" w:line="360" w:lineRule="auto"/>
        <w:jc w:val="both"/>
        <w:rPr>
          <w:rFonts w:ascii="Lato" w:hAnsi="Lato"/>
          <w:sz w:val="20"/>
          <w:szCs w:val="20"/>
        </w:rPr>
      </w:pPr>
      <w:r w:rsidRPr="00A64EDE">
        <w:rPr>
          <w:rFonts w:ascii="Lato" w:hAnsi="Lato"/>
          <w:color w:val="000000" w:themeColor="text1"/>
          <w:sz w:val="20"/>
          <w:szCs w:val="20"/>
        </w:rPr>
        <w:t xml:space="preserve">Istotne, by </w:t>
      </w:r>
      <w:r w:rsidR="000176D1" w:rsidRPr="00A64EDE">
        <w:rPr>
          <w:rFonts w:ascii="Lato" w:hAnsi="Lato"/>
          <w:color w:val="000000" w:themeColor="text1"/>
          <w:sz w:val="20"/>
          <w:szCs w:val="20"/>
        </w:rPr>
        <w:t>wydatk</w:t>
      </w:r>
      <w:r w:rsidRPr="00A64EDE">
        <w:rPr>
          <w:rFonts w:ascii="Lato" w:hAnsi="Lato"/>
          <w:color w:val="000000" w:themeColor="text1"/>
          <w:sz w:val="20"/>
          <w:szCs w:val="20"/>
        </w:rPr>
        <w:t>i</w:t>
      </w:r>
      <w:r w:rsidR="000176D1" w:rsidRPr="00A64EDE">
        <w:rPr>
          <w:rFonts w:ascii="Lato" w:hAnsi="Lato"/>
          <w:color w:val="000000" w:themeColor="text1"/>
          <w:sz w:val="20"/>
          <w:szCs w:val="20"/>
        </w:rPr>
        <w:t xml:space="preserve"> ponoszon</w:t>
      </w:r>
      <w:r w:rsidRPr="00A64EDE">
        <w:rPr>
          <w:rFonts w:ascii="Lato" w:hAnsi="Lato"/>
          <w:color w:val="000000" w:themeColor="text1"/>
          <w:sz w:val="20"/>
          <w:szCs w:val="20"/>
        </w:rPr>
        <w:t>e</w:t>
      </w:r>
      <w:r w:rsidR="000176D1" w:rsidRPr="00A64EDE">
        <w:rPr>
          <w:rFonts w:ascii="Lato" w:hAnsi="Lato"/>
          <w:color w:val="000000" w:themeColor="text1"/>
          <w:sz w:val="20"/>
          <w:szCs w:val="20"/>
        </w:rPr>
        <w:t xml:space="preserve"> przez podmioty realizujące w ramach obowiązujących strategii rozwoju, programów i dokumentów programowych oraz polityk publicznych Rady Ministrów kluczowe programy inwestycyjne </w:t>
      </w:r>
      <w:r w:rsidRPr="00A64EDE">
        <w:rPr>
          <w:rFonts w:ascii="Lato" w:hAnsi="Lato"/>
          <w:color w:val="000000" w:themeColor="text1"/>
          <w:sz w:val="20"/>
          <w:szCs w:val="20"/>
        </w:rPr>
        <w:t xml:space="preserve">zwłaszcza </w:t>
      </w:r>
      <w:r w:rsidR="000176D1" w:rsidRPr="00A64EDE">
        <w:rPr>
          <w:rFonts w:ascii="Lato" w:hAnsi="Lato"/>
          <w:color w:val="000000" w:themeColor="text1"/>
          <w:sz w:val="20"/>
          <w:szCs w:val="20"/>
        </w:rPr>
        <w:t xml:space="preserve">w sektorze obronnym, energetycznym, infrastrukturalno-transportowym </w:t>
      </w:r>
      <w:r w:rsidRPr="00A64EDE">
        <w:rPr>
          <w:rFonts w:ascii="Lato" w:hAnsi="Lato"/>
          <w:color w:val="000000" w:themeColor="text1"/>
          <w:sz w:val="20"/>
          <w:szCs w:val="20"/>
        </w:rPr>
        <w:t>czy</w:t>
      </w:r>
      <w:r w:rsidR="000176D1" w:rsidRPr="00A64EDE">
        <w:rPr>
          <w:rFonts w:ascii="Lato" w:hAnsi="Lato"/>
          <w:color w:val="000000" w:themeColor="text1"/>
          <w:sz w:val="20"/>
          <w:szCs w:val="20"/>
        </w:rPr>
        <w:t xml:space="preserve"> technologiczno-cyfrowym</w:t>
      </w:r>
      <w:r w:rsidRPr="00A64EDE">
        <w:rPr>
          <w:rFonts w:ascii="Lato" w:hAnsi="Lato"/>
          <w:color w:val="000000" w:themeColor="text1"/>
          <w:sz w:val="20"/>
          <w:szCs w:val="20"/>
        </w:rPr>
        <w:t xml:space="preserve"> były</w:t>
      </w:r>
      <w:r w:rsidR="000176D1" w:rsidRPr="00A64EDE">
        <w:rPr>
          <w:rFonts w:ascii="Lato" w:hAnsi="Lato"/>
          <w:color w:val="000000" w:themeColor="text1"/>
          <w:sz w:val="20"/>
          <w:szCs w:val="20"/>
        </w:rPr>
        <w:t xml:space="preserve"> skierowane na </w:t>
      </w:r>
      <w:r w:rsidR="00BD3920">
        <w:rPr>
          <w:rFonts w:ascii="Lato" w:hAnsi="Lato"/>
          <w:color w:val="000000" w:themeColor="text1"/>
          <w:sz w:val="20"/>
          <w:szCs w:val="20"/>
        </w:rPr>
        <w:t>repolonizację gospodarki</w:t>
      </w:r>
      <w:r w:rsidR="005B0334">
        <w:rPr>
          <w:rFonts w:ascii="Lato" w:hAnsi="Lato"/>
          <w:color w:val="000000" w:themeColor="text1"/>
          <w:sz w:val="20"/>
          <w:szCs w:val="20"/>
        </w:rPr>
        <w:t xml:space="preserve">, umożliwiającej </w:t>
      </w:r>
      <w:r w:rsidR="000176D1" w:rsidRPr="00A64EDE">
        <w:rPr>
          <w:rFonts w:ascii="Lato" w:hAnsi="Lato"/>
          <w:color w:val="000000" w:themeColor="text1"/>
          <w:sz w:val="20"/>
          <w:szCs w:val="20"/>
        </w:rPr>
        <w:t xml:space="preserve">zwiększenie </w:t>
      </w:r>
      <w:r w:rsidR="00BD3920">
        <w:rPr>
          <w:rFonts w:ascii="Lato" w:hAnsi="Lato"/>
          <w:color w:val="000000" w:themeColor="text1"/>
          <w:sz w:val="20"/>
          <w:szCs w:val="20"/>
        </w:rPr>
        <w:t xml:space="preserve">jej </w:t>
      </w:r>
      <w:r w:rsidR="000176D1" w:rsidRPr="00A64EDE">
        <w:rPr>
          <w:rFonts w:ascii="Lato" w:hAnsi="Lato"/>
          <w:color w:val="000000" w:themeColor="text1"/>
          <w:sz w:val="20"/>
          <w:szCs w:val="20"/>
        </w:rPr>
        <w:t>konkurencyjności i odporności</w:t>
      </w:r>
      <w:r w:rsidRPr="00A64EDE">
        <w:rPr>
          <w:rFonts w:ascii="Lato" w:hAnsi="Lato"/>
          <w:color w:val="000000" w:themeColor="text1"/>
          <w:sz w:val="20"/>
          <w:szCs w:val="20"/>
        </w:rPr>
        <w:t>.</w:t>
      </w:r>
      <w:r w:rsidR="000176D1" w:rsidRPr="00A64EDE">
        <w:rPr>
          <w:rFonts w:ascii="Lato" w:hAnsi="Lato"/>
          <w:color w:val="000000" w:themeColor="text1"/>
          <w:sz w:val="20"/>
          <w:szCs w:val="20"/>
        </w:rPr>
        <w:t xml:space="preserve"> </w:t>
      </w:r>
      <w:r w:rsidRPr="00A64EDE">
        <w:rPr>
          <w:rFonts w:ascii="Lato" w:hAnsi="Lato"/>
          <w:color w:val="000000" w:themeColor="text1"/>
          <w:sz w:val="20"/>
          <w:szCs w:val="20"/>
        </w:rPr>
        <w:t>Ważne, by te</w:t>
      </w:r>
      <w:r w:rsidR="000176D1" w:rsidRPr="00A64EDE">
        <w:rPr>
          <w:rFonts w:ascii="Lato" w:hAnsi="Lato"/>
          <w:color w:val="000000" w:themeColor="text1"/>
          <w:sz w:val="20"/>
          <w:szCs w:val="20"/>
        </w:rPr>
        <w:t xml:space="preserve"> wydatki</w:t>
      </w:r>
      <w:r w:rsidRPr="00A64EDE">
        <w:rPr>
          <w:rFonts w:ascii="Lato" w:hAnsi="Lato"/>
          <w:color w:val="000000" w:themeColor="text1"/>
          <w:sz w:val="20"/>
          <w:szCs w:val="20"/>
        </w:rPr>
        <w:t xml:space="preserve"> </w:t>
      </w:r>
      <w:r w:rsidR="000176D1" w:rsidRPr="002037D2">
        <w:rPr>
          <w:rFonts w:ascii="Lato" w:hAnsi="Lato"/>
          <w:sz w:val="20"/>
          <w:szCs w:val="20"/>
        </w:rPr>
        <w:t>przyczynia</w:t>
      </w:r>
      <w:r w:rsidRPr="002037D2">
        <w:rPr>
          <w:rFonts w:ascii="Lato" w:hAnsi="Lato"/>
          <w:sz w:val="20"/>
          <w:szCs w:val="20"/>
        </w:rPr>
        <w:t>ły</w:t>
      </w:r>
      <w:r w:rsidR="000176D1" w:rsidRPr="002037D2">
        <w:rPr>
          <w:rFonts w:ascii="Lato" w:hAnsi="Lato"/>
          <w:sz w:val="20"/>
          <w:szCs w:val="20"/>
        </w:rPr>
        <w:t xml:space="preserve"> się do promowania zwiększania udziału podmiotów krajowych w realizacji wskazanych programów inwestycyjnych lub rozwoju krajowych łańcuchów dostaw na potrzeby realizacji wskazanych programów inwestycyjnych przy uwzględnieniu kryteriów kwalifikacji podmiotów jako krajowych oraz </w:t>
      </w:r>
      <w:r>
        <w:rPr>
          <w:rFonts w:ascii="Lato" w:hAnsi="Lato"/>
          <w:sz w:val="20"/>
          <w:szCs w:val="20"/>
        </w:rPr>
        <w:t>miały</w:t>
      </w:r>
      <w:r w:rsidR="000176D1" w:rsidRPr="002037D2">
        <w:rPr>
          <w:rFonts w:ascii="Lato" w:hAnsi="Lato"/>
          <w:sz w:val="20"/>
          <w:szCs w:val="20"/>
        </w:rPr>
        <w:t xml:space="preserve"> pozytywny wpływ na rozwój polskiej gospodarki, przejawiający się w szczególności przez zwiększony wzrost PKB, poprawę w bilansie eksportu netto, zachowanie lub tworzenie nowych miejsc pracy na terytorium Polski, zwiększone wpływy z</w:t>
      </w:r>
      <w:r w:rsidR="00635CD5">
        <w:rPr>
          <w:rFonts w:ascii="Lato" w:hAnsi="Lato"/>
          <w:sz w:val="20"/>
          <w:szCs w:val="20"/>
        </w:rPr>
        <w:t> </w:t>
      </w:r>
      <w:r w:rsidR="000176D1" w:rsidRPr="002037D2">
        <w:rPr>
          <w:rFonts w:ascii="Lato" w:hAnsi="Lato"/>
          <w:sz w:val="20"/>
          <w:szCs w:val="20"/>
        </w:rPr>
        <w:t>podatków, w tym dochodowych na rzecz budżetu państwa, przyciąganie nowych inwestycji zagranicznych na terytorium Polski, czy tworzenie na terytorium Polski centrów badawczo-rozwojowych i rozwój innowacji.</w:t>
      </w:r>
      <w:r w:rsidR="003703CA">
        <w:rPr>
          <w:rFonts w:ascii="Lato" w:hAnsi="Lato"/>
          <w:sz w:val="20"/>
          <w:szCs w:val="20"/>
        </w:rPr>
        <w:t xml:space="preserve"> </w:t>
      </w:r>
    </w:p>
    <w:p w14:paraId="04AC2CB1" w14:textId="4D64B76C" w:rsidR="006C2FA8" w:rsidRDefault="009B06F9" w:rsidP="00097032">
      <w:pPr>
        <w:widowControl w:val="0"/>
        <w:spacing w:after="120" w:line="360" w:lineRule="auto"/>
        <w:jc w:val="both"/>
        <w:rPr>
          <w:rFonts w:ascii="Lato" w:hAnsi="Lato"/>
          <w:sz w:val="20"/>
          <w:szCs w:val="20"/>
        </w:rPr>
      </w:pPr>
      <w:r>
        <w:rPr>
          <w:rFonts w:ascii="Lato" w:hAnsi="Lato"/>
          <w:sz w:val="20"/>
          <w:szCs w:val="20"/>
        </w:rPr>
        <w:t>W celu k</w:t>
      </w:r>
      <w:r w:rsidRPr="006C2FA8">
        <w:rPr>
          <w:rFonts w:ascii="Lato" w:hAnsi="Lato"/>
          <w:sz w:val="20"/>
          <w:szCs w:val="20"/>
        </w:rPr>
        <w:t>oordynacji wykonywania uprawnień przysługujących Skarbowi</w:t>
      </w:r>
      <w:r>
        <w:rPr>
          <w:rFonts w:ascii="Lato" w:hAnsi="Lato"/>
          <w:sz w:val="20"/>
          <w:szCs w:val="20"/>
        </w:rPr>
        <w:t xml:space="preserve"> Państwa</w:t>
      </w:r>
      <w:r w:rsidRPr="00054889">
        <w:rPr>
          <w:rFonts w:ascii="Lato" w:hAnsi="Lato"/>
          <w:sz w:val="20"/>
          <w:szCs w:val="20"/>
        </w:rPr>
        <w:t xml:space="preserve"> </w:t>
      </w:r>
      <w:r>
        <w:rPr>
          <w:rFonts w:ascii="Lato" w:hAnsi="Lato"/>
          <w:sz w:val="20"/>
          <w:szCs w:val="20"/>
        </w:rPr>
        <w:t>oraz na</w:t>
      </w:r>
      <w:r w:rsidR="004A77BC" w:rsidRPr="00054889">
        <w:rPr>
          <w:rFonts w:ascii="Lato" w:hAnsi="Lato"/>
          <w:sz w:val="20"/>
          <w:szCs w:val="20"/>
        </w:rPr>
        <w:t xml:space="preserve"> potrzeby </w:t>
      </w:r>
      <w:r w:rsidR="006C2FA8">
        <w:rPr>
          <w:rFonts w:ascii="Lato" w:hAnsi="Lato"/>
          <w:sz w:val="20"/>
          <w:szCs w:val="20"/>
        </w:rPr>
        <w:t>Dobrych praktyk</w:t>
      </w:r>
      <w:r w:rsidR="004A77BC" w:rsidRPr="00054889">
        <w:rPr>
          <w:rFonts w:ascii="Lato" w:hAnsi="Lato"/>
          <w:sz w:val="20"/>
          <w:szCs w:val="20"/>
        </w:rPr>
        <w:t xml:space="preserve">, komponent krajowy jest rozumiany jako </w:t>
      </w:r>
      <w:r w:rsidR="00F14412" w:rsidRPr="00F14412">
        <w:rPr>
          <w:rFonts w:ascii="Lato" w:hAnsi="Lato"/>
          <w:sz w:val="20"/>
          <w:szCs w:val="20"/>
        </w:rPr>
        <w:t xml:space="preserve">wartość towarów lub usług wyprodukowanych lub świadczonych przez podmiot </w:t>
      </w:r>
      <w:r w:rsidR="00F14412">
        <w:rPr>
          <w:rFonts w:ascii="Lato" w:hAnsi="Lato"/>
          <w:sz w:val="20"/>
          <w:szCs w:val="20"/>
        </w:rPr>
        <w:t xml:space="preserve">krajowy </w:t>
      </w:r>
      <w:r w:rsidR="004A77BC" w:rsidRPr="00054889">
        <w:rPr>
          <w:rFonts w:ascii="Lato" w:hAnsi="Lato"/>
          <w:sz w:val="20"/>
          <w:szCs w:val="20"/>
        </w:rPr>
        <w:t>przy uwzględnieniu kryteriów kwalifikacji podmiotów jako krajowych</w:t>
      </w:r>
      <w:r w:rsidR="00A64EDE">
        <w:rPr>
          <w:rFonts w:ascii="Lato" w:hAnsi="Lato"/>
          <w:sz w:val="20"/>
          <w:szCs w:val="20"/>
        </w:rPr>
        <w:t xml:space="preserve">. </w:t>
      </w:r>
      <w:r w:rsidR="004A77BC" w:rsidRPr="00054889">
        <w:rPr>
          <w:rFonts w:ascii="Lato" w:hAnsi="Lato"/>
          <w:sz w:val="20"/>
          <w:szCs w:val="20"/>
        </w:rPr>
        <w:t xml:space="preserve"> </w:t>
      </w:r>
    </w:p>
    <w:p w14:paraId="109D5DFF" w14:textId="2E35EFDF" w:rsidR="00F14412" w:rsidRDefault="00D3438E" w:rsidP="00097032">
      <w:pPr>
        <w:widowControl w:val="0"/>
        <w:spacing w:after="120" w:line="360" w:lineRule="auto"/>
        <w:jc w:val="both"/>
        <w:rPr>
          <w:rFonts w:ascii="Lato" w:hAnsi="Lato"/>
          <w:b/>
          <w:sz w:val="20"/>
          <w:szCs w:val="20"/>
        </w:rPr>
      </w:pPr>
      <w:r>
        <w:rPr>
          <w:rFonts w:ascii="Lato" w:hAnsi="Lato"/>
          <w:sz w:val="20"/>
          <w:szCs w:val="20"/>
        </w:rPr>
        <w:t>Wskazuje się następujące</w:t>
      </w:r>
      <w:r w:rsidR="00FE18FE" w:rsidRPr="00FE18FE">
        <w:rPr>
          <w:rFonts w:ascii="Lato" w:hAnsi="Lato"/>
          <w:sz w:val="20"/>
          <w:szCs w:val="20"/>
        </w:rPr>
        <w:t xml:space="preserve"> k</w:t>
      </w:r>
      <w:r w:rsidR="0005698C" w:rsidRPr="00FE18FE">
        <w:rPr>
          <w:rFonts w:ascii="Lato" w:hAnsi="Lato"/>
          <w:sz w:val="20"/>
          <w:szCs w:val="20"/>
        </w:rPr>
        <w:t>ryteria krajowości</w:t>
      </w:r>
      <w:r w:rsidR="0005698C" w:rsidRPr="00054889">
        <w:rPr>
          <w:rFonts w:ascii="Lato" w:hAnsi="Lato"/>
          <w:sz w:val="20"/>
          <w:szCs w:val="20"/>
        </w:rPr>
        <w:t xml:space="preserve"> na potrzeby </w:t>
      </w:r>
      <w:r w:rsidR="00F74DEB" w:rsidRPr="00054889">
        <w:rPr>
          <w:rFonts w:ascii="Lato" w:hAnsi="Lato"/>
          <w:sz w:val="20"/>
          <w:szCs w:val="20"/>
        </w:rPr>
        <w:t>D</w:t>
      </w:r>
      <w:r w:rsidR="0005698C" w:rsidRPr="00054889">
        <w:rPr>
          <w:rFonts w:ascii="Lato" w:hAnsi="Lato"/>
          <w:sz w:val="20"/>
          <w:szCs w:val="20"/>
        </w:rPr>
        <w:t>obrych praktyk</w:t>
      </w:r>
      <w:r w:rsidR="00A64EDE">
        <w:rPr>
          <w:rFonts w:ascii="Lato" w:hAnsi="Lato"/>
          <w:sz w:val="20"/>
          <w:szCs w:val="20"/>
        </w:rPr>
        <w:t xml:space="preserve"> i przypisane im wagi:</w:t>
      </w:r>
    </w:p>
    <w:p w14:paraId="5459D5B4" w14:textId="13479FD1" w:rsidR="002037D2" w:rsidRDefault="002037D2" w:rsidP="00F14412">
      <w:pPr>
        <w:widowControl w:val="0"/>
        <w:numPr>
          <w:ilvl w:val="0"/>
          <w:numId w:val="22"/>
        </w:numPr>
        <w:spacing w:after="120" w:line="360" w:lineRule="auto"/>
        <w:jc w:val="both"/>
        <w:rPr>
          <w:rFonts w:ascii="Lato" w:hAnsi="Lato"/>
          <w:sz w:val="20"/>
          <w:szCs w:val="20"/>
        </w:rPr>
      </w:pPr>
      <w:r w:rsidRPr="002037D2">
        <w:rPr>
          <w:rFonts w:ascii="Lato" w:hAnsi="Lato"/>
          <w:sz w:val="20"/>
          <w:szCs w:val="20"/>
        </w:rPr>
        <w:t>jednostka dominująca najwyższego szczebla</w:t>
      </w:r>
      <w:r w:rsidR="00D3438E">
        <w:rPr>
          <w:rFonts w:ascii="Lato" w:hAnsi="Lato"/>
          <w:sz w:val="20"/>
          <w:szCs w:val="20"/>
        </w:rPr>
        <w:t xml:space="preserve"> (</w:t>
      </w:r>
      <w:proofErr w:type="spellStart"/>
      <w:r w:rsidR="00D3438E" w:rsidRPr="00D3438E">
        <w:rPr>
          <w:rFonts w:ascii="Lato" w:hAnsi="Lato"/>
          <w:i/>
          <w:sz w:val="20"/>
          <w:szCs w:val="20"/>
        </w:rPr>
        <w:t>ultimate</w:t>
      </w:r>
      <w:proofErr w:type="spellEnd"/>
      <w:r w:rsidR="00D3438E" w:rsidRPr="00D3438E">
        <w:rPr>
          <w:rFonts w:ascii="Lato" w:hAnsi="Lato"/>
          <w:i/>
          <w:sz w:val="20"/>
          <w:szCs w:val="20"/>
        </w:rPr>
        <w:t xml:space="preserve"> </w:t>
      </w:r>
      <w:proofErr w:type="spellStart"/>
      <w:r w:rsidR="00D3438E" w:rsidRPr="00D3438E">
        <w:rPr>
          <w:rFonts w:ascii="Lato" w:hAnsi="Lato"/>
          <w:i/>
          <w:sz w:val="20"/>
          <w:szCs w:val="20"/>
        </w:rPr>
        <w:t>parent</w:t>
      </w:r>
      <w:proofErr w:type="spellEnd"/>
      <w:r w:rsidR="00D3438E" w:rsidRPr="00D3438E">
        <w:rPr>
          <w:rFonts w:ascii="Lato" w:hAnsi="Lato"/>
          <w:i/>
          <w:sz w:val="20"/>
          <w:szCs w:val="20"/>
        </w:rPr>
        <w:t xml:space="preserve"> unit</w:t>
      </w:r>
      <w:r w:rsidR="00D3438E">
        <w:rPr>
          <w:rFonts w:ascii="Lato" w:hAnsi="Lato"/>
          <w:sz w:val="20"/>
          <w:szCs w:val="20"/>
        </w:rPr>
        <w:t>)</w:t>
      </w:r>
      <w:r w:rsidRPr="002037D2">
        <w:rPr>
          <w:rFonts w:ascii="Lato" w:hAnsi="Lato"/>
          <w:sz w:val="20"/>
          <w:szCs w:val="20"/>
        </w:rPr>
        <w:t xml:space="preserve"> znajduje się w Polsce </w:t>
      </w:r>
      <w:r w:rsidR="00A64EDE">
        <w:rPr>
          <w:rFonts w:ascii="Lato" w:hAnsi="Lato"/>
          <w:sz w:val="20"/>
          <w:szCs w:val="20"/>
        </w:rPr>
        <w:t xml:space="preserve">– 25 % </w:t>
      </w:r>
    </w:p>
    <w:p w14:paraId="6491C5C1" w14:textId="3ABA4EB8" w:rsidR="00F14412" w:rsidRPr="002037D2" w:rsidRDefault="00F14412" w:rsidP="00F14412">
      <w:pPr>
        <w:widowControl w:val="0"/>
        <w:numPr>
          <w:ilvl w:val="0"/>
          <w:numId w:val="22"/>
        </w:numPr>
        <w:spacing w:after="120" w:line="360" w:lineRule="auto"/>
        <w:jc w:val="both"/>
        <w:rPr>
          <w:rFonts w:ascii="Lato" w:hAnsi="Lato"/>
          <w:sz w:val="20"/>
          <w:szCs w:val="20"/>
        </w:rPr>
      </w:pPr>
      <w:r w:rsidRPr="002037D2">
        <w:rPr>
          <w:rFonts w:ascii="Lato" w:hAnsi="Lato"/>
          <w:sz w:val="20"/>
          <w:szCs w:val="20"/>
        </w:rPr>
        <w:t>główny przedmiot działalności przedsiębior</w:t>
      </w:r>
      <w:r w:rsidR="00A64EDE">
        <w:rPr>
          <w:rFonts w:ascii="Lato" w:hAnsi="Lato"/>
          <w:sz w:val="20"/>
          <w:szCs w:val="20"/>
        </w:rPr>
        <w:t>cy</w:t>
      </w:r>
      <w:r w:rsidRPr="002037D2">
        <w:rPr>
          <w:rFonts w:ascii="Lato" w:hAnsi="Lato"/>
          <w:sz w:val="20"/>
          <w:szCs w:val="20"/>
        </w:rPr>
        <w:t xml:space="preserve"> jest wykonywany na terytorium Polski</w:t>
      </w:r>
      <w:r w:rsidR="00A64EDE">
        <w:rPr>
          <w:rFonts w:ascii="Lato" w:hAnsi="Lato"/>
          <w:sz w:val="20"/>
          <w:szCs w:val="20"/>
        </w:rPr>
        <w:t xml:space="preserve"> – 25 %</w:t>
      </w:r>
    </w:p>
    <w:p w14:paraId="289FA61B" w14:textId="6BABEC18" w:rsidR="00A64EDE" w:rsidRPr="002037D2" w:rsidRDefault="00A64EDE" w:rsidP="00A64EDE">
      <w:pPr>
        <w:widowControl w:val="0"/>
        <w:numPr>
          <w:ilvl w:val="0"/>
          <w:numId w:val="22"/>
        </w:numPr>
        <w:spacing w:after="120" w:line="360" w:lineRule="auto"/>
        <w:jc w:val="both"/>
        <w:rPr>
          <w:rFonts w:ascii="Lato" w:hAnsi="Lato"/>
          <w:sz w:val="20"/>
          <w:szCs w:val="20"/>
        </w:rPr>
      </w:pPr>
      <w:r w:rsidRPr="002037D2">
        <w:rPr>
          <w:rFonts w:ascii="Lato" w:hAnsi="Lato"/>
          <w:sz w:val="20"/>
          <w:szCs w:val="20"/>
        </w:rPr>
        <w:t>przedsiębiorc</w:t>
      </w:r>
      <w:r>
        <w:rPr>
          <w:rFonts w:ascii="Lato" w:hAnsi="Lato"/>
          <w:sz w:val="20"/>
          <w:szCs w:val="20"/>
        </w:rPr>
        <w:t>a</w:t>
      </w:r>
      <w:r w:rsidRPr="002037D2">
        <w:rPr>
          <w:rFonts w:ascii="Lato" w:hAnsi="Lato"/>
          <w:sz w:val="20"/>
          <w:szCs w:val="20"/>
        </w:rPr>
        <w:t xml:space="preserve"> posiada rezydencję podatkową w Polsce i odprowadza w Polsce podatek dochodowy</w:t>
      </w:r>
      <w:r>
        <w:rPr>
          <w:rFonts w:ascii="Lato" w:hAnsi="Lato"/>
          <w:sz w:val="20"/>
          <w:szCs w:val="20"/>
        </w:rPr>
        <w:t xml:space="preserve"> – 15 %</w:t>
      </w:r>
    </w:p>
    <w:p w14:paraId="47983158" w14:textId="6D3587F2" w:rsidR="00A64EDE" w:rsidRDefault="00A64EDE" w:rsidP="00F14412">
      <w:pPr>
        <w:widowControl w:val="0"/>
        <w:numPr>
          <w:ilvl w:val="0"/>
          <w:numId w:val="23"/>
        </w:numPr>
        <w:spacing w:after="120" w:line="360" w:lineRule="auto"/>
        <w:jc w:val="both"/>
        <w:rPr>
          <w:rFonts w:ascii="Lato" w:hAnsi="Lato"/>
          <w:sz w:val="20"/>
          <w:szCs w:val="20"/>
        </w:rPr>
      </w:pPr>
      <w:r w:rsidRPr="002037D2">
        <w:rPr>
          <w:rFonts w:ascii="Lato" w:hAnsi="Lato"/>
          <w:sz w:val="20"/>
          <w:szCs w:val="20"/>
        </w:rPr>
        <w:t>ponad 50% pracowników przedsiębiorc</w:t>
      </w:r>
      <w:r>
        <w:rPr>
          <w:rFonts w:ascii="Lato" w:hAnsi="Lato"/>
          <w:sz w:val="20"/>
          <w:szCs w:val="20"/>
        </w:rPr>
        <w:t>y</w:t>
      </w:r>
      <w:r w:rsidRPr="002037D2">
        <w:rPr>
          <w:rFonts w:ascii="Lato" w:hAnsi="Lato"/>
          <w:sz w:val="20"/>
          <w:szCs w:val="20"/>
        </w:rPr>
        <w:t xml:space="preserve"> posiada obywatelstwo polskie lub mieszka w Polsce oraz wykonuje pracę na terytorium Polski i odprowadza w Polsce podatek dochodowy oraz składki na ubezpieczenia społeczne</w:t>
      </w:r>
      <w:r>
        <w:rPr>
          <w:rFonts w:ascii="Lato" w:hAnsi="Lato"/>
          <w:sz w:val="20"/>
          <w:szCs w:val="20"/>
        </w:rPr>
        <w:t xml:space="preserve"> – 15 %</w:t>
      </w:r>
    </w:p>
    <w:p w14:paraId="7D9E6BE2" w14:textId="42686908" w:rsidR="00F14412" w:rsidRPr="002037D2" w:rsidRDefault="00F14412" w:rsidP="00F14412">
      <w:pPr>
        <w:widowControl w:val="0"/>
        <w:numPr>
          <w:ilvl w:val="0"/>
          <w:numId w:val="25"/>
        </w:numPr>
        <w:spacing w:after="120" w:line="360" w:lineRule="auto"/>
        <w:jc w:val="both"/>
        <w:rPr>
          <w:rFonts w:ascii="Lato" w:hAnsi="Lato"/>
          <w:sz w:val="20"/>
          <w:szCs w:val="20"/>
        </w:rPr>
      </w:pPr>
      <w:r w:rsidRPr="002037D2">
        <w:rPr>
          <w:rFonts w:ascii="Lato" w:hAnsi="Lato"/>
          <w:sz w:val="20"/>
          <w:szCs w:val="20"/>
        </w:rPr>
        <w:t>przedsiębior</w:t>
      </w:r>
      <w:r w:rsidR="00A64EDE">
        <w:rPr>
          <w:rFonts w:ascii="Lato" w:hAnsi="Lato"/>
          <w:sz w:val="20"/>
          <w:szCs w:val="20"/>
        </w:rPr>
        <w:t>ca</w:t>
      </w:r>
      <w:r w:rsidRPr="002037D2">
        <w:rPr>
          <w:rFonts w:ascii="Lato" w:hAnsi="Lato"/>
          <w:sz w:val="20"/>
          <w:szCs w:val="20"/>
        </w:rPr>
        <w:t xml:space="preserve"> posiada siedzibę w Polsce (zarejestrowaną w KRS lub </w:t>
      </w:r>
      <w:proofErr w:type="spellStart"/>
      <w:r w:rsidRPr="002037D2">
        <w:rPr>
          <w:rFonts w:ascii="Lato" w:hAnsi="Lato"/>
          <w:sz w:val="20"/>
          <w:szCs w:val="20"/>
        </w:rPr>
        <w:t>CE</w:t>
      </w:r>
      <w:r w:rsidR="00FD5648">
        <w:rPr>
          <w:rFonts w:ascii="Lato" w:hAnsi="Lato"/>
          <w:sz w:val="20"/>
          <w:szCs w:val="20"/>
        </w:rPr>
        <w:t>i</w:t>
      </w:r>
      <w:r w:rsidRPr="002037D2">
        <w:rPr>
          <w:rFonts w:ascii="Lato" w:hAnsi="Lato"/>
          <w:sz w:val="20"/>
          <w:szCs w:val="20"/>
        </w:rPr>
        <w:t>IDG</w:t>
      </w:r>
      <w:proofErr w:type="spellEnd"/>
      <w:r w:rsidRPr="002037D2">
        <w:rPr>
          <w:rFonts w:ascii="Lato" w:hAnsi="Lato"/>
          <w:sz w:val="20"/>
          <w:szCs w:val="20"/>
        </w:rPr>
        <w:t>) oraz prowadzi nieprzerwaną działalność gospodarczą na terytorium Polski od co najmniej 3 lat</w:t>
      </w:r>
      <w:r w:rsidR="00A64EDE">
        <w:rPr>
          <w:rFonts w:ascii="Lato" w:hAnsi="Lato"/>
          <w:sz w:val="20"/>
          <w:szCs w:val="20"/>
        </w:rPr>
        <w:t xml:space="preserve"> – 10 %</w:t>
      </w:r>
    </w:p>
    <w:p w14:paraId="3FF38DF7" w14:textId="77777777" w:rsidR="00A64EDE" w:rsidRPr="002037D2" w:rsidRDefault="00A64EDE" w:rsidP="00A64EDE">
      <w:pPr>
        <w:widowControl w:val="0"/>
        <w:numPr>
          <w:ilvl w:val="0"/>
          <w:numId w:val="25"/>
        </w:numPr>
        <w:spacing w:after="120" w:line="360" w:lineRule="auto"/>
        <w:jc w:val="both"/>
        <w:rPr>
          <w:rFonts w:ascii="Lato" w:hAnsi="Lato"/>
          <w:sz w:val="20"/>
          <w:szCs w:val="20"/>
        </w:rPr>
      </w:pPr>
      <w:r w:rsidRPr="002037D2">
        <w:rPr>
          <w:rFonts w:ascii="Lato" w:hAnsi="Lato"/>
          <w:sz w:val="20"/>
          <w:szCs w:val="20"/>
        </w:rPr>
        <w:t>ponad 50% rocznych obrotów przedsiębiorstwa jest generowanych na terytorium Polski</w:t>
      </w:r>
      <w:r>
        <w:rPr>
          <w:rFonts w:ascii="Lato" w:hAnsi="Lato"/>
          <w:sz w:val="20"/>
          <w:szCs w:val="20"/>
        </w:rPr>
        <w:t xml:space="preserve"> – 10 %</w:t>
      </w:r>
    </w:p>
    <w:p w14:paraId="7540DC03" w14:textId="3AF8928F" w:rsidR="00F14412" w:rsidRPr="002037D2" w:rsidRDefault="00E277EF" w:rsidP="00097032">
      <w:pPr>
        <w:widowControl w:val="0"/>
        <w:spacing w:after="120" w:line="360" w:lineRule="auto"/>
        <w:jc w:val="both"/>
        <w:rPr>
          <w:rFonts w:ascii="Lato" w:hAnsi="Lato"/>
          <w:sz w:val="20"/>
          <w:szCs w:val="20"/>
        </w:rPr>
      </w:pPr>
      <w:r>
        <w:rPr>
          <w:rFonts w:ascii="Lato" w:hAnsi="Lato"/>
          <w:sz w:val="20"/>
          <w:szCs w:val="20"/>
        </w:rPr>
        <w:t>W</w:t>
      </w:r>
      <w:r w:rsidR="00F14412" w:rsidRPr="002037D2">
        <w:rPr>
          <w:rFonts w:ascii="Lato" w:hAnsi="Lato"/>
          <w:sz w:val="20"/>
          <w:szCs w:val="20"/>
        </w:rPr>
        <w:t>agi</w:t>
      </w:r>
      <w:r>
        <w:rPr>
          <w:rFonts w:ascii="Lato" w:hAnsi="Lato"/>
          <w:sz w:val="20"/>
          <w:szCs w:val="20"/>
        </w:rPr>
        <w:t xml:space="preserve"> </w:t>
      </w:r>
      <w:r w:rsidR="00F14412" w:rsidRPr="002037D2">
        <w:rPr>
          <w:rFonts w:ascii="Lato" w:hAnsi="Lato"/>
          <w:sz w:val="20"/>
          <w:szCs w:val="20"/>
        </w:rPr>
        <w:t>sumarycznie dają sumę 1 (100%). W zależności od uzyskanej sumy wag, podmiot otrzymuję ocenę krajowości w skali od 0</w:t>
      </w:r>
      <w:r>
        <w:rPr>
          <w:rFonts w:ascii="Lato" w:hAnsi="Lato"/>
          <w:sz w:val="20"/>
          <w:szCs w:val="20"/>
        </w:rPr>
        <w:t xml:space="preserve"> (0 %)</w:t>
      </w:r>
      <w:r w:rsidR="00F14412" w:rsidRPr="002037D2">
        <w:rPr>
          <w:rFonts w:ascii="Lato" w:hAnsi="Lato"/>
          <w:sz w:val="20"/>
          <w:szCs w:val="20"/>
        </w:rPr>
        <w:t xml:space="preserve"> do 1</w:t>
      </w:r>
      <w:r>
        <w:rPr>
          <w:rFonts w:ascii="Lato" w:hAnsi="Lato"/>
          <w:sz w:val="20"/>
          <w:szCs w:val="20"/>
        </w:rPr>
        <w:t xml:space="preserve"> (100 %)</w:t>
      </w:r>
      <w:r w:rsidR="00F14412" w:rsidRPr="002037D2">
        <w:rPr>
          <w:rFonts w:ascii="Lato" w:hAnsi="Lato"/>
          <w:sz w:val="20"/>
          <w:szCs w:val="20"/>
        </w:rPr>
        <w:t>.</w:t>
      </w:r>
    </w:p>
    <w:p w14:paraId="0C6DF4BA" w14:textId="3A9242FB" w:rsidR="00F74DEB" w:rsidRDefault="00F74DEB" w:rsidP="00097032">
      <w:pPr>
        <w:widowControl w:val="0"/>
        <w:spacing w:after="120" w:line="360" w:lineRule="auto"/>
        <w:jc w:val="both"/>
        <w:rPr>
          <w:rFonts w:ascii="Lato" w:hAnsi="Lato"/>
          <w:sz w:val="20"/>
          <w:szCs w:val="20"/>
        </w:rPr>
      </w:pPr>
    </w:p>
    <w:p w14:paraId="18206051" w14:textId="2D1BC1B1" w:rsidR="00FD5648" w:rsidRDefault="00FD5648" w:rsidP="00097032">
      <w:pPr>
        <w:widowControl w:val="0"/>
        <w:spacing w:after="120" w:line="360" w:lineRule="auto"/>
        <w:jc w:val="both"/>
        <w:rPr>
          <w:rFonts w:ascii="Lato" w:hAnsi="Lato"/>
          <w:sz w:val="20"/>
          <w:szCs w:val="20"/>
        </w:rPr>
      </w:pPr>
    </w:p>
    <w:p w14:paraId="1CE27AF8" w14:textId="77777777" w:rsidR="00FD5648" w:rsidRPr="00054889" w:rsidRDefault="00FD5648" w:rsidP="00097032">
      <w:pPr>
        <w:widowControl w:val="0"/>
        <w:spacing w:after="120" w:line="360" w:lineRule="auto"/>
        <w:jc w:val="both"/>
        <w:rPr>
          <w:rFonts w:ascii="Lato" w:hAnsi="Lato"/>
          <w:sz w:val="20"/>
          <w:szCs w:val="20"/>
        </w:rPr>
      </w:pPr>
    </w:p>
    <w:p w14:paraId="317FEBB0" w14:textId="7E4D1267" w:rsidR="003F4AD2" w:rsidRPr="006C7CC3" w:rsidRDefault="003F4AD2" w:rsidP="00241EEF">
      <w:pPr>
        <w:pStyle w:val="rozdzial"/>
      </w:pPr>
      <w:bookmarkStart w:id="3" w:name="_Toc228873228"/>
      <w:r w:rsidRPr="006C7CC3">
        <w:lastRenderedPageBreak/>
        <w:t>Obszary dobrych praktyk</w:t>
      </w:r>
      <w:bookmarkEnd w:id="3"/>
    </w:p>
    <w:p w14:paraId="24F12075" w14:textId="77777777" w:rsidR="003D1E50" w:rsidRPr="00054889" w:rsidRDefault="003D1E50" w:rsidP="00097032">
      <w:pPr>
        <w:widowControl w:val="0"/>
        <w:spacing w:after="120" w:line="360" w:lineRule="auto"/>
        <w:rPr>
          <w:rFonts w:ascii="Lato" w:hAnsi="Lato"/>
          <w:sz w:val="20"/>
          <w:szCs w:val="20"/>
        </w:rPr>
      </w:pPr>
    </w:p>
    <w:p w14:paraId="10AB6A3F" w14:textId="2CB6FAA4" w:rsidR="00A63F27" w:rsidRDefault="00A63F27" w:rsidP="00241EEF">
      <w:pPr>
        <w:pStyle w:val="podrozdzial"/>
      </w:pPr>
      <w:bookmarkStart w:id="4" w:name="_Toc228873229"/>
      <w:r w:rsidRPr="00054889">
        <w:t xml:space="preserve">PLANOWANIE I </w:t>
      </w:r>
      <w:r w:rsidR="00343BD2" w:rsidRPr="00054889">
        <w:t xml:space="preserve">AKTYWNA </w:t>
      </w:r>
      <w:r w:rsidRPr="00054889">
        <w:t>WSPÓŁPRACA Z RYNKIEM</w:t>
      </w:r>
      <w:bookmarkEnd w:id="4"/>
    </w:p>
    <w:p w14:paraId="55F92E3D" w14:textId="77777777" w:rsidR="00305C48" w:rsidRPr="00305C48" w:rsidRDefault="00305C48" w:rsidP="00305C48">
      <w:pPr>
        <w:widowControl w:val="0"/>
        <w:spacing w:after="120" w:line="360" w:lineRule="auto"/>
        <w:ind w:left="360"/>
        <w:rPr>
          <w:rFonts w:ascii="Lato" w:hAnsi="Lato"/>
          <w:b/>
          <w:bCs/>
          <w:spacing w:val="24"/>
          <w:sz w:val="20"/>
          <w:szCs w:val="20"/>
        </w:rPr>
      </w:pPr>
    </w:p>
    <w:p w14:paraId="1B17A278" w14:textId="2A78E05B" w:rsidR="00A63F27" w:rsidRPr="00054889" w:rsidRDefault="000176D1" w:rsidP="00FD2F03">
      <w:pPr>
        <w:pStyle w:val="NormalnyWeb"/>
        <w:widowControl w:val="0"/>
        <w:numPr>
          <w:ilvl w:val="1"/>
          <w:numId w:val="3"/>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Dla zwiększania udziału</w:t>
      </w:r>
      <w:r w:rsidR="00B968C2" w:rsidRPr="00054889">
        <w:rPr>
          <w:rFonts w:ascii="Lato" w:eastAsiaTheme="minorHAnsi" w:hAnsi="Lato" w:cstheme="minorBidi"/>
          <w:kern w:val="2"/>
          <w:sz w:val="20"/>
          <w:szCs w:val="20"/>
          <w:lang w:eastAsia="en-US"/>
          <w14:ligatures w14:val="standardContextual"/>
        </w:rPr>
        <w:t xml:space="preserve"> komponentu krajowego w kluczowych procesach inwestycyjnych istotne jest</w:t>
      </w:r>
      <w:r w:rsidRPr="00054889">
        <w:rPr>
          <w:rFonts w:ascii="Lato" w:eastAsiaTheme="minorHAnsi" w:hAnsi="Lato" w:cstheme="minorBidi"/>
          <w:kern w:val="2"/>
          <w:sz w:val="20"/>
          <w:szCs w:val="20"/>
          <w:lang w:eastAsia="en-US"/>
          <w14:ligatures w14:val="standardContextual"/>
        </w:rPr>
        <w:t xml:space="preserve"> </w:t>
      </w:r>
      <w:r w:rsidR="00B968C2" w:rsidRPr="00054889">
        <w:rPr>
          <w:rFonts w:ascii="Lato" w:eastAsiaTheme="minorHAnsi" w:hAnsi="Lato" w:cstheme="minorBidi"/>
          <w:kern w:val="2"/>
          <w:sz w:val="20"/>
          <w:szCs w:val="20"/>
          <w:lang w:eastAsia="en-US"/>
          <w14:ligatures w14:val="standardContextual"/>
        </w:rPr>
        <w:t>b</w:t>
      </w:r>
      <w:r w:rsidR="00A63F27" w:rsidRPr="00054889">
        <w:rPr>
          <w:rFonts w:ascii="Lato" w:eastAsiaTheme="minorHAnsi" w:hAnsi="Lato" w:cstheme="minorBidi"/>
          <w:kern w:val="2"/>
          <w:sz w:val="20"/>
          <w:szCs w:val="20"/>
          <w:lang w:eastAsia="en-US"/>
          <w14:ligatures w14:val="standardContextual"/>
        </w:rPr>
        <w:t xml:space="preserve">udowanie </w:t>
      </w:r>
      <w:r w:rsidR="00B968C2" w:rsidRPr="00054889">
        <w:rPr>
          <w:rFonts w:ascii="Lato" w:eastAsiaTheme="minorHAnsi" w:hAnsi="Lato" w:cstheme="minorBidi"/>
          <w:kern w:val="2"/>
          <w:sz w:val="20"/>
          <w:szCs w:val="20"/>
          <w:lang w:eastAsia="en-US"/>
          <w14:ligatures w14:val="standardContextual"/>
        </w:rPr>
        <w:t xml:space="preserve">przez spółki z udziałem Skarbu Państwa </w:t>
      </w:r>
      <w:r w:rsidR="00A63F27" w:rsidRPr="00054889">
        <w:rPr>
          <w:rFonts w:ascii="Lato" w:eastAsiaTheme="minorHAnsi" w:hAnsi="Lato" w:cstheme="minorBidi"/>
          <w:kern w:val="2"/>
          <w:sz w:val="20"/>
          <w:szCs w:val="20"/>
          <w:lang w:eastAsia="en-US"/>
          <w14:ligatures w14:val="standardContextual"/>
        </w:rPr>
        <w:t>przewidywalnego i</w:t>
      </w:r>
      <w:r w:rsidR="000D3C52" w:rsidRPr="00054889">
        <w:rPr>
          <w:rFonts w:ascii="Lato" w:eastAsiaTheme="minorHAnsi" w:hAnsi="Lato" w:cstheme="minorBidi"/>
          <w:kern w:val="2"/>
          <w:sz w:val="20"/>
          <w:szCs w:val="20"/>
          <w:lang w:eastAsia="en-US"/>
          <w14:ligatures w14:val="standardContextual"/>
        </w:rPr>
        <w:t> </w:t>
      </w:r>
      <w:r w:rsidR="00A63F27" w:rsidRPr="00054889">
        <w:rPr>
          <w:rFonts w:ascii="Lato" w:eastAsiaTheme="minorHAnsi" w:hAnsi="Lato" w:cstheme="minorBidi"/>
          <w:kern w:val="2"/>
          <w:sz w:val="20"/>
          <w:szCs w:val="20"/>
          <w:lang w:eastAsia="en-US"/>
          <w14:ligatures w14:val="standardContextual"/>
        </w:rPr>
        <w:t>transparentnego rynku zamówień, które umożliwia</w:t>
      </w:r>
      <w:r w:rsidR="00B968C2" w:rsidRPr="00054889">
        <w:rPr>
          <w:rFonts w:ascii="Lato" w:eastAsiaTheme="minorHAnsi" w:hAnsi="Lato" w:cstheme="minorBidi"/>
          <w:kern w:val="2"/>
          <w:sz w:val="20"/>
          <w:szCs w:val="20"/>
          <w:lang w:eastAsia="en-US"/>
          <w14:ligatures w14:val="standardContextual"/>
        </w:rPr>
        <w:t xml:space="preserve"> ich przyszłym kontrahentom</w:t>
      </w:r>
      <w:r w:rsidR="00A63F27" w:rsidRPr="00054889">
        <w:rPr>
          <w:rFonts w:ascii="Lato" w:eastAsiaTheme="minorHAnsi" w:hAnsi="Lato" w:cstheme="minorBidi"/>
          <w:kern w:val="2"/>
          <w:sz w:val="20"/>
          <w:szCs w:val="20"/>
          <w:lang w:eastAsia="en-US"/>
          <w14:ligatures w14:val="standardContextual"/>
        </w:rPr>
        <w:t xml:space="preserve"> odpowiednie przygotowanie</w:t>
      </w:r>
      <w:r w:rsidR="00B968C2" w:rsidRPr="00054889">
        <w:rPr>
          <w:rFonts w:ascii="Lato" w:eastAsiaTheme="minorHAnsi" w:hAnsi="Lato" w:cstheme="minorBidi"/>
          <w:kern w:val="2"/>
          <w:sz w:val="20"/>
          <w:szCs w:val="20"/>
          <w:lang w:eastAsia="en-US"/>
          <w14:ligatures w14:val="standardContextual"/>
        </w:rPr>
        <w:t xml:space="preserve"> z wyprzedzeniem niezbędnych</w:t>
      </w:r>
      <w:r w:rsidR="00A63F27" w:rsidRPr="00054889">
        <w:rPr>
          <w:rFonts w:ascii="Lato" w:eastAsiaTheme="minorHAnsi" w:hAnsi="Lato" w:cstheme="minorBidi"/>
          <w:kern w:val="2"/>
          <w:sz w:val="20"/>
          <w:szCs w:val="20"/>
          <w:lang w:eastAsia="en-US"/>
          <w14:ligatures w14:val="standardContextual"/>
        </w:rPr>
        <w:t xml:space="preserve"> zasobów, rozwój kompetencji</w:t>
      </w:r>
      <w:r w:rsidR="00B968C2" w:rsidRPr="00054889">
        <w:rPr>
          <w:rFonts w:ascii="Lato" w:eastAsiaTheme="minorHAnsi" w:hAnsi="Lato" w:cstheme="minorBidi"/>
          <w:kern w:val="2"/>
          <w:sz w:val="20"/>
          <w:szCs w:val="20"/>
          <w:lang w:eastAsia="en-US"/>
          <w14:ligatures w14:val="standardContextual"/>
        </w:rPr>
        <w:t xml:space="preserve"> kadrowych i technicznych</w:t>
      </w:r>
      <w:r w:rsidR="00A63F27" w:rsidRPr="00054889">
        <w:rPr>
          <w:rFonts w:ascii="Lato" w:eastAsiaTheme="minorHAnsi" w:hAnsi="Lato" w:cstheme="minorBidi"/>
          <w:kern w:val="2"/>
          <w:sz w:val="20"/>
          <w:szCs w:val="20"/>
          <w:lang w:eastAsia="en-US"/>
          <w14:ligatures w14:val="standardContextual"/>
        </w:rPr>
        <w:t xml:space="preserve"> oraz </w:t>
      </w:r>
      <w:r w:rsidR="00B968C2" w:rsidRPr="00054889">
        <w:rPr>
          <w:rFonts w:ascii="Lato" w:eastAsiaTheme="minorHAnsi" w:hAnsi="Lato" w:cstheme="minorBidi"/>
          <w:kern w:val="2"/>
          <w:sz w:val="20"/>
          <w:szCs w:val="20"/>
          <w:lang w:eastAsia="en-US"/>
          <w14:ligatures w14:val="standardContextual"/>
        </w:rPr>
        <w:t>za</w:t>
      </w:r>
      <w:r w:rsidR="00A63F27" w:rsidRPr="00054889">
        <w:rPr>
          <w:rFonts w:ascii="Lato" w:eastAsiaTheme="minorHAnsi" w:hAnsi="Lato" w:cstheme="minorBidi"/>
          <w:kern w:val="2"/>
          <w:sz w:val="20"/>
          <w:szCs w:val="20"/>
          <w:lang w:eastAsia="en-US"/>
          <w14:ligatures w14:val="standardContextual"/>
        </w:rPr>
        <w:t>planowanie</w:t>
      </w:r>
      <w:r w:rsidR="00B968C2" w:rsidRPr="00054889">
        <w:rPr>
          <w:rFonts w:ascii="Lato" w:eastAsiaTheme="minorHAnsi" w:hAnsi="Lato" w:cstheme="minorBidi"/>
          <w:kern w:val="2"/>
          <w:sz w:val="20"/>
          <w:szCs w:val="20"/>
          <w:lang w:eastAsia="en-US"/>
          <w14:ligatures w14:val="standardContextual"/>
        </w:rPr>
        <w:t xml:space="preserve"> własnych</w:t>
      </w:r>
      <w:r w:rsidR="00A63F27" w:rsidRPr="00054889">
        <w:rPr>
          <w:rFonts w:ascii="Lato" w:eastAsiaTheme="minorHAnsi" w:hAnsi="Lato" w:cstheme="minorBidi"/>
          <w:kern w:val="2"/>
          <w:sz w:val="20"/>
          <w:szCs w:val="20"/>
          <w:lang w:eastAsia="en-US"/>
          <w14:ligatures w14:val="standardContextual"/>
        </w:rPr>
        <w:t xml:space="preserve"> inwestycji. Wczesne i uporządkowane planowanie zamówień ma istotne znaczenie dla zwiększenia konkurencyjności postępowań oraz dla wzmacniania krajowych łańcuchów dostaw.</w:t>
      </w:r>
    </w:p>
    <w:p w14:paraId="72E0849E" w14:textId="1906147F" w:rsidR="00701D3B" w:rsidRPr="00054889" w:rsidRDefault="00A63F27" w:rsidP="00FD2F03">
      <w:pPr>
        <w:pStyle w:val="NormalnyWeb"/>
        <w:widowControl w:val="0"/>
        <w:numPr>
          <w:ilvl w:val="1"/>
          <w:numId w:val="3"/>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Ograniczony dostęp do informacji o planowanych zamówieniach lub ich nagłe uruchamianie</w:t>
      </w:r>
      <w:r w:rsidR="0086308D">
        <w:rPr>
          <w:rFonts w:ascii="Lato" w:eastAsiaTheme="minorHAnsi" w:hAnsi="Lato" w:cstheme="minorBidi"/>
          <w:kern w:val="2"/>
          <w:sz w:val="20"/>
          <w:szCs w:val="20"/>
          <w:lang w:eastAsia="en-US"/>
          <w14:ligatures w14:val="standardContextual"/>
        </w:rPr>
        <w:t xml:space="preserve"> z krótkimi terminami na złożenie ofert</w:t>
      </w:r>
      <w:r w:rsidRPr="00054889">
        <w:rPr>
          <w:rFonts w:ascii="Lato" w:eastAsiaTheme="minorHAnsi" w:hAnsi="Lato" w:cstheme="minorBidi"/>
          <w:kern w:val="2"/>
          <w:sz w:val="20"/>
          <w:szCs w:val="20"/>
          <w:lang w:eastAsia="en-US"/>
          <w14:ligatures w14:val="standardContextual"/>
        </w:rPr>
        <w:t xml:space="preserve"> może ograniczać możliwość udziału podmiotów krajowych, które potrzebują czasu na zabezpieczenie finansowania, rozwój zaplecza technicznego lub nawiązanie</w:t>
      </w:r>
      <w:r w:rsidR="00701D3B"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współpracy z partnerami</w:t>
      </w:r>
      <w:r w:rsidR="0086308D">
        <w:rPr>
          <w:rFonts w:ascii="Lato" w:eastAsiaTheme="minorHAnsi" w:hAnsi="Lato" w:cstheme="minorBidi"/>
          <w:kern w:val="2"/>
          <w:sz w:val="20"/>
          <w:szCs w:val="20"/>
          <w:lang w:eastAsia="en-US"/>
          <w14:ligatures w14:val="standardContextual"/>
        </w:rPr>
        <w:t xml:space="preserve"> lub konsorcjantami</w:t>
      </w:r>
      <w:r w:rsidRPr="00054889">
        <w:rPr>
          <w:rFonts w:ascii="Lato" w:eastAsiaTheme="minorHAnsi" w:hAnsi="Lato" w:cstheme="minorBidi"/>
          <w:kern w:val="2"/>
          <w:sz w:val="20"/>
          <w:szCs w:val="20"/>
          <w:lang w:eastAsia="en-US"/>
          <w14:ligatures w14:val="standardContextual"/>
        </w:rPr>
        <w:t>. Z kolei systematyczna komunikacja z rynkiem sprzyja lepszemu dopasowaniu zakresu</w:t>
      </w:r>
      <w:r w:rsidR="000D3C52" w:rsidRPr="00054889">
        <w:rPr>
          <w:rFonts w:ascii="Lato" w:eastAsiaTheme="minorHAnsi" w:hAnsi="Lato" w:cstheme="minorBidi"/>
          <w:kern w:val="2"/>
          <w:sz w:val="20"/>
          <w:szCs w:val="20"/>
          <w:lang w:eastAsia="en-US"/>
          <w14:ligatures w14:val="standardContextual"/>
        </w:rPr>
        <w:t xml:space="preserve"> danego</w:t>
      </w:r>
      <w:r w:rsidRPr="00054889">
        <w:rPr>
          <w:rFonts w:ascii="Lato" w:eastAsiaTheme="minorHAnsi" w:hAnsi="Lato" w:cstheme="minorBidi"/>
          <w:kern w:val="2"/>
          <w:sz w:val="20"/>
          <w:szCs w:val="20"/>
          <w:lang w:eastAsia="en-US"/>
          <w14:ligatures w14:val="standardContextual"/>
        </w:rPr>
        <w:t xml:space="preserve"> zamówienia do realnych możliwości wykonawców</w:t>
      </w:r>
      <w:r w:rsidR="006C2FA8">
        <w:rPr>
          <w:rFonts w:ascii="Lato" w:eastAsiaTheme="minorHAnsi" w:hAnsi="Lato" w:cstheme="minorBidi"/>
          <w:kern w:val="2"/>
          <w:sz w:val="20"/>
          <w:szCs w:val="20"/>
          <w:lang w:eastAsia="en-US"/>
          <w14:ligatures w14:val="standardContextual"/>
        </w:rPr>
        <w:t>, stwarza możliwości pozyskania większej liczby ofert</w:t>
      </w:r>
      <w:r w:rsidRPr="00054889">
        <w:rPr>
          <w:rFonts w:ascii="Lato" w:eastAsiaTheme="minorHAnsi" w:hAnsi="Lato" w:cstheme="minorBidi"/>
          <w:kern w:val="2"/>
          <w:sz w:val="20"/>
          <w:szCs w:val="20"/>
          <w:lang w:eastAsia="en-US"/>
          <w14:ligatures w14:val="standardContextual"/>
        </w:rPr>
        <w:t xml:space="preserve"> oraz zwiększa efektywność całego procesu</w:t>
      </w:r>
      <w:r w:rsidR="000D3C52" w:rsidRPr="00054889">
        <w:rPr>
          <w:rFonts w:ascii="Lato" w:eastAsiaTheme="minorHAnsi" w:hAnsi="Lato" w:cstheme="minorBidi"/>
          <w:kern w:val="2"/>
          <w:sz w:val="20"/>
          <w:szCs w:val="20"/>
          <w:lang w:eastAsia="en-US"/>
          <w14:ligatures w14:val="standardContextual"/>
        </w:rPr>
        <w:t xml:space="preserve"> zakupowego</w:t>
      </w:r>
      <w:r w:rsidR="00D3438E">
        <w:rPr>
          <w:rFonts w:ascii="Lato" w:eastAsiaTheme="minorHAnsi" w:hAnsi="Lato" w:cstheme="minorBidi"/>
          <w:kern w:val="2"/>
          <w:sz w:val="20"/>
          <w:szCs w:val="20"/>
          <w:lang w:eastAsia="en-US"/>
          <w14:ligatures w14:val="standardContextual"/>
        </w:rPr>
        <w:t>.</w:t>
      </w:r>
    </w:p>
    <w:p w14:paraId="3CC4E930" w14:textId="4AA12B06" w:rsidR="00701D3B" w:rsidRPr="00054889" w:rsidRDefault="00061D73" w:rsidP="00FD2F03">
      <w:pPr>
        <w:pStyle w:val="NormalnyWeb"/>
        <w:widowControl w:val="0"/>
        <w:numPr>
          <w:ilvl w:val="1"/>
          <w:numId w:val="3"/>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Systematyczny d</w:t>
      </w:r>
      <w:r w:rsidR="00A63F27" w:rsidRPr="00054889">
        <w:rPr>
          <w:rFonts w:ascii="Lato" w:eastAsiaTheme="minorHAnsi" w:hAnsi="Lato" w:cstheme="minorBidi"/>
          <w:kern w:val="2"/>
          <w:sz w:val="20"/>
          <w:szCs w:val="20"/>
          <w:lang w:eastAsia="en-US"/>
          <w14:ligatures w14:val="standardContextual"/>
        </w:rPr>
        <w:t>ialog z rynkiem, prowadzony</w:t>
      </w:r>
      <w:r w:rsidR="009B06F9">
        <w:rPr>
          <w:rFonts w:ascii="Lato" w:eastAsiaTheme="minorHAnsi" w:hAnsi="Lato" w:cstheme="minorBidi"/>
          <w:kern w:val="2"/>
          <w:sz w:val="20"/>
          <w:szCs w:val="20"/>
          <w:lang w:eastAsia="en-US"/>
          <w14:ligatures w14:val="standardContextual"/>
        </w:rPr>
        <w:t xml:space="preserve"> przez spółki z udziałem Skarbu Państwa</w:t>
      </w:r>
      <w:r w:rsidR="00A63F27" w:rsidRPr="00054889">
        <w:rPr>
          <w:rFonts w:ascii="Lato" w:eastAsiaTheme="minorHAnsi" w:hAnsi="Lato" w:cstheme="minorBidi"/>
          <w:kern w:val="2"/>
          <w:sz w:val="20"/>
          <w:szCs w:val="20"/>
          <w:lang w:eastAsia="en-US"/>
          <w14:ligatures w14:val="standardContextual"/>
        </w:rPr>
        <w:t xml:space="preserve"> w</w:t>
      </w:r>
      <w:r w:rsidR="0000335F">
        <w:rPr>
          <w:rFonts w:ascii="Lato" w:eastAsiaTheme="minorHAnsi" w:hAnsi="Lato" w:cstheme="minorBidi"/>
          <w:kern w:val="2"/>
          <w:sz w:val="20"/>
          <w:szCs w:val="20"/>
          <w:lang w:eastAsia="en-US"/>
          <w14:ligatures w14:val="standardContextual"/>
        </w:rPr>
        <w:t> </w:t>
      </w:r>
      <w:r w:rsidR="00A63F27" w:rsidRPr="00054889">
        <w:rPr>
          <w:rFonts w:ascii="Lato" w:eastAsiaTheme="minorHAnsi" w:hAnsi="Lato" w:cstheme="minorBidi"/>
          <w:kern w:val="2"/>
          <w:sz w:val="20"/>
          <w:szCs w:val="20"/>
          <w:lang w:eastAsia="en-US"/>
          <w14:ligatures w14:val="standardContextual"/>
        </w:rPr>
        <w:t>sposób przejrzysty i niedyskryminacyjny, pozwala identyfikować dostępne rozwiązania technologiczne, potencjalne ryzyka realizacyjne oraz bariery wejścia, które mogą zostać ograniczone na etapie projektowania postępowania.</w:t>
      </w:r>
      <w:r w:rsidR="00A63F27" w:rsidRPr="00054889">
        <w:rPr>
          <w:rFonts w:ascii="Lato" w:hAnsi="Lato"/>
          <w:sz w:val="20"/>
          <w:szCs w:val="20"/>
        </w:rPr>
        <w:t xml:space="preserve"> W</w:t>
      </w:r>
      <w:r w:rsidR="006C2FA8">
        <w:rPr>
          <w:rFonts w:ascii="Lato" w:hAnsi="Lato"/>
          <w:sz w:val="20"/>
          <w:szCs w:val="20"/>
        </w:rPr>
        <w:t> </w:t>
      </w:r>
      <w:r w:rsidR="00A63F27" w:rsidRPr="00054889">
        <w:rPr>
          <w:rFonts w:ascii="Lato" w:hAnsi="Lato"/>
          <w:sz w:val="20"/>
          <w:szCs w:val="20"/>
        </w:rPr>
        <w:t>efekcie</w:t>
      </w:r>
      <w:r w:rsidR="000D3C52" w:rsidRPr="00054889">
        <w:rPr>
          <w:rFonts w:ascii="Lato" w:hAnsi="Lato"/>
          <w:sz w:val="20"/>
          <w:szCs w:val="20"/>
        </w:rPr>
        <w:t xml:space="preserve"> prowadzenia dialogu</w:t>
      </w:r>
      <w:r w:rsidR="00A63F27" w:rsidRPr="00054889">
        <w:rPr>
          <w:rFonts w:ascii="Lato" w:hAnsi="Lato"/>
          <w:sz w:val="20"/>
          <w:szCs w:val="20"/>
        </w:rPr>
        <w:t xml:space="preserve"> liczba</w:t>
      </w:r>
      <w:r w:rsidR="006C2FA8">
        <w:rPr>
          <w:rFonts w:ascii="Lato" w:hAnsi="Lato"/>
          <w:sz w:val="20"/>
          <w:szCs w:val="20"/>
        </w:rPr>
        <w:t xml:space="preserve"> krajowych</w:t>
      </w:r>
      <w:r w:rsidR="00A63F27" w:rsidRPr="00054889">
        <w:rPr>
          <w:rFonts w:ascii="Lato" w:hAnsi="Lato"/>
          <w:sz w:val="20"/>
          <w:szCs w:val="20"/>
        </w:rPr>
        <w:t xml:space="preserve"> podmiotów zdolnych do realizacji złożonych projektów</w:t>
      </w:r>
      <w:r w:rsidR="000D3C52" w:rsidRPr="00054889">
        <w:rPr>
          <w:rFonts w:ascii="Lato" w:hAnsi="Lato"/>
          <w:sz w:val="20"/>
          <w:szCs w:val="20"/>
        </w:rPr>
        <w:t>, które będą zainteresowane złożeniem konkurencyjnej oferty w ramach danego procesu zakupowego, może wzrosnąć</w:t>
      </w:r>
      <w:r w:rsidR="00A63F27" w:rsidRPr="00054889">
        <w:rPr>
          <w:rFonts w:ascii="Lato" w:hAnsi="Lato"/>
          <w:sz w:val="20"/>
          <w:szCs w:val="20"/>
        </w:rPr>
        <w:t xml:space="preserve">, a </w:t>
      </w:r>
      <w:r w:rsidR="000D3C52" w:rsidRPr="00054889">
        <w:rPr>
          <w:rFonts w:ascii="Lato" w:hAnsi="Lato"/>
          <w:sz w:val="20"/>
          <w:szCs w:val="20"/>
        </w:rPr>
        <w:t xml:space="preserve">w rezultacie </w:t>
      </w:r>
      <w:r w:rsidR="00A63F27" w:rsidRPr="00054889">
        <w:rPr>
          <w:rFonts w:ascii="Lato" w:hAnsi="Lato"/>
          <w:sz w:val="20"/>
          <w:szCs w:val="20"/>
        </w:rPr>
        <w:t xml:space="preserve">krajowy łańcuch dostaw </w:t>
      </w:r>
      <w:r w:rsidR="000D3C52" w:rsidRPr="00054889">
        <w:rPr>
          <w:rFonts w:ascii="Lato" w:hAnsi="Lato"/>
          <w:sz w:val="20"/>
          <w:szCs w:val="20"/>
        </w:rPr>
        <w:t xml:space="preserve">może </w:t>
      </w:r>
      <w:r w:rsidR="006C2FA8">
        <w:rPr>
          <w:rFonts w:ascii="Lato" w:hAnsi="Lato"/>
          <w:sz w:val="20"/>
          <w:szCs w:val="20"/>
        </w:rPr>
        <w:t>stać się</w:t>
      </w:r>
      <w:r w:rsidR="00A63F27" w:rsidRPr="00054889">
        <w:rPr>
          <w:rFonts w:ascii="Lato" w:hAnsi="Lato"/>
          <w:sz w:val="20"/>
          <w:szCs w:val="20"/>
        </w:rPr>
        <w:t xml:space="preserve"> bardziej zintegrowany i odporny na zakłócenia</w:t>
      </w:r>
      <w:r w:rsidR="000D3C52" w:rsidRPr="00054889">
        <w:rPr>
          <w:rFonts w:ascii="Lato" w:hAnsi="Lato"/>
          <w:sz w:val="20"/>
          <w:szCs w:val="20"/>
        </w:rPr>
        <w:t xml:space="preserve"> zewnętrzne</w:t>
      </w:r>
      <w:r w:rsidR="00A63F27" w:rsidRPr="00054889">
        <w:rPr>
          <w:rFonts w:ascii="Lato" w:hAnsi="Lato"/>
          <w:sz w:val="20"/>
          <w:szCs w:val="20"/>
        </w:rPr>
        <w:t>.</w:t>
      </w:r>
    </w:p>
    <w:p w14:paraId="26D19B29" w14:textId="77777777" w:rsidR="00701D3B" w:rsidRPr="00054889" w:rsidRDefault="00A63F27"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Rekomenduje się w szczególności:</w:t>
      </w:r>
    </w:p>
    <w:p w14:paraId="2667C219" w14:textId="18979DA9" w:rsidR="000D3C52" w:rsidRPr="00054889" w:rsidRDefault="000D3C52" w:rsidP="00FD2F03">
      <w:pPr>
        <w:pStyle w:val="NormalnyWeb"/>
        <w:widowControl w:val="0"/>
        <w:numPr>
          <w:ilvl w:val="1"/>
          <w:numId w:val="10"/>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 xml:space="preserve">Opracowanie i wdrożenie </w:t>
      </w:r>
      <w:r w:rsidR="009B06F9">
        <w:rPr>
          <w:rFonts w:ascii="Lato" w:eastAsiaTheme="minorHAnsi" w:hAnsi="Lato" w:cstheme="minorBidi"/>
          <w:b/>
          <w:bCs/>
          <w:kern w:val="2"/>
          <w:sz w:val="20"/>
          <w:szCs w:val="20"/>
          <w:lang w:eastAsia="en-US"/>
          <w14:ligatures w14:val="standardContextual"/>
        </w:rPr>
        <w:t xml:space="preserve">przez spółki z udziałem Skarbu Państwa </w:t>
      </w:r>
      <w:r w:rsidRPr="00054889">
        <w:rPr>
          <w:rFonts w:ascii="Lato" w:eastAsiaTheme="minorHAnsi" w:hAnsi="Lato" w:cstheme="minorBidi"/>
          <w:b/>
          <w:bCs/>
          <w:kern w:val="2"/>
          <w:sz w:val="20"/>
          <w:szCs w:val="20"/>
          <w:lang w:eastAsia="en-US"/>
          <w14:ligatures w14:val="standardContextual"/>
        </w:rPr>
        <w:t>strategii zarządzania dla poszczególnych kategorii zakupowych</w:t>
      </w:r>
      <w:r w:rsidR="00301170" w:rsidRPr="00054889">
        <w:rPr>
          <w:rFonts w:ascii="Lato" w:eastAsiaTheme="minorHAnsi" w:hAnsi="Lato" w:cstheme="minorBidi"/>
          <w:b/>
          <w:bCs/>
          <w:kern w:val="2"/>
          <w:sz w:val="20"/>
          <w:szCs w:val="20"/>
          <w:lang w:eastAsia="en-US"/>
          <w14:ligatures w14:val="standardContextual"/>
        </w:rPr>
        <w:t xml:space="preserve"> na potrzeby kluczowych procesów inwestycyjnych</w:t>
      </w:r>
    </w:p>
    <w:p w14:paraId="399929DC" w14:textId="62A7A90D" w:rsidR="000D3C52" w:rsidRPr="00054889" w:rsidRDefault="009B06F9" w:rsidP="00097032">
      <w:pPr>
        <w:pStyle w:val="NormalnyWeb"/>
        <w:widowControl w:val="0"/>
        <w:spacing w:before="0" w:beforeAutospacing="0" w:after="120" w:afterAutospacing="0" w:line="360" w:lineRule="auto"/>
        <w:ind w:left="993"/>
        <w:jc w:val="both"/>
        <w:rPr>
          <w:rFonts w:ascii="Lato" w:eastAsiaTheme="minorHAnsi" w:hAnsi="Lato" w:cstheme="minorBidi"/>
          <w:bCs/>
          <w:kern w:val="2"/>
          <w:sz w:val="20"/>
          <w:szCs w:val="20"/>
          <w:lang w:eastAsia="en-US"/>
          <w14:ligatures w14:val="standardContextual"/>
        </w:rPr>
      </w:pPr>
      <w:r>
        <w:rPr>
          <w:rFonts w:ascii="Lato" w:eastAsiaTheme="minorHAnsi" w:hAnsi="Lato" w:cstheme="minorBidi"/>
          <w:bCs/>
          <w:kern w:val="2"/>
          <w:sz w:val="20"/>
          <w:szCs w:val="20"/>
          <w:lang w:eastAsia="en-US"/>
          <w14:ligatures w14:val="standardContextual"/>
        </w:rPr>
        <w:t>Proporcjonalnie do skali prowadzonych procesów inwestycyjnych w</w:t>
      </w:r>
      <w:r w:rsidR="009A49F3" w:rsidRPr="00054889">
        <w:rPr>
          <w:rFonts w:ascii="Lato" w:eastAsiaTheme="minorHAnsi" w:hAnsi="Lato" w:cstheme="minorBidi"/>
          <w:bCs/>
          <w:kern w:val="2"/>
          <w:sz w:val="20"/>
          <w:szCs w:val="20"/>
          <w:lang w:eastAsia="en-US"/>
          <w14:ligatures w14:val="standardContextual"/>
        </w:rPr>
        <w:t xml:space="preserve">prowadzenie do wewnętrznego ładu korporacyjnego </w:t>
      </w:r>
      <w:r>
        <w:rPr>
          <w:rFonts w:ascii="Lato" w:eastAsiaTheme="minorHAnsi" w:hAnsi="Lato" w:cstheme="minorBidi"/>
          <w:bCs/>
          <w:kern w:val="2"/>
          <w:sz w:val="20"/>
          <w:szCs w:val="20"/>
          <w:lang w:eastAsia="en-US"/>
          <w14:ligatures w14:val="standardContextual"/>
        </w:rPr>
        <w:t>spółek z udziałem Skarbu Państwa</w:t>
      </w:r>
      <w:r w:rsidR="009A49F3" w:rsidRPr="00054889">
        <w:rPr>
          <w:rFonts w:ascii="Lato" w:eastAsiaTheme="minorHAnsi" w:hAnsi="Lato" w:cstheme="minorBidi"/>
          <w:bCs/>
          <w:kern w:val="2"/>
          <w:sz w:val="20"/>
          <w:szCs w:val="20"/>
          <w:lang w:eastAsia="en-US"/>
          <w14:ligatures w14:val="standardContextual"/>
        </w:rPr>
        <w:t xml:space="preserve"> wymogu w zakresie o</w:t>
      </w:r>
      <w:r w:rsidR="000D3C52" w:rsidRPr="00054889">
        <w:rPr>
          <w:rFonts w:ascii="Lato" w:eastAsiaTheme="minorHAnsi" w:hAnsi="Lato" w:cstheme="minorBidi"/>
          <w:bCs/>
          <w:kern w:val="2"/>
          <w:sz w:val="20"/>
          <w:szCs w:val="20"/>
          <w:lang w:eastAsia="en-US"/>
          <w14:ligatures w14:val="standardContextual"/>
        </w:rPr>
        <w:t>pracowani</w:t>
      </w:r>
      <w:r w:rsidR="009A49F3" w:rsidRPr="00054889">
        <w:rPr>
          <w:rFonts w:ascii="Lato" w:eastAsiaTheme="minorHAnsi" w:hAnsi="Lato" w:cstheme="minorBidi"/>
          <w:bCs/>
          <w:kern w:val="2"/>
          <w:sz w:val="20"/>
          <w:szCs w:val="20"/>
          <w:lang w:eastAsia="en-US"/>
          <w14:ligatures w14:val="standardContextual"/>
        </w:rPr>
        <w:t>a</w:t>
      </w:r>
      <w:r w:rsidR="000D3C52" w:rsidRPr="00054889">
        <w:rPr>
          <w:rFonts w:ascii="Lato" w:eastAsiaTheme="minorHAnsi" w:hAnsi="Lato" w:cstheme="minorBidi"/>
          <w:bCs/>
          <w:kern w:val="2"/>
          <w:sz w:val="20"/>
          <w:szCs w:val="20"/>
          <w:lang w:eastAsia="en-US"/>
          <w14:ligatures w14:val="standardContextual"/>
        </w:rPr>
        <w:t xml:space="preserve"> i wdrożeni</w:t>
      </w:r>
      <w:r w:rsidR="009A49F3" w:rsidRPr="00054889">
        <w:rPr>
          <w:rFonts w:ascii="Lato" w:eastAsiaTheme="minorHAnsi" w:hAnsi="Lato" w:cstheme="minorBidi"/>
          <w:bCs/>
          <w:kern w:val="2"/>
          <w:sz w:val="20"/>
          <w:szCs w:val="20"/>
          <w:lang w:eastAsia="en-US"/>
          <w14:ligatures w14:val="standardContextual"/>
        </w:rPr>
        <w:t>a</w:t>
      </w:r>
      <w:r w:rsidR="000D3C52" w:rsidRPr="00054889">
        <w:rPr>
          <w:rFonts w:ascii="Lato" w:eastAsiaTheme="minorHAnsi" w:hAnsi="Lato" w:cstheme="minorBidi"/>
          <w:bCs/>
          <w:kern w:val="2"/>
          <w:sz w:val="20"/>
          <w:szCs w:val="20"/>
          <w:lang w:eastAsia="en-US"/>
          <w14:ligatures w14:val="standardContextual"/>
        </w:rPr>
        <w:t xml:space="preserve"> </w:t>
      </w:r>
      <w:r w:rsidR="009A49F3" w:rsidRPr="00054889">
        <w:rPr>
          <w:rFonts w:ascii="Lato" w:eastAsiaTheme="minorHAnsi" w:hAnsi="Lato" w:cstheme="minorBidi"/>
          <w:bCs/>
          <w:kern w:val="2"/>
          <w:sz w:val="20"/>
          <w:szCs w:val="20"/>
          <w:lang w:eastAsia="en-US"/>
          <w14:ligatures w14:val="standardContextual"/>
        </w:rPr>
        <w:t xml:space="preserve">do stosowania </w:t>
      </w:r>
      <w:r w:rsidR="000D3C52" w:rsidRPr="00054889">
        <w:rPr>
          <w:rFonts w:ascii="Lato" w:eastAsiaTheme="minorHAnsi" w:hAnsi="Lato" w:cstheme="minorBidi"/>
          <w:bCs/>
          <w:kern w:val="2"/>
          <w:sz w:val="20"/>
          <w:szCs w:val="20"/>
          <w:lang w:eastAsia="en-US"/>
          <w14:ligatures w14:val="standardContextual"/>
        </w:rPr>
        <w:t>strategii zarządzania dla poszczególnych kategorii zakupowych</w:t>
      </w:r>
      <w:r w:rsidR="00301170" w:rsidRPr="00054889">
        <w:rPr>
          <w:rFonts w:ascii="Lato" w:eastAsiaTheme="minorHAnsi" w:hAnsi="Lato" w:cstheme="minorBidi"/>
          <w:bCs/>
          <w:kern w:val="2"/>
          <w:sz w:val="20"/>
          <w:szCs w:val="20"/>
          <w:lang w:eastAsia="en-US"/>
          <w14:ligatures w14:val="standardContextual"/>
        </w:rPr>
        <w:t xml:space="preserve"> na potrzeby kluczowych procesów inwestycyjnych</w:t>
      </w:r>
      <w:r>
        <w:rPr>
          <w:rFonts w:ascii="Lato" w:eastAsiaTheme="minorHAnsi" w:hAnsi="Lato" w:cstheme="minorBidi"/>
          <w:bCs/>
          <w:kern w:val="2"/>
          <w:sz w:val="20"/>
          <w:szCs w:val="20"/>
          <w:lang w:eastAsia="en-US"/>
          <w14:ligatures w14:val="standardContextual"/>
        </w:rPr>
        <w:t xml:space="preserve"> zdefiniowanych przez każdą ze spółek z udziałem Skarbu Państwa</w:t>
      </w:r>
      <w:r w:rsidR="006C2FA8">
        <w:rPr>
          <w:rFonts w:ascii="Lato" w:eastAsiaTheme="minorHAnsi" w:hAnsi="Lato" w:cstheme="minorBidi"/>
          <w:bCs/>
          <w:kern w:val="2"/>
          <w:sz w:val="20"/>
          <w:szCs w:val="20"/>
          <w:lang w:eastAsia="en-US"/>
          <w14:ligatures w14:val="standardContextual"/>
        </w:rPr>
        <w:t>, które to kategorie zostaną</w:t>
      </w:r>
      <w:r w:rsidR="009A49F3" w:rsidRPr="00054889">
        <w:rPr>
          <w:rFonts w:ascii="Lato" w:eastAsiaTheme="minorHAnsi" w:hAnsi="Lato" w:cstheme="minorBidi"/>
          <w:bCs/>
          <w:kern w:val="2"/>
          <w:sz w:val="20"/>
          <w:szCs w:val="20"/>
          <w:lang w:eastAsia="en-US"/>
          <w14:ligatures w14:val="standardContextual"/>
        </w:rPr>
        <w:t xml:space="preserve"> </w:t>
      </w:r>
      <w:r>
        <w:rPr>
          <w:rFonts w:ascii="Lato" w:eastAsiaTheme="minorHAnsi" w:hAnsi="Lato" w:cstheme="minorBidi"/>
          <w:bCs/>
          <w:kern w:val="2"/>
          <w:sz w:val="20"/>
          <w:szCs w:val="20"/>
          <w:lang w:eastAsia="en-US"/>
          <w14:ligatures w14:val="standardContextual"/>
        </w:rPr>
        <w:t>określone</w:t>
      </w:r>
      <w:r w:rsidR="009A49F3" w:rsidRPr="00054889">
        <w:rPr>
          <w:rFonts w:ascii="Lato" w:eastAsiaTheme="minorHAnsi" w:hAnsi="Lato" w:cstheme="minorBidi"/>
          <w:bCs/>
          <w:kern w:val="2"/>
          <w:sz w:val="20"/>
          <w:szCs w:val="20"/>
          <w:lang w:eastAsia="en-US"/>
          <w14:ligatures w14:val="standardContextual"/>
        </w:rPr>
        <w:t xml:space="preserve"> w </w:t>
      </w:r>
      <w:r w:rsidR="006C2FA8">
        <w:rPr>
          <w:rFonts w:ascii="Lato" w:eastAsiaTheme="minorHAnsi" w:hAnsi="Lato" w:cstheme="minorBidi"/>
          <w:bCs/>
          <w:kern w:val="2"/>
          <w:sz w:val="20"/>
          <w:szCs w:val="20"/>
          <w:lang w:eastAsia="en-US"/>
          <w14:ligatures w14:val="standardContextual"/>
        </w:rPr>
        <w:t xml:space="preserve">wewnętrznych </w:t>
      </w:r>
      <w:r w:rsidR="009A49F3" w:rsidRPr="00054889">
        <w:rPr>
          <w:rFonts w:ascii="Lato" w:eastAsiaTheme="minorHAnsi" w:hAnsi="Lato" w:cstheme="minorBidi"/>
          <w:bCs/>
          <w:kern w:val="2"/>
          <w:sz w:val="20"/>
          <w:szCs w:val="20"/>
          <w:lang w:eastAsia="en-US"/>
          <w14:ligatures w14:val="standardContextual"/>
        </w:rPr>
        <w:t xml:space="preserve">regulacjach zakupowych </w:t>
      </w:r>
      <w:r>
        <w:rPr>
          <w:rFonts w:ascii="Lato" w:eastAsiaTheme="minorHAnsi" w:hAnsi="Lato" w:cstheme="minorBidi"/>
          <w:bCs/>
          <w:kern w:val="2"/>
          <w:sz w:val="20"/>
          <w:szCs w:val="20"/>
          <w:lang w:eastAsia="en-US"/>
          <w14:ligatures w14:val="standardContextual"/>
        </w:rPr>
        <w:t>danej spółki z udziałem Skarbu Państwa</w:t>
      </w:r>
      <w:r w:rsidR="009A49F3" w:rsidRPr="00054889">
        <w:rPr>
          <w:rFonts w:ascii="Lato" w:eastAsiaTheme="minorHAnsi" w:hAnsi="Lato" w:cstheme="minorBidi"/>
          <w:bCs/>
          <w:kern w:val="2"/>
          <w:sz w:val="20"/>
          <w:szCs w:val="20"/>
          <w:lang w:eastAsia="en-US"/>
          <w14:ligatures w14:val="standardContextual"/>
        </w:rPr>
        <w:t xml:space="preserve">. Strategia może być sporządzana jako jeden dokument odnoszący się do każdego kluczowego procesu inwestycyjnego realizowanego przez </w:t>
      </w:r>
      <w:r w:rsidRPr="009B06F9">
        <w:rPr>
          <w:rFonts w:ascii="Lato" w:eastAsiaTheme="minorHAnsi" w:hAnsi="Lato" w:cstheme="minorBidi"/>
          <w:bCs/>
          <w:kern w:val="2"/>
          <w:sz w:val="20"/>
          <w:szCs w:val="20"/>
          <w:lang w:eastAsia="en-US"/>
          <w14:ligatures w14:val="standardContextual"/>
        </w:rPr>
        <w:t>spół</w:t>
      </w:r>
      <w:r>
        <w:rPr>
          <w:rFonts w:ascii="Lato" w:eastAsiaTheme="minorHAnsi" w:hAnsi="Lato" w:cstheme="minorBidi"/>
          <w:bCs/>
          <w:kern w:val="2"/>
          <w:sz w:val="20"/>
          <w:szCs w:val="20"/>
          <w:lang w:eastAsia="en-US"/>
          <w14:ligatures w14:val="standardContextual"/>
        </w:rPr>
        <w:t>kę</w:t>
      </w:r>
      <w:r w:rsidRPr="009B06F9">
        <w:rPr>
          <w:rFonts w:ascii="Lato" w:eastAsiaTheme="minorHAnsi" w:hAnsi="Lato" w:cstheme="minorBidi"/>
          <w:bCs/>
          <w:kern w:val="2"/>
          <w:sz w:val="20"/>
          <w:szCs w:val="20"/>
          <w:lang w:eastAsia="en-US"/>
          <w14:ligatures w14:val="standardContextual"/>
        </w:rPr>
        <w:t xml:space="preserve"> z udziałem Skarbu Państwa</w:t>
      </w:r>
      <w:r w:rsidR="009A49F3" w:rsidRPr="00054889">
        <w:rPr>
          <w:rFonts w:ascii="Lato" w:eastAsiaTheme="minorHAnsi" w:hAnsi="Lato" w:cstheme="minorBidi"/>
          <w:bCs/>
          <w:kern w:val="2"/>
          <w:sz w:val="20"/>
          <w:szCs w:val="20"/>
          <w:lang w:eastAsia="en-US"/>
          <w14:ligatures w14:val="standardContextual"/>
        </w:rPr>
        <w:t xml:space="preserve"> lub być każdorazowo </w:t>
      </w:r>
      <w:r w:rsidR="009A49F3" w:rsidRPr="00054889">
        <w:rPr>
          <w:rFonts w:ascii="Lato" w:eastAsiaTheme="minorHAnsi" w:hAnsi="Lato" w:cstheme="minorBidi"/>
          <w:bCs/>
          <w:kern w:val="2"/>
          <w:sz w:val="20"/>
          <w:szCs w:val="20"/>
          <w:lang w:eastAsia="en-US"/>
          <w14:ligatures w14:val="standardContextual"/>
        </w:rPr>
        <w:lastRenderedPageBreak/>
        <w:t xml:space="preserve">tworzona na potrzeby danego specyficznego kluczowego procesu inwestycyjnego. </w:t>
      </w:r>
      <w:r w:rsidR="009A49F3" w:rsidRPr="0034539F">
        <w:rPr>
          <w:rFonts w:ascii="Lato" w:eastAsiaTheme="minorHAnsi" w:hAnsi="Lato" w:cstheme="minorBidi"/>
          <w:bCs/>
          <w:kern w:val="2"/>
          <w:sz w:val="20"/>
          <w:szCs w:val="20"/>
          <w:lang w:eastAsia="en-US"/>
          <w14:ligatures w14:val="standardContextual"/>
        </w:rPr>
        <w:t xml:space="preserve">Taki dokument lub dokumenty w zależności </w:t>
      </w:r>
      <w:r w:rsidR="00CA4152" w:rsidRPr="0034539F">
        <w:rPr>
          <w:rFonts w:ascii="Lato" w:eastAsiaTheme="minorHAnsi" w:hAnsi="Lato" w:cstheme="minorBidi"/>
          <w:bCs/>
          <w:kern w:val="2"/>
          <w:sz w:val="20"/>
          <w:szCs w:val="20"/>
          <w:lang w:eastAsia="en-US"/>
          <w14:ligatures w14:val="standardContextual"/>
        </w:rPr>
        <w:t xml:space="preserve">od </w:t>
      </w:r>
      <w:r w:rsidR="009A49F3" w:rsidRPr="0034539F">
        <w:rPr>
          <w:rFonts w:ascii="Lato" w:eastAsiaTheme="minorHAnsi" w:hAnsi="Lato" w:cstheme="minorBidi"/>
          <w:bCs/>
          <w:kern w:val="2"/>
          <w:sz w:val="20"/>
          <w:szCs w:val="20"/>
          <w:lang w:eastAsia="en-US"/>
          <w14:ligatures w14:val="standardContextual"/>
        </w:rPr>
        <w:t xml:space="preserve">przyjętego wariantu </w:t>
      </w:r>
      <w:r w:rsidR="00301170" w:rsidRPr="0034539F">
        <w:rPr>
          <w:rFonts w:ascii="Lato" w:eastAsiaTheme="minorHAnsi" w:hAnsi="Lato" w:cstheme="minorBidi"/>
          <w:bCs/>
          <w:kern w:val="2"/>
          <w:sz w:val="20"/>
          <w:szCs w:val="20"/>
          <w:lang w:eastAsia="en-US"/>
          <w14:ligatures w14:val="standardContextual"/>
        </w:rPr>
        <w:t>będzie sprzyj</w:t>
      </w:r>
      <w:r w:rsidR="009A49F3" w:rsidRPr="0034539F">
        <w:rPr>
          <w:rFonts w:ascii="Lato" w:eastAsiaTheme="minorHAnsi" w:hAnsi="Lato" w:cstheme="minorBidi"/>
          <w:bCs/>
          <w:kern w:val="2"/>
          <w:sz w:val="20"/>
          <w:szCs w:val="20"/>
          <w:lang w:eastAsia="en-US"/>
          <w14:ligatures w14:val="standardContextual"/>
        </w:rPr>
        <w:t>ać</w:t>
      </w:r>
      <w:r w:rsidR="000D3C52" w:rsidRPr="0034539F">
        <w:rPr>
          <w:rFonts w:ascii="Lato" w:eastAsiaTheme="minorHAnsi" w:hAnsi="Lato" w:cstheme="minorBidi"/>
          <w:bCs/>
          <w:kern w:val="2"/>
          <w:sz w:val="20"/>
          <w:szCs w:val="20"/>
          <w:lang w:eastAsia="en-US"/>
          <w14:ligatures w14:val="standardContextual"/>
        </w:rPr>
        <w:t xml:space="preserve"> efektywniejsz</w:t>
      </w:r>
      <w:r w:rsidR="00301170" w:rsidRPr="0034539F">
        <w:rPr>
          <w:rFonts w:ascii="Lato" w:eastAsiaTheme="minorHAnsi" w:hAnsi="Lato" w:cstheme="minorBidi"/>
          <w:bCs/>
          <w:kern w:val="2"/>
          <w:sz w:val="20"/>
          <w:szCs w:val="20"/>
          <w:lang w:eastAsia="en-US"/>
          <w14:ligatures w14:val="standardContextual"/>
        </w:rPr>
        <w:t>emu</w:t>
      </w:r>
      <w:r w:rsidR="000D3C52" w:rsidRPr="0034539F">
        <w:rPr>
          <w:rFonts w:ascii="Lato" w:eastAsiaTheme="minorHAnsi" w:hAnsi="Lato" w:cstheme="minorBidi"/>
          <w:bCs/>
          <w:kern w:val="2"/>
          <w:sz w:val="20"/>
          <w:szCs w:val="20"/>
          <w:lang w:eastAsia="en-US"/>
          <w14:ligatures w14:val="standardContextual"/>
        </w:rPr>
        <w:t xml:space="preserve"> przygotow</w:t>
      </w:r>
      <w:r w:rsidR="00301170" w:rsidRPr="0034539F">
        <w:rPr>
          <w:rFonts w:ascii="Lato" w:eastAsiaTheme="minorHAnsi" w:hAnsi="Lato" w:cstheme="minorBidi"/>
          <w:bCs/>
          <w:kern w:val="2"/>
          <w:sz w:val="20"/>
          <w:szCs w:val="20"/>
          <w:lang w:eastAsia="en-US"/>
          <w14:ligatures w14:val="standardContextual"/>
        </w:rPr>
        <w:t>aniu</w:t>
      </w:r>
      <w:r w:rsidR="000D3C52" w:rsidRPr="0034539F">
        <w:rPr>
          <w:rFonts w:ascii="Lato" w:eastAsiaTheme="minorHAnsi" w:hAnsi="Lato" w:cstheme="minorBidi"/>
          <w:bCs/>
          <w:kern w:val="2"/>
          <w:sz w:val="20"/>
          <w:szCs w:val="20"/>
          <w:lang w:eastAsia="en-US"/>
          <w14:ligatures w14:val="standardContextual"/>
        </w:rPr>
        <w:t xml:space="preserve"> postępowań zakupowych</w:t>
      </w:r>
      <w:r w:rsidR="00301170" w:rsidRPr="0034539F">
        <w:rPr>
          <w:rFonts w:ascii="Lato" w:eastAsiaTheme="minorHAnsi" w:hAnsi="Lato" w:cstheme="minorBidi"/>
          <w:bCs/>
          <w:kern w:val="2"/>
          <w:sz w:val="20"/>
          <w:szCs w:val="20"/>
          <w:lang w:eastAsia="en-US"/>
          <w14:ligatures w14:val="standardContextual"/>
        </w:rPr>
        <w:t xml:space="preserve"> w ramach planowanej inwestycji</w:t>
      </w:r>
      <w:r w:rsidR="009A49F3" w:rsidRPr="0034539F">
        <w:rPr>
          <w:rFonts w:ascii="Lato" w:eastAsiaTheme="minorHAnsi" w:hAnsi="Lato" w:cstheme="minorBidi"/>
          <w:bCs/>
          <w:kern w:val="2"/>
          <w:sz w:val="20"/>
          <w:szCs w:val="20"/>
          <w:lang w:eastAsia="en-US"/>
          <w14:ligatures w14:val="standardContextual"/>
        </w:rPr>
        <w:t>.</w:t>
      </w:r>
      <w:r w:rsidR="009A49F3" w:rsidRPr="00054889">
        <w:rPr>
          <w:rFonts w:ascii="Lato" w:eastAsiaTheme="minorHAnsi" w:hAnsi="Lato" w:cstheme="minorBidi"/>
          <w:bCs/>
          <w:kern w:val="2"/>
          <w:sz w:val="20"/>
          <w:szCs w:val="20"/>
          <w:lang w:eastAsia="en-US"/>
          <w14:ligatures w14:val="standardContextual"/>
        </w:rPr>
        <w:t xml:space="preserve"> Może m</w:t>
      </w:r>
      <w:r w:rsidR="00301170" w:rsidRPr="00054889">
        <w:rPr>
          <w:rFonts w:ascii="Lato" w:eastAsiaTheme="minorHAnsi" w:hAnsi="Lato" w:cstheme="minorBidi"/>
          <w:bCs/>
          <w:kern w:val="2"/>
          <w:sz w:val="20"/>
          <w:szCs w:val="20"/>
          <w:lang w:eastAsia="en-US"/>
          <w14:ligatures w14:val="standardContextual"/>
        </w:rPr>
        <w:t>.in.</w:t>
      </w:r>
      <w:r w:rsidR="000D3C52" w:rsidRPr="00054889">
        <w:rPr>
          <w:rFonts w:ascii="Lato" w:eastAsiaTheme="minorHAnsi" w:hAnsi="Lato" w:cstheme="minorBidi"/>
          <w:bCs/>
          <w:kern w:val="2"/>
          <w:sz w:val="20"/>
          <w:szCs w:val="20"/>
          <w:lang w:eastAsia="en-US"/>
          <w14:ligatures w14:val="standardContextual"/>
        </w:rPr>
        <w:t xml:space="preserve"> określ</w:t>
      </w:r>
      <w:r w:rsidR="009A49F3" w:rsidRPr="00054889">
        <w:rPr>
          <w:rFonts w:ascii="Lato" w:eastAsiaTheme="minorHAnsi" w:hAnsi="Lato" w:cstheme="minorBidi"/>
          <w:bCs/>
          <w:kern w:val="2"/>
          <w:sz w:val="20"/>
          <w:szCs w:val="20"/>
          <w:lang w:eastAsia="en-US"/>
          <w14:ligatures w14:val="standardContextual"/>
        </w:rPr>
        <w:t>ać</w:t>
      </w:r>
      <w:r w:rsidR="000D3C52" w:rsidRPr="00054889">
        <w:rPr>
          <w:rFonts w:ascii="Lato" w:eastAsiaTheme="minorHAnsi" w:hAnsi="Lato" w:cstheme="minorBidi"/>
          <w:bCs/>
          <w:kern w:val="2"/>
          <w:sz w:val="20"/>
          <w:szCs w:val="20"/>
          <w:lang w:eastAsia="en-US"/>
          <w14:ligatures w14:val="standardContextual"/>
        </w:rPr>
        <w:t xml:space="preserve"> wytyczn</w:t>
      </w:r>
      <w:r w:rsidR="009A49F3" w:rsidRPr="00054889">
        <w:rPr>
          <w:rFonts w:ascii="Lato" w:eastAsiaTheme="minorHAnsi" w:hAnsi="Lato" w:cstheme="minorBidi"/>
          <w:bCs/>
          <w:kern w:val="2"/>
          <w:sz w:val="20"/>
          <w:szCs w:val="20"/>
          <w:lang w:eastAsia="en-US"/>
          <w14:ligatures w14:val="standardContextual"/>
        </w:rPr>
        <w:t>e</w:t>
      </w:r>
      <w:r w:rsidR="000D3C52" w:rsidRPr="00054889">
        <w:rPr>
          <w:rFonts w:ascii="Lato" w:eastAsiaTheme="minorHAnsi" w:hAnsi="Lato" w:cstheme="minorBidi"/>
          <w:bCs/>
          <w:kern w:val="2"/>
          <w:sz w:val="20"/>
          <w:szCs w:val="20"/>
          <w:lang w:eastAsia="en-US"/>
          <w14:ligatures w14:val="standardContextual"/>
        </w:rPr>
        <w:t xml:space="preserve"> w zakresie stosowania określonego rodzaju kryteriów </w:t>
      </w:r>
      <w:proofErr w:type="spellStart"/>
      <w:r w:rsidR="000D3C52" w:rsidRPr="00054889">
        <w:rPr>
          <w:rFonts w:ascii="Lato" w:eastAsiaTheme="minorHAnsi" w:hAnsi="Lato" w:cstheme="minorBidi"/>
          <w:bCs/>
          <w:kern w:val="2"/>
          <w:sz w:val="20"/>
          <w:szCs w:val="20"/>
          <w:lang w:eastAsia="en-US"/>
          <w14:ligatures w14:val="standardContextual"/>
        </w:rPr>
        <w:t>niecenowych</w:t>
      </w:r>
      <w:proofErr w:type="spellEnd"/>
      <w:r w:rsidR="000D3C52" w:rsidRPr="00054889">
        <w:rPr>
          <w:rFonts w:ascii="Lato" w:eastAsiaTheme="minorHAnsi" w:hAnsi="Lato" w:cstheme="minorBidi"/>
          <w:bCs/>
          <w:kern w:val="2"/>
          <w:sz w:val="20"/>
          <w:szCs w:val="20"/>
          <w:lang w:eastAsia="en-US"/>
          <w14:ligatures w14:val="standardContextual"/>
        </w:rPr>
        <w:t>, uwzględniania kosztów cyklu życia</w:t>
      </w:r>
      <w:r w:rsidR="00301170" w:rsidRPr="00054889">
        <w:rPr>
          <w:rFonts w:ascii="Lato" w:eastAsiaTheme="minorHAnsi" w:hAnsi="Lato" w:cstheme="minorBidi"/>
          <w:bCs/>
          <w:kern w:val="2"/>
          <w:sz w:val="20"/>
          <w:szCs w:val="20"/>
          <w:lang w:eastAsia="en-US"/>
          <w14:ligatures w14:val="standardContextual"/>
        </w:rPr>
        <w:t xml:space="preserve"> przy zakupie określonych komponentów czy </w:t>
      </w:r>
      <w:r w:rsidR="009A49F3" w:rsidRPr="00054889">
        <w:rPr>
          <w:rFonts w:ascii="Lato" w:eastAsiaTheme="minorHAnsi" w:hAnsi="Lato" w:cstheme="minorBidi"/>
          <w:bCs/>
          <w:kern w:val="2"/>
          <w:sz w:val="20"/>
          <w:szCs w:val="20"/>
          <w:lang w:eastAsia="en-US"/>
          <w14:ligatures w14:val="standardContextual"/>
        </w:rPr>
        <w:t xml:space="preserve">obejmować </w:t>
      </w:r>
      <w:r w:rsidR="00301170" w:rsidRPr="00054889">
        <w:rPr>
          <w:rFonts w:ascii="Lato" w:eastAsiaTheme="minorHAnsi" w:hAnsi="Lato" w:cstheme="minorBidi"/>
          <w:bCs/>
          <w:kern w:val="2"/>
          <w:sz w:val="20"/>
          <w:szCs w:val="20"/>
          <w:lang w:eastAsia="en-US"/>
          <w14:ligatures w14:val="standardContextual"/>
        </w:rPr>
        <w:t>rekomendacj</w:t>
      </w:r>
      <w:r w:rsidR="009A49F3" w:rsidRPr="00054889">
        <w:rPr>
          <w:rFonts w:ascii="Lato" w:eastAsiaTheme="minorHAnsi" w:hAnsi="Lato" w:cstheme="minorBidi"/>
          <w:bCs/>
          <w:kern w:val="2"/>
          <w:sz w:val="20"/>
          <w:szCs w:val="20"/>
          <w:lang w:eastAsia="en-US"/>
          <w14:ligatures w14:val="standardContextual"/>
        </w:rPr>
        <w:t>e</w:t>
      </w:r>
      <w:r w:rsidR="00301170" w:rsidRPr="00054889">
        <w:rPr>
          <w:rFonts w:ascii="Lato" w:eastAsiaTheme="minorHAnsi" w:hAnsi="Lato" w:cstheme="minorBidi"/>
          <w:bCs/>
          <w:kern w:val="2"/>
          <w:sz w:val="20"/>
          <w:szCs w:val="20"/>
          <w:lang w:eastAsia="en-US"/>
          <w14:ligatures w14:val="standardContextual"/>
        </w:rPr>
        <w:t xml:space="preserve"> w zakresie trybu postępowania przy realizacji danej inwestycji. </w:t>
      </w:r>
      <w:r w:rsidR="009A49F3" w:rsidRPr="00054889">
        <w:rPr>
          <w:rFonts w:ascii="Lato" w:eastAsiaTheme="minorHAnsi" w:hAnsi="Lato" w:cstheme="minorBidi"/>
          <w:bCs/>
          <w:kern w:val="2"/>
          <w:sz w:val="20"/>
          <w:szCs w:val="20"/>
          <w:lang w:eastAsia="en-US"/>
          <w14:ligatures w14:val="standardContextual"/>
        </w:rPr>
        <w:t xml:space="preserve">Strategia powinna być zwięzłym i </w:t>
      </w:r>
      <w:r w:rsidR="00400A42" w:rsidRPr="00054889">
        <w:rPr>
          <w:rFonts w:ascii="Lato" w:eastAsiaTheme="minorHAnsi" w:hAnsi="Lato" w:cstheme="minorBidi"/>
          <w:bCs/>
          <w:kern w:val="2"/>
          <w:sz w:val="20"/>
          <w:szCs w:val="20"/>
          <w:lang w:eastAsia="en-US"/>
          <w14:ligatures w14:val="standardContextual"/>
        </w:rPr>
        <w:t xml:space="preserve">możliwie </w:t>
      </w:r>
      <w:r w:rsidR="009A49F3" w:rsidRPr="00054889">
        <w:rPr>
          <w:rFonts w:ascii="Lato" w:eastAsiaTheme="minorHAnsi" w:hAnsi="Lato" w:cstheme="minorBidi"/>
          <w:bCs/>
          <w:kern w:val="2"/>
          <w:sz w:val="20"/>
          <w:szCs w:val="20"/>
          <w:lang w:eastAsia="en-US"/>
          <w14:ligatures w14:val="standardContextual"/>
        </w:rPr>
        <w:t>konkretnym dokumentem kierunkowym.</w:t>
      </w:r>
      <w:r w:rsidR="00D3438E">
        <w:rPr>
          <w:rFonts w:ascii="Lato" w:eastAsiaTheme="minorHAnsi" w:hAnsi="Lato" w:cstheme="minorBidi"/>
          <w:bCs/>
          <w:kern w:val="2"/>
          <w:sz w:val="20"/>
          <w:szCs w:val="20"/>
          <w:lang w:eastAsia="en-US"/>
          <w14:ligatures w14:val="standardContextual"/>
        </w:rPr>
        <w:t xml:space="preserve"> </w:t>
      </w:r>
    </w:p>
    <w:p w14:paraId="783AAD3B" w14:textId="2C486AF4" w:rsidR="0026774E" w:rsidRPr="00054889" w:rsidRDefault="0026774E" w:rsidP="00097032">
      <w:pPr>
        <w:pStyle w:val="NormalnyWeb"/>
        <w:widowControl w:val="0"/>
        <w:spacing w:before="0" w:beforeAutospacing="0" w:after="120" w:afterAutospacing="0" w:line="360" w:lineRule="auto"/>
        <w:ind w:left="993"/>
        <w:jc w:val="both"/>
        <w:rPr>
          <w:rFonts w:ascii="Lato" w:hAnsi="Lato"/>
          <w:bCs/>
          <w:sz w:val="20"/>
          <w:szCs w:val="20"/>
        </w:rPr>
      </w:pPr>
      <w:r w:rsidRPr="00054889">
        <w:rPr>
          <w:rFonts w:ascii="Lato" w:hAnsi="Lato"/>
          <w:bCs/>
          <w:sz w:val="20"/>
          <w:szCs w:val="20"/>
        </w:rPr>
        <w:t xml:space="preserve">Dokument powinien określać, dla jakich elementów zamówienia </w:t>
      </w:r>
      <w:r w:rsidR="009B06F9">
        <w:rPr>
          <w:rFonts w:ascii="Lato" w:hAnsi="Lato"/>
          <w:bCs/>
          <w:sz w:val="20"/>
          <w:szCs w:val="20"/>
        </w:rPr>
        <w:t>warto</w:t>
      </w:r>
      <w:r w:rsidRPr="00054889">
        <w:rPr>
          <w:rFonts w:ascii="Lato" w:hAnsi="Lato"/>
          <w:bCs/>
          <w:sz w:val="20"/>
          <w:szCs w:val="20"/>
        </w:rPr>
        <w:t xml:space="preserve"> </w:t>
      </w:r>
      <w:r w:rsidR="00CD1D94">
        <w:rPr>
          <w:rFonts w:ascii="Lato" w:hAnsi="Lato"/>
          <w:bCs/>
          <w:sz w:val="20"/>
          <w:szCs w:val="20"/>
        </w:rPr>
        <w:t xml:space="preserve">podjąć wysiłek </w:t>
      </w:r>
      <w:r w:rsidR="00061D73">
        <w:rPr>
          <w:rFonts w:ascii="Lato" w:hAnsi="Lato"/>
          <w:bCs/>
          <w:sz w:val="20"/>
          <w:szCs w:val="20"/>
        </w:rPr>
        <w:t>identyfikacji i zachęcenia do złożenia ofert przez</w:t>
      </w:r>
      <w:r w:rsidRPr="00054889">
        <w:rPr>
          <w:rFonts w:ascii="Lato" w:hAnsi="Lato"/>
          <w:bCs/>
          <w:sz w:val="20"/>
          <w:szCs w:val="20"/>
        </w:rPr>
        <w:t xml:space="preserve"> krajowych wykonawców lub podwykonawców, biorąc pod uwagę dostępność technologii, kompetencji oraz potencjał rozwojowy sektora. Strategia może zawierać zalecenia dotyczące optymalnych struktur konsorcjów, w tym rozsądnego balansowania między zaangażowaniem międzynarodowych ekspertów</w:t>
      </w:r>
      <w:r w:rsidR="009B06F9">
        <w:rPr>
          <w:rFonts w:ascii="Lato" w:hAnsi="Lato"/>
          <w:bCs/>
          <w:sz w:val="20"/>
          <w:szCs w:val="20"/>
        </w:rPr>
        <w:t>,</w:t>
      </w:r>
      <w:r w:rsidRPr="00054889">
        <w:rPr>
          <w:rFonts w:ascii="Lato" w:hAnsi="Lato"/>
          <w:bCs/>
          <w:sz w:val="20"/>
          <w:szCs w:val="20"/>
        </w:rPr>
        <w:t xml:space="preserve"> a krajowymi zasobami, w celu zapewnienia transferu wiedzy i umiejętności.</w:t>
      </w:r>
    </w:p>
    <w:p w14:paraId="47EEECB2" w14:textId="7F9EC269" w:rsidR="004101F1" w:rsidRPr="004101F1" w:rsidRDefault="0026774E" w:rsidP="004101F1">
      <w:pPr>
        <w:pStyle w:val="NormalnyWeb"/>
        <w:widowControl w:val="0"/>
        <w:spacing w:before="0" w:beforeAutospacing="0" w:after="120" w:afterAutospacing="0" w:line="360" w:lineRule="auto"/>
        <w:ind w:left="993"/>
        <w:jc w:val="both"/>
        <w:rPr>
          <w:rFonts w:ascii="Lato" w:hAnsi="Lato"/>
          <w:bCs/>
          <w:sz w:val="20"/>
          <w:szCs w:val="20"/>
        </w:rPr>
      </w:pPr>
      <w:r w:rsidRPr="00054889">
        <w:rPr>
          <w:rFonts w:ascii="Lato" w:hAnsi="Lato"/>
          <w:bCs/>
          <w:sz w:val="20"/>
          <w:szCs w:val="20"/>
        </w:rPr>
        <w:t xml:space="preserve">Dodatkowo, strategia powinna uwzględniać </w:t>
      </w:r>
      <w:r w:rsidR="007D4CC1">
        <w:rPr>
          <w:rFonts w:ascii="Lato" w:hAnsi="Lato"/>
          <w:bCs/>
          <w:sz w:val="20"/>
          <w:szCs w:val="20"/>
        </w:rPr>
        <w:t>kompleksowe</w:t>
      </w:r>
      <w:r w:rsidRPr="00054889">
        <w:rPr>
          <w:rFonts w:ascii="Lato" w:hAnsi="Lato"/>
          <w:bCs/>
          <w:sz w:val="20"/>
          <w:szCs w:val="20"/>
        </w:rPr>
        <w:t xml:space="preserve"> spojrzenie na cykl życia </w:t>
      </w:r>
      <w:r w:rsidR="00061D73">
        <w:rPr>
          <w:rFonts w:ascii="Lato" w:hAnsi="Lato"/>
          <w:bCs/>
          <w:sz w:val="20"/>
          <w:szCs w:val="20"/>
        </w:rPr>
        <w:t xml:space="preserve">przedmiotu </w:t>
      </w:r>
      <w:r w:rsidRPr="00054889">
        <w:rPr>
          <w:rFonts w:ascii="Lato" w:hAnsi="Lato"/>
          <w:bCs/>
          <w:sz w:val="20"/>
          <w:szCs w:val="20"/>
        </w:rPr>
        <w:t xml:space="preserve">zamówienia. </w:t>
      </w:r>
      <w:r w:rsidR="004101F1" w:rsidRPr="004101F1">
        <w:rPr>
          <w:rFonts w:ascii="Lato" w:hAnsi="Lato"/>
          <w:bCs/>
          <w:sz w:val="20"/>
          <w:szCs w:val="20"/>
        </w:rPr>
        <w:t xml:space="preserve">Oznacza to, że przy podejmowaniu decyzji o doborze kryteriów (ich wag lub innych wskaźników) wyboru wykonawcy i formułowaniu treści praw i obowiązków zawartych w umowie, która zostanie zawarta ze zwycięskim oferentem, Spółka powinna brać pod uwagę nie tylko fazy projektowania i implementacji, ale również fazy eksploatacji, utrzymania i ewentualnej modernizacji oraz wynikające z tego koszty i ryzyka w długim horyzoncie czasowym. Takie podejście zachęca do formułowania ofert, w których aktywne zaangażowanie potencjału przemysłowego i usługowego zlokalizowanego na terytorium Polski jest zaplanowane nie tylko na etapie realizacji, ale również na etapie post-implementacyjnym. </w:t>
      </w:r>
      <w:r w:rsidR="00D656DB">
        <w:rPr>
          <w:rFonts w:ascii="Lato" w:hAnsi="Lato"/>
          <w:bCs/>
          <w:sz w:val="20"/>
          <w:szCs w:val="20"/>
        </w:rPr>
        <w:t xml:space="preserve">Repolonizacja </w:t>
      </w:r>
      <w:r w:rsidR="00D55C5E">
        <w:rPr>
          <w:rFonts w:ascii="Lato" w:hAnsi="Lato"/>
          <w:bCs/>
          <w:sz w:val="20"/>
          <w:szCs w:val="20"/>
        </w:rPr>
        <w:t>realizacji</w:t>
      </w:r>
      <w:r w:rsidR="00D656DB">
        <w:rPr>
          <w:rFonts w:ascii="Lato" w:hAnsi="Lato"/>
          <w:bCs/>
          <w:sz w:val="20"/>
          <w:szCs w:val="20"/>
        </w:rPr>
        <w:t xml:space="preserve"> inwestycji s</w:t>
      </w:r>
      <w:r w:rsidR="004101F1" w:rsidRPr="004101F1">
        <w:rPr>
          <w:rFonts w:ascii="Lato" w:hAnsi="Lato"/>
          <w:bCs/>
          <w:sz w:val="20"/>
          <w:szCs w:val="20"/>
        </w:rPr>
        <w:t>przyja budowaniu długoterminowych zdolności przemysłowych i</w:t>
      </w:r>
      <w:r w:rsidR="0000335F">
        <w:rPr>
          <w:rFonts w:ascii="Lato" w:hAnsi="Lato"/>
          <w:bCs/>
          <w:sz w:val="20"/>
          <w:szCs w:val="20"/>
        </w:rPr>
        <w:t> </w:t>
      </w:r>
      <w:r w:rsidR="004101F1" w:rsidRPr="004101F1">
        <w:rPr>
          <w:rFonts w:ascii="Lato" w:hAnsi="Lato"/>
          <w:bCs/>
          <w:sz w:val="20"/>
          <w:szCs w:val="20"/>
        </w:rPr>
        <w:t>usługowych w kraju.</w:t>
      </w:r>
    </w:p>
    <w:p w14:paraId="7B47A945" w14:textId="1673C4F0" w:rsidR="0026774E" w:rsidRPr="00054889" w:rsidRDefault="0026774E" w:rsidP="00097032">
      <w:pPr>
        <w:pStyle w:val="NormalnyWeb"/>
        <w:widowControl w:val="0"/>
        <w:spacing w:before="0" w:beforeAutospacing="0" w:after="120" w:afterAutospacing="0" w:line="360" w:lineRule="auto"/>
        <w:ind w:left="993"/>
        <w:jc w:val="both"/>
        <w:rPr>
          <w:rFonts w:ascii="Lato" w:hAnsi="Lato"/>
          <w:bCs/>
          <w:sz w:val="20"/>
          <w:szCs w:val="20"/>
        </w:rPr>
      </w:pPr>
      <w:r w:rsidRPr="00054889">
        <w:rPr>
          <w:rFonts w:ascii="Lato" w:hAnsi="Lato"/>
          <w:bCs/>
          <w:sz w:val="20"/>
          <w:szCs w:val="20"/>
        </w:rPr>
        <w:t>Strategia powinna być opracowywana we współpracy z zespołami operacyjnymi odpowiadającymi za realizację kluczowych procesów inwestycyjnych, a</w:t>
      </w:r>
      <w:r w:rsidR="003E7C83">
        <w:rPr>
          <w:rFonts w:ascii="Lato" w:hAnsi="Lato"/>
          <w:bCs/>
          <w:sz w:val="20"/>
          <w:szCs w:val="20"/>
        </w:rPr>
        <w:t xml:space="preserve"> spółki z udziałem Skarbu Państwa powinny dokonywać jej przeglądu</w:t>
      </w:r>
      <w:r w:rsidRPr="00054889">
        <w:rPr>
          <w:rFonts w:ascii="Lato" w:hAnsi="Lato"/>
          <w:bCs/>
          <w:sz w:val="20"/>
          <w:szCs w:val="20"/>
        </w:rPr>
        <w:t xml:space="preserve"> w </w:t>
      </w:r>
      <w:r w:rsidR="003E7C83">
        <w:rPr>
          <w:rFonts w:ascii="Lato" w:hAnsi="Lato"/>
          <w:bCs/>
          <w:sz w:val="20"/>
          <w:szCs w:val="20"/>
        </w:rPr>
        <w:t>przypadku wystąpienia</w:t>
      </w:r>
      <w:r w:rsidRPr="00054889">
        <w:rPr>
          <w:rFonts w:ascii="Lato" w:hAnsi="Lato"/>
          <w:bCs/>
          <w:sz w:val="20"/>
          <w:szCs w:val="20"/>
        </w:rPr>
        <w:t xml:space="preserve"> </w:t>
      </w:r>
      <w:r w:rsidR="003E7C83">
        <w:rPr>
          <w:rFonts w:ascii="Lato" w:hAnsi="Lato"/>
          <w:bCs/>
          <w:sz w:val="20"/>
          <w:szCs w:val="20"/>
        </w:rPr>
        <w:t>istotnych</w:t>
      </w:r>
      <w:r w:rsidRPr="00054889">
        <w:rPr>
          <w:rFonts w:ascii="Lato" w:hAnsi="Lato"/>
          <w:bCs/>
          <w:sz w:val="20"/>
          <w:szCs w:val="20"/>
        </w:rPr>
        <w:t xml:space="preserve"> zmian branży,</w:t>
      </w:r>
      <w:r w:rsidR="003E7C83">
        <w:rPr>
          <w:rFonts w:ascii="Lato" w:hAnsi="Lato"/>
          <w:bCs/>
          <w:sz w:val="20"/>
          <w:szCs w:val="20"/>
        </w:rPr>
        <w:t xml:space="preserve"> w której prowadzą działalność,</w:t>
      </w:r>
      <w:r w:rsidRPr="00054889">
        <w:rPr>
          <w:rFonts w:ascii="Lato" w:hAnsi="Lato"/>
          <w:bCs/>
          <w:sz w:val="20"/>
          <w:szCs w:val="20"/>
        </w:rPr>
        <w:t xml:space="preserve"> dostępności </w:t>
      </w:r>
      <w:r w:rsidR="003E7C83">
        <w:rPr>
          <w:rFonts w:ascii="Lato" w:hAnsi="Lato"/>
          <w:bCs/>
          <w:sz w:val="20"/>
          <w:szCs w:val="20"/>
        </w:rPr>
        <w:t xml:space="preserve">wykorzystywanych </w:t>
      </w:r>
      <w:r w:rsidRPr="00054889">
        <w:rPr>
          <w:rFonts w:ascii="Lato" w:hAnsi="Lato"/>
          <w:bCs/>
          <w:sz w:val="20"/>
          <w:szCs w:val="20"/>
        </w:rPr>
        <w:t xml:space="preserve">technologii lub </w:t>
      </w:r>
      <w:r w:rsidR="003E7C83">
        <w:rPr>
          <w:rFonts w:ascii="Lato" w:hAnsi="Lato"/>
          <w:bCs/>
          <w:sz w:val="20"/>
          <w:szCs w:val="20"/>
        </w:rPr>
        <w:t>zmian podmiotowych</w:t>
      </w:r>
      <w:r w:rsidRPr="00054889">
        <w:rPr>
          <w:rFonts w:ascii="Lato" w:hAnsi="Lato"/>
          <w:bCs/>
          <w:sz w:val="20"/>
          <w:szCs w:val="20"/>
        </w:rPr>
        <w:t xml:space="preserve"> krajowego potencjału</w:t>
      </w:r>
      <w:r w:rsidR="003E7C83">
        <w:rPr>
          <w:rFonts w:ascii="Lato" w:hAnsi="Lato"/>
          <w:bCs/>
          <w:sz w:val="20"/>
          <w:szCs w:val="20"/>
        </w:rPr>
        <w:t xml:space="preserve"> przemysłowego lub usługowego</w:t>
      </w:r>
      <w:r w:rsidRPr="00054889">
        <w:rPr>
          <w:rFonts w:ascii="Lato" w:hAnsi="Lato"/>
          <w:bCs/>
          <w:sz w:val="20"/>
          <w:szCs w:val="20"/>
        </w:rPr>
        <w:t>.</w:t>
      </w:r>
    </w:p>
    <w:p w14:paraId="281CC550" w14:textId="21620AAB" w:rsidR="0085393A" w:rsidRPr="00054889" w:rsidRDefault="0085393A" w:rsidP="00FD2F03">
      <w:pPr>
        <w:pStyle w:val="NormalnyWeb"/>
        <w:widowControl w:val="0"/>
        <w:numPr>
          <w:ilvl w:val="1"/>
          <w:numId w:val="10"/>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Tworzenie analiz potrzeb</w:t>
      </w:r>
      <w:r w:rsidR="00800CF4" w:rsidRPr="00054889">
        <w:rPr>
          <w:rFonts w:ascii="Lato" w:eastAsiaTheme="minorHAnsi" w:hAnsi="Lato" w:cstheme="minorBidi"/>
          <w:b/>
          <w:bCs/>
          <w:kern w:val="2"/>
          <w:sz w:val="20"/>
          <w:szCs w:val="20"/>
          <w:lang w:eastAsia="en-US"/>
          <w14:ligatures w14:val="standardContextual"/>
        </w:rPr>
        <w:t xml:space="preserve"> i wymagań</w:t>
      </w:r>
    </w:p>
    <w:p w14:paraId="18D65C58" w14:textId="7766A46D" w:rsidR="0085393A" w:rsidRPr="00054889" w:rsidRDefault="004101F1" w:rsidP="00097032">
      <w:pPr>
        <w:pStyle w:val="NormalnyWeb"/>
        <w:widowControl w:val="0"/>
        <w:spacing w:before="0" w:beforeAutospacing="0" w:after="120" w:afterAutospacing="0" w:line="360" w:lineRule="auto"/>
        <w:ind w:left="993"/>
        <w:jc w:val="both"/>
        <w:rPr>
          <w:rFonts w:ascii="Lato" w:eastAsiaTheme="minorHAnsi" w:hAnsi="Lato" w:cstheme="minorBidi"/>
          <w:bCs/>
          <w:kern w:val="2"/>
          <w:sz w:val="20"/>
          <w:szCs w:val="20"/>
          <w:lang w:eastAsia="en-US"/>
          <w14:ligatures w14:val="standardContextual"/>
        </w:rPr>
      </w:pPr>
      <w:r>
        <w:rPr>
          <w:rFonts w:ascii="Lato" w:eastAsiaTheme="minorHAnsi" w:hAnsi="Lato" w:cstheme="minorBidi"/>
          <w:bCs/>
          <w:kern w:val="2"/>
          <w:sz w:val="20"/>
          <w:szCs w:val="20"/>
          <w:lang w:eastAsia="en-US"/>
          <w14:ligatures w14:val="standardContextual"/>
        </w:rPr>
        <w:t>Wskazane jest w</w:t>
      </w:r>
      <w:r w:rsidR="0085393A" w:rsidRPr="00054889">
        <w:rPr>
          <w:rFonts w:ascii="Lato" w:eastAsiaTheme="minorHAnsi" w:hAnsi="Lato" w:cstheme="minorBidi"/>
          <w:bCs/>
          <w:kern w:val="2"/>
          <w:sz w:val="20"/>
          <w:szCs w:val="20"/>
          <w:lang w:eastAsia="en-US"/>
          <w14:ligatures w14:val="standardContextual"/>
        </w:rPr>
        <w:t xml:space="preserve">prowadzenie do wewnętrznego ładu korporacyjnego </w:t>
      </w:r>
      <w:r w:rsidR="003E7C83">
        <w:rPr>
          <w:rFonts w:ascii="Lato" w:eastAsiaTheme="minorHAnsi" w:hAnsi="Lato" w:cstheme="minorBidi"/>
          <w:bCs/>
          <w:kern w:val="2"/>
          <w:sz w:val="20"/>
          <w:szCs w:val="20"/>
          <w:lang w:eastAsia="en-US"/>
          <w14:ligatures w14:val="standardContextual"/>
        </w:rPr>
        <w:t>spółek z udziałem Skarbu Państwa</w:t>
      </w:r>
      <w:r w:rsidR="0085393A" w:rsidRPr="00054889">
        <w:rPr>
          <w:rFonts w:ascii="Lato" w:eastAsiaTheme="minorHAnsi" w:hAnsi="Lato" w:cstheme="minorBidi"/>
          <w:bCs/>
          <w:kern w:val="2"/>
          <w:sz w:val="20"/>
          <w:szCs w:val="20"/>
          <w:lang w:eastAsia="en-US"/>
          <w14:ligatures w14:val="standardContextual"/>
        </w:rPr>
        <w:t>, na potrzeby realizacji kluczowych procesów inwestycyjnych, wymogu w</w:t>
      </w:r>
      <w:r w:rsidR="0000335F">
        <w:rPr>
          <w:rFonts w:ascii="Lato" w:eastAsiaTheme="minorHAnsi" w:hAnsi="Lato" w:cstheme="minorBidi"/>
          <w:bCs/>
          <w:kern w:val="2"/>
          <w:sz w:val="20"/>
          <w:szCs w:val="20"/>
          <w:lang w:eastAsia="en-US"/>
          <w14:ligatures w14:val="standardContextual"/>
        </w:rPr>
        <w:t> </w:t>
      </w:r>
      <w:r w:rsidR="0085393A" w:rsidRPr="00054889">
        <w:rPr>
          <w:rFonts w:ascii="Lato" w:eastAsiaTheme="minorHAnsi" w:hAnsi="Lato" w:cstheme="minorBidi"/>
          <w:bCs/>
          <w:kern w:val="2"/>
          <w:sz w:val="20"/>
          <w:szCs w:val="20"/>
          <w:lang w:eastAsia="en-US"/>
          <w14:ligatures w14:val="standardContextual"/>
        </w:rPr>
        <w:t>zakresie konieczności sporządzania wewnętrznej analizy dotyczącej potrzeb</w:t>
      </w:r>
      <w:r w:rsidR="003E7C83">
        <w:rPr>
          <w:rFonts w:ascii="Lato" w:eastAsiaTheme="minorHAnsi" w:hAnsi="Lato" w:cstheme="minorBidi"/>
          <w:bCs/>
          <w:kern w:val="2"/>
          <w:sz w:val="20"/>
          <w:szCs w:val="20"/>
          <w:lang w:eastAsia="en-US"/>
          <w14:ligatures w14:val="standardContextual"/>
        </w:rPr>
        <w:t xml:space="preserve"> danej</w:t>
      </w:r>
      <w:r w:rsidR="0085393A" w:rsidRPr="00054889">
        <w:rPr>
          <w:rFonts w:ascii="Lato" w:eastAsiaTheme="minorHAnsi" w:hAnsi="Lato" w:cstheme="minorBidi"/>
          <w:bCs/>
          <w:kern w:val="2"/>
          <w:sz w:val="20"/>
          <w:szCs w:val="20"/>
          <w:lang w:eastAsia="en-US"/>
          <w14:ligatures w14:val="standardContextual"/>
        </w:rPr>
        <w:t xml:space="preserve"> </w:t>
      </w:r>
      <w:bookmarkStart w:id="5" w:name="_Hlk224647188"/>
      <w:r w:rsidR="003E7C83">
        <w:rPr>
          <w:rFonts w:ascii="Lato" w:eastAsiaTheme="minorHAnsi" w:hAnsi="Lato" w:cstheme="minorBidi"/>
          <w:bCs/>
          <w:kern w:val="2"/>
          <w:sz w:val="20"/>
          <w:szCs w:val="20"/>
          <w:lang w:eastAsia="en-US"/>
          <w14:ligatures w14:val="standardContextual"/>
        </w:rPr>
        <w:t>s</w:t>
      </w:r>
      <w:r w:rsidR="0085393A" w:rsidRPr="00054889">
        <w:rPr>
          <w:rFonts w:ascii="Lato" w:eastAsiaTheme="minorHAnsi" w:hAnsi="Lato" w:cstheme="minorBidi"/>
          <w:bCs/>
          <w:kern w:val="2"/>
          <w:sz w:val="20"/>
          <w:szCs w:val="20"/>
          <w:lang w:eastAsia="en-US"/>
          <w14:ligatures w14:val="standardContextual"/>
        </w:rPr>
        <w:t xml:space="preserve">półki </w:t>
      </w:r>
      <w:r w:rsidR="003E7C83">
        <w:rPr>
          <w:rFonts w:ascii="Lato" w:eastAsiaTheme="minorHAnsi" w:hAnsi="Lato" w:cstheme="minorBidi"/>
          <w:bCs/>
          <w:kern w:val="2"/>
          <w:sz w:val="20"/>
          <w:szCs w:val="20"/>
          <w:lang w:eastAsia="en-US"/>
          <w14:ligatures w14:val="standardContextual"/>
        </w:rPr>
        <w:t>z</w:t>
      </w:r>
      <w:r w:rsidR="0000335F">
        <w:rPr>
          <w:rFonts w:ascii="Lato" w:eastAsiaTheme="minorHAnsi" w:hAnsi="Lato" w:cstheme="minorBidi"/>
          <w:bCs/>
          <w:kern w:val="2"/>
          <w:sz w:val="20"/>
          <w:szCs w:val="20"/>
          <w:lang w:eastAsia="en-US"/>
          <w14:ligatures w14:val="standardContextual"/>
        </w:rPr>
        <w:t> </w:t>
      </w:r>
      <w:r w:rsidR="003E7C83">
        <w:rPr>
          <w:rFonts w:ascii="Lato" w:eastAsiaTheme="minorHAnsi" w:hAnsi="Lato" w:cstheme="minorBidi"/>
          <w:bCs/>
          <w:kern w:val="2"/>
          <w:sz w:val="20"/>
          <w:szCs w:val="20"/>
          <w:lang w:eastAsia="en-US"/>
          <w14:ligatures w14:val="standardContextual"/>
        </w:rPr>
        <w:t>udziałem Skarbu Państwa</w:t>
      </w:r>
      <w:r w:rsidR="003E7C83" w:rsidRPr="00054889">
        <w:rPr>
          <w:rFonts w:ascii="Lato" w:eastAsiaTheme="minorHAnsi" w:hAnsi="Lato" w:cstheme="minorBidi"/>
          <w:bCs/>
          <w:kern w:val="2"/>
          <w:sz w:val="20"/>
          <w:szCs w:val="20"/>
          <w:lang w:eastAsia="en-US"/>
          <w14:ligatures w14:val="standardContextual"/>
        </w:rPr>
        <w:t xml:space="preserve"> </w:t>
      </w:r>
      <w:bookmarkEnd w:id="5"/>
      <w:r w:rsidR="0085393A" w:rsidRPr="00054889">
        <w:rPr>
          <w:rFonts w:ascii="Lato" w:eastAsiaTheme="minorHAnsi" w:hAnsi="Lato" w:cstheme="minorBidi"/>
          <w:bCs/>
          <w:kern w:val="2"/>
          <w:sz w:val="20"/>
          <w:szCs w:val="20"/>
          <w:lang w:eastAsia="en-US"/>
          <w14:ligatures w14:val="standardContextual"/>
        </w:rPr>
        <w:t>obejmującej możliwe warianty realizacji zamówienia lub zamówień</w:t>
      </w:r>
      <w:r w:rsidR="00800CF4" w:rsidRPr="00054889">
        <w:rPr>
          <w:rFonts w:ascii="Lato" w:eastAsiaTheme="minorHAnsi" w:hAnsi="Lato" w:cstheme="minorBidi"/>
          <w:bCs/>
          <w:kern w:val="2"/>
          <w:sz w:val="20"/>
          <w:szCs w:val="20"/>
          <w:lang w:eastAsia="en-US"/>
          <w14:ligatures w14:val="standardContextual"/>
        </w:rPr>
        <w:t xml:space="preserve"> na potrzeby kluczowego procesu inwestycyjnego</w:t>
      </w:r>
      <w:r w:rsidR="0085393A" w:rsidRPr="00054889">
        <w:rPr>
          <w:rFonts w:ascii="Lato" w:eastAsiaTheme="minorHAnsi" w:hAnsi="Lato" w:cstheme="minorBidi"/>
          <w:bCs/>
          <w:kern w:val="2"/>
          <w:sz w:val="20"/>
          <w:szCs w:val="20"/>
          <w:lang w:eastAsia="en-US"/>
          <w14:ligatures w14:val="standardContextual"/>
        </w:rPr>
        <w:t>, możliwości podziału wybranych zamówień w ramach kluczowego procesu inwestycyjnego na części, możliwoś</w:t>
      </w:r>
      <w:r w:rsidR="00800CF4" w:rsidRPr="00054889">
        <w:rPr>
          <w:rFonts w:ascii="Lato" w:eastAsiaTheme="minorHAnsi" w:hAnsi="Lato" w:cstheme="minorBidi"/>
          <w:bCs/>
          <w:kern w:val="2"/>
          <w:sz w:val="20"/>
          <w:szCs w:val="20"/>
          <w:lang w:eastAsia="en-US"/>
          <w14:ligatures w14:val="standardContextual"/>
        </w:rPr>
        <w:t>ci</w:t>
      </w:r>
      <w:r w:rsidR="0085393A" w:rsidRPr="00054889">
        <w:rPr>
          <w:rFonts w:ascii="Lato" w:eastAsiaTheme="minorHAnsi" w:hAnsi="Lato" w:cstheme="minorBidi"/>
          <w:bCs/>
          <w:kern w:val="2"/>
          <w:sz w:val="20"/>
          <w:szCs w:val="20"/>
          <w:lang w:eastAsia="en-US"/>
          <w14:ligatures w14:val="standardContextual"/>
        </w:rPr>
        <w:t xml:space="preserve"> uwzględnienia aspektów środowiskowych</w:t>
      </w:r>
      <w:r w:rsidR="00800CF4" w:rsidRPr="00054889">
        <w:rPr>
          <w:rFonts w:ascii="Lato" w:eastAsiaTheme="minorHAnsi" w:hAnsi="Lato" w:cstheme="minorBidi"/>
          <w:bCs/>
          <w:kern w:val="2"/>
          <w:sz w:val="20"/>
          <w:szCs w:val="20"/>
          <w:lang w:eastAsia="en-US"/>
          <w14:ligatures w14:val="standardContextual"/>
        </w:rPr>
        <w:t xml:space="preserve"> czy w zakresie </w:t>
      </w:r>
      <w:proofErr w:type="spellStart"/>
      <w:r w:rsidR="00800CF4" w:rsidRPr="00054889">
        <w:rPr>
          <w:rFonts w:ascii="Lato" w:eastAsiaTheme="minorHAnsi" w:hAnsi="Lato" w:cstheme="minorBidi"/>
          <w:bCs/>
          <w:kern w:val="2"/>
          <w:sz w:val="20"/>
          <w:szCs w:val="20"/>
          <w:lang w:eastAsia="en-US"/>
          <w14:ligatures w14:val="standardContextual"/>
        </w:rPr>
        <w:t>cyberbezpieczeństwa</w:t>
      </w:r>
      <w:proofErr w:type="spellEnd"/>
      <w:r w:rsidR="0085393A" w:rsidRPr="00054889">
        <w:rPr>
          <w:rFonts w:ascii="Lato" w:eastAsiaTheme="minorHAnsi" w:hAnsi="Lato" w:cstheme="minorBidi"/>
          <w:bCs/>
          <w:kern w:val="2"/>
          <w:sz w:val="20"/>
          <w:szCs w:val="20"/>
          <w:lang w:eastAsia="en-US"/>
          <w14:ligatures w14:val="standardContextual"/>
        </w:rPr>
        <w:t xml:space="preserve"> zamówienia</w:t>
      </w:r>
      <w:r w:rsidR="00800CF4" w:rsidRPr="00054889">
        <w:rPr>
          <w:rFonts w:ascii="Lato" w:eastAsiaTheme="minorHAnsi" w:hAnsi="Lato" w:cstheme="minorBidi"/>
          <w:bCs/>
          <w:kern w:val="2"/>
          <w:sz w:val="20"/>
          <w:szCs w:val="20"/>
          <w:lang w:eastAsia="en-US"/>
          <w14:ligatures w14:val="standardContextual"/>
        </w:rPr>
        <w:t xml:space="preserve">. Analiza może obejmować też wstępne badanie rynku uwzględniające w szczególności identyfikację </w:t>
      </w:r>
      <w:r w:rsidR="00800CF4" w:rsidRPr="00054889">
        <w:rPr>
          <w:rFonts w:ascii="Lato" w:eastAsiaTheme="minorHAnsi" w:hAnsi="Lato" w:cstheme="minorBidi"/>
          <w:bCs/>
          <w:kern w:val="2"/>
          <w:sz w:val="20"/>
          <w:szCs w:val="20"/>
          <w:lang w:eastAsia="en-US"/>
          <w14:ligatures w14:val="standardContextual"/>
        </w:rPr>
        <w:lastRenderedPageBreak/>
        <w:t>krajowych wykonawców potencjalnie zdolnych zrealizować zamówienie, do których można skierować zaproszenie do złożenia oferty, oszacowanie ryzyka związanego z</w:t>
      </w:r>
      <w:r w:rsidR="0000335F">
        <w:rPr>
          <w:rFonts w:ascii="Lato" w:eastAsiaTheme="minorHAnsi" w:hAnsi="Lato" w:cstheme="minorBidi"/>
          <w:bCs/>
          <w:kern w:val="2"/>
          <w:sz w:val="20"/>
          <w:szCs w:val="20"/>
          <w:lang w:eastAsia="en-US"/>
          <w14:ligatures w14:val="standardContextual"/>
        </w:rPr>
        <w:t> </w:t>
      </w:r>
      <w:r w:rsidR="00800CF4" w:rsidRPr="00054889">
        <w:rPr>
          <w:rFonts w:ascii="Lato" w:eastAsiaTheme="minorHAnsi" w:hAnsi="Lato" w:cstheme="minorBidi"/>
          <w:bCs/>
          <w:kern w:val="2"/>
          <w:sz w:val="20"/>
          <w:szCs w:val="20"/>
          <w:lang w:eastAsia="en-US"/>
          <w14:ligatures w14:val="standardContextual"/>
        </w:rPr>
        <w:t xml:space="preserve">zależnością </w:t>
      </w:r>
      <w:r w:rsidR="003E7C83">
        <w:rPr>
          <w:rFonts w:ascii="Lato" w:eastAsiaTheme="minorHAnsi" w:hAnsi="Lato" w:cstheme="minorBidi"/>
          <w:bCs/>
          <w:kern w:val="2"/>
          <w:sz w:val="20"/>
          <w:szCs w:val="20"/>
          <w:lang w:eastAsia="en-US"/>
          <w14:ligatures w14:val="standardContextual"/>
        </w:rPr>
        <w:t>s</w:t>
      </w:r>
      <w:r w:rsidR="003E7C83" w:rsidRPr="00054889">
        <w:rPr>
          <w:rFonts w:ascii="Lato" w:eastAsiaTheme="minorHAnsi" w:hAnsi="Lato" w:cstheme="minorBidi"/>
          <w:bCs/>
          <w:kern w:val="2"/>
          <w:sz w:val="20"/>
          <w:szCs w:val="20"/>
          <w:lang w:eastAsia="en-US"/>
          <w14:ligatures w14:val="standardContextual"/>
        </w:rPr>
        <w:t xml:space="preserve">półki </w:t>
      </w:r>
      <w:r w:rsidR="003E7C83">
        <w:rPr>
          <w:rFonts w:ascii="Lato" w:eastAsiaTheme="minorHAnsi" w:hAnsi="Lato" w:cstheme="minorBidi"/>
          <w:bCs/>
          <w:kern w:val="2"/>
          <w:sz w:val="20"/>
          <w:szCs w:val="20"/>
          <w:lang w:eastAsia="en-US"/>
          <w14:ligatures w14:val="standardContextual"/>
        </w:rPr>
        <w:t>z udziałem Skarbu Państwa</w:t>
      </w:r>
      <w:r w:rsidR="003E7C83" w:rsidRPr="00054889">
        <w:rPr>
          <w:rFonts w:ascii="Lato" w:eastAsiaTheme="minorHAnsi" w:hAnsi="Lato" w:cstheme="minorBidi"/>
          <w:bCs/>
          <w:kern w:val="2"/>
          <w:sz w:val="20"/>
          <w:szCs w:val="20"/>
          <w:lang w:eastAsia="en-US"/>
          <w14:ligatures w14:val="standardContextual"/>
        </w:rPr>
        <w:t xml:space="preserve"> </w:t>
      </w:r>
      <w:r w:rsidR="00800CF4" w:rsidRPr="00054889">
        <w:rPr>
          <w:rFonts w:ascii="Lato" w:eastAsiaTheme="minorHAnsi" w:hAnsi="Lato" w:cstheme="minorBidi"/>
          <w:bCs/>
          <w:kern w:val="2"/>
          <w:sz w:val="20"/>
          <w:szCs w:val="20"/>
          <w:lang w:eastAsia="en-US"/>
          <w14:ligatures w14:val="standardContextual"/>
        </w:rPr>
        <w:t>od wykonawców/podwykonawców niekrajowych, w tym w zakresie ciągłości realizacji kluczowego procesu inwestycyjnego oraz korzystania z efektów</w:t>
      </w:r>
      <w:r w:rsidR="003E7C83">
        <w:rPr>
          <w:rFonts w:ascii="Lato" w:eastAsiaTheme="minorHAnsi" w:hAnsi="Lato" w:cstheme="minorBidi"/>
          <w:bCs/>
          <w:kern w:val="2"/>
          <w:sz w:val="20"/>
          <w:szCs w:val="20"/>
          <w:lang w:eastAsia="en-US"/>
          <w14:ligatures w14:val="standardContextual"/>
        </w:rPr>
        <w:t xml:space="preserve"> zrealizowanej inwestycji</w:t>
      </w:r>
      <w:r w:rsidR="00800CF4" w:rsidRPr="00054889">
        <w:rPr>
          <w:rFonts w:ascii="Lato" w:eastAsiaTheme="minorHAnsi" w:hAnsi="Lato" w:cstheme="minorBidi"/>
          <w:bCs/>
          <w:kern w:val="2"/>
          <w:sz w:val="20"/>
          <w:szCs w:val="20"/>
          <w:lang w:eastAsia="en-US"/>
          <w14:ligatures w14:val="standardContextual"/>
        </w:rPr>
        <w:t xml:space="preserve"> po je</w:t>
      </w:r>
      <w:r w:rsidR="003E7C83">
        <w:rPr>
          <w:rFonts w:ascii="Lato" w:eastAsiaTheme="minorHAnsi" w:hAnsi="Lato" w:cstheme="minorBidi"/>
          <w:bCs/>
          <w:kern w:val="2"/>
          <w:sz w:val="20"/>
          <w:szCs w:val="20"/>
          <w:lang w:eastAsia="en-US"/>
          <w14:ligatures w14:val="standardContextual"/>
        </w:rPr>
        <w:t>j</w:t>
      </w:r>
      <w:r w:rsidR="00800CF4" w:rsidRPr="00054889">
        <w:rPr>
          <w:rFonts w:ascii="Lato" w:eastAsiaTheme="minorHAnsi" w:hAnsi="Lato" w:cstheme="minorBidi"/>
          <w:bCs/>
          <w:kern w:val="2"/>
          <w:sz w:val="20"/>
          <w:szCs w:val="20"/>
          <w:lang w:eastAsia="en-US"/>
          <w14:ligatures w14:val="standardContextual"/>
        </w:rPr>
        <w:t xml:space="preserve"> zrealizowaniu</w:t>
      </w:r>
      <w:r w:rsidR="003E7C83">
        <w:rPr>
          <w:rFonts w:ascii="Lato" w:eastAsiaTheme="minorHAnsi" w:hAnsi="Lato" w:cstheme="minorBidi"/>
          <w:bCs/>
          <w:kern w:val="2"/>
          <w:sz w:val="20"/>
          <w:szCs w:val="20"/>
          <w:lang w:eastAsia="en-US"/>
          <w14:ligatures w14:val="standardContextual"/>
        </w:rPr>
        <w:t xml:space="preserve">, </w:t>
      </w:r>
      <w:r w:rsidR="00800CF4" w:rsidRPr="00054889">
        <w:rPr>
          <w:rFonts w:ascii="Lato" w:eastAsiaTheme="minorHAnsi" w:hAnsi="Lato" w:cstheme="minorBidi"/>
          <w:bCs/>
          <w:kern w:val="2"/>
          <w:sz w:val="20"/>
          <w:szCs w:val="20"/>
          <w:lang w:eastAsia="en-US"/>
          <w14:ligatures w14:val="standardContextual"/>
        </w:rPr>
        <w:t>bezpieczeństwa dostaw niezbędnych komponentów</w:t>
      </w:r>
      <w:r w:rsidR="003E7C83">
        <w:rPr>
          <w:rFonts w:ascii="Lato" w:eastAsiaTheme="minorHAnsi" w:hAnsi="Lato" w:cstheme="minorBidi"/>
          <w:bCs/>
          <w:kern w:val="2"/>
          <w:sz w:val="20"/>
          <w:szCs w:val="20"/>
          <w:lang w:eastAsia="en-US"/>
          <w14:ligatures w14:val="standardContextual"/>
        </w:rPr>
        <w:t xml:space="preserve"> czy dostępności oraz kosztów serwisu</w:t>
      </w:r>
      <w:r w:rsidR="00800CF4" w:rsidRPr="00054889">
        <w:rPr>
          <w:rFonts w:ascii="Lato" w:eastAsiaTheme="minorHAnsi" w:hAnsi="Lato" w:cstheme="minorBidi"/>
          <w:bCs/>
          <w:kern w:val="2"/>
          <w:sz w:val="20"/>
          <w:szCs w:val="20"/>
          <w:lang w:eastAsia="en-US"/>
          <w14:ligatures w14:val="standardContextual"/>
        </w:rPr>
        <w:t xml:space="preserve">. </w:t>
      </w:r>
    </w:p>
    <w:p w14:paraId="53B7DF77" w14:textId="68E0A384" w:rsidR="00F074AC" w:rsidRPr="00054889" w:rsidRDefault="00F074AC" w:rsidP="00097032">
      <w:pPr>
        <w:pStyle w:val="NormalnyWeb"/>
        <w:widowControl w:val="0"/>
        <w:spacing w:before="0" w:beforeAutospacing="0" w:after="120" w:afterAutospacing="0" w:line="360" w:lineRule="auto"/>
        <w:ind w:left="993"/>
        <w:jc w:val="both"/>
        <w:rPr>
          <w:rFonts w:ascii="Lato" w:hAnsi="Lato"/>
          <w:bCs/>
          <w:sz w:val="20"/>
          <w:szCs w:val="20"/>
        </w:rPr>
      </w:pPr>
      <w:r w:rsidRPr="00054889">
        <w:rPr>
          <w:rFonts w:ascii="Lato" w:hAnsi="Lato"/>
          <w:bCs/>
          <w:sz w:val="20"/>
          <w:szCs w:val="20"/>
        </w:rPr>
        <w:t>Analiza potrzeb powinna również</w:t>
      </w:r>
      <w:r w:rsidR="003E7C83">
        <w:rPr>
          <w:rFonts w:ascii="Lato" w:hAnsi="Lato"/>
          <w:bCs/>
          <w:sz w:val="20"/>
          <w:szCs w:val="20"/>
        </w:rPr>
        <w:t xml:space="preserve"> w miarę możliwości</w:t>
      </w:r>
      <w:r w:rsidRPr="00054889">
        <w:rPr>
          <w:rFonts w:ascii="Lato" w:hAnsi="Lato"/>
          <w:bCs/>
          <w:sz w:val="20"/>
          <w:szCs w:val="20"/>
        </w:rPr>
        <w:t xml:space="preserve"> obejmować badanie struktury rynku krajowego dla danej kategorii zakupowej</w:t>
      </w:r>
      <w:r w:rsidR="00081E7F" w:rsidRPr="00054889">
        <w:rPr>
          <w:rFonts w:ascii="Lato" w:hAnsi="Lato"/>
          <w:bCs/>
          <w:sz w:val="20"/>
          <w:szCs w:val="20"/>
        </w:rPr>
        <w:t>, tak aby ułatwić zaangażowanie komponentu krajowego</w:t>
      </w:r>
      <w:r w:rsidR="00A00375" w:rsidRPr="00054889">
        <w:rPr>
          <w:rFonts w:ascii="Lato" w:hAnsi="Lato"/>
          <w:bCs/>
          <w:sz w:val="20"/>
          <w:szCs w:val="20"/>
        </w:rPr>
        <w:t xml:space="preserve"> w jej ramach</w:t>
      </w:r>
      <w:r w:rsidRPr="00054889">
        <w:rPr>
          <w:rFonts w:ascii="Lato" w:hAnsi="Lato"/>
          <w:bCs/>
          <w:sz w:val="20"/>
          <w:szCs w:val="20"/>
        </w:rPr>
        <w:t>. Badanie powinno identyfikować nie tylko bezpośrednich konkurentów zdolnych do realizacji pełnego zakresu zamówienia, ale również potencjalnych podwykonawców, dostawców komponentów czy specjalistów mogących wspomagać głównego wykonawcę. Identyfikacja takich podmiotów umożliwia zamawiającemu lepsze zrozumienie struktury łańcucha dostaw i potencjału dla stymulowania udziału krajowych zasobów.</w:t>
      </w:r>
    </w:p>
    <w:p w14:paraId="657AC8A2" w14:textId="007417AA" w:rsidR="00564D16" w:rsidRPr="00054889" w:rsidRDefault="00F074AC" w:rsidP="00097032">
      <w:pPr>
        <w:pStyle w:val="NormalnyWeb"/>
        <w:widowControl w:val="0"/>
        <w:spacing w:before="0" w:beforeAutospacing="0" w:after="120" w:afterAutospacing="0" w:line="360" w:lineRule="auto"/>
        <w:ind w:left="993"/>
        <w:jc w:val="both"/>
        <w:rPr>
          <w:rFonts w:ascii="Lato" w:hAnsi="Lato"/>
          <w:bCs/>
          <w:sz w:val="20"/>
          <w:szCs w:val="20"/>
        </w:rPr>
      </w:pPr>
      <w:r w:rsidRPr="00054889">
        <w:rPr>
          <w:rFonts w:ascii="Lato" w:hAnsi="Lato"/>
          <w:bCs/>
          <w:sz w:val="20"/>
          <w:szCs w:val="20"/>
        </w:rPr>
        <w:t>Dodatkowo, analiza powinna zawierać ocenę możliwości podziału zamówienia</w:t>
      </w:r>
      <w:r w:rsidR="003E7C83">
        <w:rPr>
          <w:rFonts w:ascii="Lato" w:hAnsi="Lato"/>
          <w:bCs/>
          <w:sz w:val="20"/>
          <w:szCs w:val="20"/>
        </w:rPr>
        <w:t xml:space="preserve"> na potrzeby realizacji kluczowego procesu inwestycyjnego</w:t>
      </w:r>
      <w:r w:rsidRPr="00054889">
        <w:rPr>
          <w:rFonts w:ascii="Lato" w:hAnsi="Lato"/>
          <w:bCs/>
          <w:sz w:val="20"/>
          <w:szCs w:val="20"/>
        </w:rPr>
        <w:t xml:space="preserve"> na części. Dla wielu kompleksowych projektów rozbicie zamówienia na mniejsze części może otworzyć możliwość udziału dla mniejszych podmiotów krajowych, które mogą wyspecjalizować się w konkretnych aspektach projektu. Rozważenie możliwości takiego podziału powinno być elementem analizy potrzeb, z</w:t>
      </w:r>
      <w:r w:rsidR="003E7C83">
        <w:rPr>
          <w:rFonts w:ascii="Lato" w:hAnsi="Lato"/>
          <w:bCs/>
          <w:sz w:val="20"/>
          <w:szCs w:val="20"/>
        </w:rPr>
        <w:t> </w:t>
      </w:r>
      <w:r w:rsidRPr="00054889">
        <w:rPr>
          <w:rFonts w:ascii="Lato" w:hAnsi="Lato"/>
          <w:bCs/>
          <w:sz w:val="20"/>
          <w:szCs w:val="20"/>
        </w:rPr>
        <w:t>uwzględnieniem zarówno korzyści (zwiększona konkurencja, włączenie MŚP)</w:t>
      </w:r>
      <w:r w:rsidR="003E7C83">
        <w:rPr>
          <w:rFonts w:ascii="Lato" w:hAnsi="Lato"/>
          <w:bCs/>
          <w:sz w:val="20"/>
          <w:szCs w:val="20"/>
        </w:rPr>
        <w:t>,</w:t>
      </w:r>
      <w:r w:rsidRPr="00054889">
        <w:rPr>
          <w:rFonts w:ascii="Lato" w:hAnsi="Lato"/>
          <w:bCs/>
          <w:sz w:val="20"/>
          <w:szCs w:val="20"/>
        </w:rPr>
        <w:t xml:space="preserve"> jak i</w:t>
      </w:r>
      <w:r w:rsidR="003E7C83">
        <w:rPr>
          <w:rFonts w:ascii="Lato" w:hAnsi="Lato"/>
          <w:bCs/>
          <w:sz w:val="20"/>
          <w:szCs w:val="20"/>
        </w:rPr>
        <w:t> </w:t>
      </w:r>
      <w:r w:rsidRPr="00054889">
        <w:rPr>
          <w:rFonts w:ascii="Lato" w:hAnsi="Lato"/>
          <w:bCs/>
          <w:sz w:val="20"/>
          <w:szCs w:val="20"/>
        </w:rPr>
        <w:t>potencjalnych wyzwań (wzrost kosztów koordynacji, fragmentaryzacja integracji).</w:t>
      </w:r>
    </w:p>
    <w:p w14:paraId="489DBF47" w14:textId="775C39A7" w:rsidR="00D85CA6" w:rsidRPr="00054889" w:rsidRDefault="00D85CA6" w:rsidP="00FD2F03">
      <w:pPr>
        <w:pStyle w:val="NormalnyWeb"/>
        <w:widowControl w:val="0"/>
        <w:numPr>
          <w:ilvl w:val="1"/>
          <w:numId w:val="10"/>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Wczesne informowanie o planowanych postępowaniach</w:t>
      </w:r>
      <w:r w:rsidR="0085393A" w:rsidRPr="00054889">
        <w:rPr>
          <w:rFonts w:ascii="Lato" w:eastAsiaTheme="minorHAnsi" w:hAnsi="Lato" w:cstheme="minorBidi"/>
          <w:b/>
          <w:bCs/>
          <w:kern w:val="2"/>
          <w:sz w:val="20"/>
          <w:szCs w:val="20"/>
          <w:lang w:eastAsia="en-US"/>
          <w14:ligatures w14:val="standardContextual"/>
        </w:rPr>
        <w:t xml:space="preserve"> zakupowych na potrzeby kluczowych procesów inwestycyjnych</w:t>
      </w:r>
    </w:p>
    <w:p w14:paraId="02703F83" w14:textId="5D8C42E8" w:rsidR="00D85CA6" w:rsidRPr="00054889" w:rsidRDefault="003E7C83"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Istotn</w:t>
      </w:r>
      <w:r w:rsidR="003A6DBB">
        <w:rPr>
          <w:rFonts w:ascii="Lato" w:eastAsiaTheme="minorHAnsi" w:hAnsi="Lato" w:cstheme="minorBidi"/>
          <w:kern w:val="2"/>
          <w:sz w:val="20"/>
          <w:szCs w:val="20"/>
          <w:lang w:eastAsia="en-US"/>
          <w14:ligatures w14:val="standardContextual"/>
        </w:rPr>
        <w:t>e jest p</w:t>
      </w:r>
      <w:r w:rsidR="00D85CA6" w:rsidRPr="00054889">
        <w:rPr>
          <w:rFonts w:ascii="Lato" w:eastAsiaTheme="minorHAnsi" w:hAnsi="Lato" w:cstheme="minorBidi"/>
          <w:kern w:val="2"/>
          <w:sz w:val="20"/>
          <w:szCs w:val="20"/>
          <w:lang w:eastAsia="en-US"/>
          <w14:ligatures w14:val="standardContextual"/>
        </w:rPr>
        <w:t>ublikowanie</w:t>
      </w:r>
      <w:r w:rsidR="0085393A" w:rsidRPr="00054889">
        <w:rPr>
          <w:rFonts w:ascii="Lato" w:eastAsiaTheme="minorHAnsi" w:hAnsi="Lato" w:cstheme="minorBidi"/>
          <w:kern w:val="2"/>
          <w:sz w:val="20"/>
          <w:szCs w:val="20"/>
          <w:lang w:eastAsia="en-US"/>
          <w14:ligatures w14:val="standardContextual"/>
        </w:rPr>
        <w:t xml:space="preserve"> na stronach internetowych</w:t>
      </w:r>
      <w:r w:rsidR="00D85CA6" w:rsidRPr="00054889">
        <w:rPr>
          <w:rFonts w:ascii="Lato" w:eastAsiaTheme="minorHAnsi" w:hAnsi="Lato" w:cstheme="minorBidi"/>
          <w:kern w:val="2"/>
          <w:sz w:val="20"/>
          <w:szCs w:val="20"/>
          <w:lang w:eastAsia="en-US"/>
          <w14:ligatures w14:val="standardContextual"/>
        </w:rPr>
        <w:t xml:space="preserve"> planów </w:t>
      </w:r>
      <w:r w:rsidR="0085393A" w:rsidRPr="00054889">
        <w:rPr>
          <w:rFonts w:ascii="Lato" w:eastAsiaTheme="minorHAnsi" w:hAnsi="Lato" w:cstheme="minorBidi"/>
          <w:kern w:val="2"/>
          <w:sz w:val="20"/>
          <w:szCs w:val="20"/>
          <w:lang w:eastAsia="en-US"/>
          <w14:ligatures w14:val="standardContextual"/>
        </w:rPr>
        <w:t xml:space="preserve">dotyczących przewidywanych </w:t>
      </w:r>
      <w:r w:rsidR="00D85CA6" w:rsidRPr="00054889">
        <w:rPr>
          <w:rFonts w:ascii="Lato" w:eastAsiaTheme="minorHAnsi" w:hAnsi="Lato" w:cstheme="minorBidi"/>
          <w:kern w:val="2"/>
          <w:sz w:val="20"/>
          <w:szCs w:val="20"/>
          <w:lang w:eastAsia="en-US"/>
          <w14:ligatures w14:val="standardContextual"/>
        </w:rPr>
        <w:t>zamówień</w:t>
      </w:r>
      <w:r w:rsidR="0085393A" w:rsidRPr="00054889">
        <w:rPr>
          <w:rFonts w:ascii="Lato" w:eastAsiaTheme="minorHAnsi" w:hAnsi="Lato" w:cstheme="minorBidi"/>
          <w:kern w:val="2"/>
          <w:sz w:val="20"/>
          <w:szCs w:val="20"/>
          <w:lang w:eastAsia="en-US"/>
          <w14:ligatures w14:val="standardContextual"/>
        </w:rPr>
        <w:t xml:space="preserve"> związanych z realizacją kluczowych procesów inwestycyjnych</w:t>
      </w:r>
      <w:r w:rsidR="00D85CA6" w:rsidRPr="00054889">
        <w:rPr>
          <w:rFonts w:ascii="Lato" w:eastAsiaTheme="minorHAnsi" w:hAnsi="Lato" w:cstheme="minorBidi"/>
          <w:kern w:val="2"/>
          <w:sz w:val="20"/>
          <w:szCs w:val="20"/>
          <w:lang w:eastAsia="en-US"/>
          <w14:ligatures w14:val="standardContextual"/>
        </w:rPr>
        <w:t xml:space="preserve"> z odpowiednim wyprzedzeniem, w zakresie umożliwiającym </w:t>
      </w:r>
      <w:r w:rsidR="00C11F93" w:rsidRPr="00054889">
        <w:rPr>
          <w:rFonts w:ascii="Lato" w:eastAsiaTheme="minorHAnsi" w:hAnsi="Lato" w:cstheme="minorBidi"/>
          <w:kern w:val="2"/>
          <w:sz w:val="20"/>
          <w:szCs w:val="20"/>
          <w:lang w:eastAsia="en-US"/>
          <w14:ligatures w14:val="standardContextual"/>
        </w:rPr>
        <w:t xml:space="preserve">zainteresowanym </w:t>
      </w:r>
      <w:r w:rsidR="00D85CA6" w:rsidRPr="00054889">
        <w:rPr>
          <w:rFonts w:ascii="Lato" w:eastAsiaTheme="minorHAnsi" w:hAnsi="Lato" w:cstheme="minorBidi"/>
          <w:kern w:val="2"/>
          <w:sz w:val="20"/>
          <w:szCs w:val="20"/>
          <w:lang w:eastAsia="en-US"/>
          <w14:ligatures w14:val="standardContextual"/>
        </w:rPr>
        <w:t>wykonawcom</w:t>
      </w:r>
      <w:r w:rsidR="0085393A" w:rsidRPr="00054889">
        <w:rPr>
          <w:rFonts w:ascii="Lato" w:eastAsiaTheme="minorHAnsi" w:hAnsi="Lato" w:cstheme="minorBidi"/>
          <w:kern w:val="2"/>
          <w:sz w:val="20"/>
          <w:szCs w:val="20"/>
          <w:lang w:eastAsia="en-US"/>
          <w14:ligatures w14:val="standardContextual"/>
        </w:rPr>
        <w:t xml:space="preserve"> zapoznanie się z</w:t>
      </w:r>
      <w:r w:rsidR="00B13A9D">
        <w:rPr>
          <w:rFonts w:ascii="Lato" w:eastAsiaTheme="minorHAnsi" w:hAnsi="Lato" w:cstheme="minorBidi"/>
          <w:kern w:val="2"/>
          <w:sz w:val="20"/>
          <w:szCs w:val="20"/>
          <w:lang w:eastAsia="en-US"/>
          <w14:ligatures w14:val="standardContextual"/>
        </w:rPr>
        <w:t> </w:t>
      </w:r>
      <w:r w:rsidR="0085393A" w:rsidRPr="00054889">
        <w:rPr>
          <w:rFonts w:ascii="Lato" w:eastAsiaTheme="minorHAnsi" w:hAnsi="Lato" w:cstheme="minorBidi"/>
          <w:kern w:val="2"/>
          <w:sz w:val="20"/>
          <w:szCs w:val="20"/>
          <w:lang w:eastAsia="en-US"/>
          <w14:ligatures w14:val="standardContextual"/>
        </w:rPr>
        <w:t xml:space="preserve">potrzebami </w:t>
      </w:r>
      <w:r w:rsidRPr="003E7C83">
        <w:rPr>
          <w:rFonts w:ascii="Lato" w:eastAsiaTheme="minorHAnsi" w:hAnsi="Lato" w:cstheme="minorBidi"/>
          <w:kern w:val="2"/>
          <w:sz w:val="20"/>
          <w:szCs w:val="20"/>
          <w:lang w:eastAsia="en-US"/>
          <w14:ligatures w14:val="standardContextual"/>
        </w:rPr>
        <w:t xml:space="preserve">spółki z udziałem Skarbu Państwa </w:t>
      </w:r>
      <w:r w:rsidR="0085393A" w:rsidRPr="00054889">
        <w:rPr>
          <w:rFonts w:ascii="Lato" w:eastAsiaTheme="minorHAnsi" w:hAnsi="Lato" w:cstheme="minorBidi"/>
          <w:kern w:val="2"/>
          <w:sz w:val="20"/>
          <w:szCs w:val="20"/>
          <w:lang w:eastAsia="en-US"/>
          <w14:ligatures w14:val="standardContextual"/>
        </w:rPr>
        <w:t>oraz</w:t>
      </w:r>
      <w:r w:rsidR="00D85CA6" w:rsidRPr="00054889">
        <w:rPr>
          <w:rFonts w:ascii="Lato" w:eastAsiaTheme="minorHAnsi" w:hAnsi="Lato" w:cstheme="minorBidi"/>
          <w:kern w:val="2"/>
          <w:sz w:val="20"/>
          <w:szCs w:val="20"/>
          <w:lang w:eastAsia="en-US"/>
          <w14:ligatures w14:val="standardContextual"/>
        </w:rPr>
        <w:t xml:space="preserve"> p</w:t>
      </w:r>
      <w:r w:rsidR="0085393A" w:rsidRPr="00054889">
        <w:rPr>
          <w:rFonts w:ascii="Lato" w:eastAsiaTheme="minorHAnsi" w:hAnsi="Lato" w:cstheme="minorBidi"/>
          <w:kern w:val="2"/>
          <w:sz w:val="20"/>
          <w:szCs w:val="20"/>
          <w:lang w:eastAsia="en-US"/>
          <w14:ligatures w14:val="standardContextual"/>
        </w:rPr>
        <w:t>odjęcie prac nad przygotowaniem oferty oraz zaplanowaniem dostępności kadr,</w:t>
      </w:r>
      <w:r w:rsidR="00D85CA6" w:rsidRPr="00054889">
        <w:rPr>
          <w:rFonts w:ascii="Lato" w:eastAsiaTheme="minorHAnsi" w:hAnsi="Lato" w:cstheme="minorBidi"/>
          <w:kern w:val="2"/>
          <w:sz w:val="20"/>
          <w:szCs w:val="20"/>
          <w:lang w:eastAsia="en-US"/>
          <w14:ligatures w14:val="standardContextual"/>
        </w:rPr>
        <w:t xml:space="preserve"> zaplecza organizacyjnego i</w:t>
      </w:r>
      <w:r w:rsidR="00C11F93" w:rsidRPr="00054889">
        <w:rPr>
          <w:rFonts w:ascii="Lato" w:eastAsiaTheme="minorHAnsi" w:hAnsi="Lato" w:cstheme="minorBidi"/>
          <w:kern w:val="2"/>
          <w:sz w:val="20"/>
          <w:szCs w:val="20"/>
          <w:lang w:eastAsia="en-US"/>
          <w14:ligatures w14:val="standardContextual"/>
        </w:rPr>
        <w:t xml:space="preserve"> </w:t>
      </w:r>
      <w:r w:rsidR="00D85CA6" w:rsidRPr="00054889">
        <w:rPr>
          <w:rFonts w:ascii="Lato" w:eastAsiaTheme="minorHAnsi" w:hAnsi="Lato" w:cstheme="minorBidi"/>
          <w:kern w:val="2"/>
          <w:sz w:val="20"/>
          <w:szCs w:val="20"/>
          <w:lang w:eastAsia="en-US"/>
          <w14:ligatures w14:val="standardContextual"/>
        </w:rPr>
        <w:t>technicznego.</w:t>
      </w:r>
    </w:p>
    <w:p w14:paraId="4CCF416D" w14:textId="1891F48A" w:rsidR="00F33C9E" w:rsidRPr="00054889" w:rsidRDefault="00F33C9E"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81437C">
        <w:rPr>
          <w:rFonts w:ascii="Lato" w:eastAsiaTheme="minorHAnsi" w:hAnsi="Lato" w:cstheme="minorBidi"/>
          <w:kern w:val="2"/>
          <w:sz w:val="20"/>
          <w:szCs w:val="20"/>
          <w:lang w:eastAsia="en-US"/>
          <w14:ligatures w14:val="standardContextual"/>
        </w:rPr>
        <w:t xml:space="preserve">Minimalny okres wyprzedzenia powinien być określony w regulacjach zakupowych </w:t>
      </w:r>
      <w:r w:rsidR="003A6DBB" w:rsidRPr="003A6DBB">
        <w:rPr>
          <w:rFonts w:ascii="Lato" w:eastAsiaTheme="minorHAnsi" w:hAnsi="Lato" w:cstheme="minorBidi"/>
          <w:kern w:val="2"/>
          <w:sz w:val="20"/>
          <w:szCs w:val="20"/>
          <w:lang w:eastAsia="en-US"/>
          <w14:ligatures w14:val="standardContextual"/>
        </w:rPr>
        <w:t>spółki z</w:t>
      </w:r>
      <w:r w:rsidR="00B13A9D">
        <w:rPr>
          <w:rFonts w:ascii="Lato" w:eastAsiaTheme="minorHAnsi" w:hAnsi="Lato" w:cstheme="minorBidi"/>
          <w:kern w:val="2"/>
          <w:sz w:val="20"/>
          <w:szCs w:val="20"/>
          <w:lang w:eastAsia="en-US"/>
          <w14:ligatures w14:val="standardContextual"/>
        </w:rPr>
        <w:t> </w:t>
      </w:r>
      <w:r w:rsidR="003A6DBB" w:rsidRPr="003A6DBB">
        <w:rPr>
          <w:rFonts w:ascii="Lato" w:eastAsiaTheme="minorHAnsi" w:hAnsi="Lato" w:cstheme="minorBidi"/>
          <w:kern w:val="2"/>
          <w:sz w:val="20"/>
          <w:szCs w:val="20"/>
          <w:lang w:eastAsia="en-US"/>
          <w14:ligatures w14:val="standardContextual"/>
        </w:rPr>
        <w:t xml:space="preserve">udziałem Skarbu Państwa </w:t>
      </w:r>
      <w:r w:rsidRPr="0081437C">
        <w:rPr>
          <w:rFonts w:ascii="Lato" w:eastAsiaTheme="minorHAnsi" w:hAnsi="Lato" w:cstheme="minorBidi"/>
          <w:kern w:val="2"/>
          <w:sz w:val="20"/>
          <w:szCs w:val="20"/>
          <w:lang w:eastAsia="en-US"/>
          <w14:ligatures w14:val="standardContextual"/>
        </w:rPr>
        <w:t xml:space="preserve">i dostosowany do charakteru i złożoności planowanych zamówień – dla projektów o dużej skali i złożoności, wyprzedzenie wynoszące kilka </w:t>
      </w:r>
      <w:r w:rsidR="003A6DBB">
        <w:rPr>
          <w:rFonts w:ascii="Lato" w:eastAsiaTheme="minorHAnsi" w:hAnsi="Lato" w:cstheme="minorBidi"/>
          <w:kern w:val="2"/>
          <w:sz w:val="20"/>
          <w:szCs w:val="20"/>
          <w:lang w:eastAsia="en-US"/>
          <w14:ligatures w14:val="standardContextual"/>
        </w:rPr>
        <w:t>miesięcy</w:t>
      </w:r>
      <w:r w:rsidRPr="0081437C">
        <w:rPr>
          <w:rFonts w:ascii="Lato" w:eastAsiaTheme="minorHAnsi" w:hAnsi="Lato" w:cstheme="minorBidi"/>
          <w:kern w:val="2"/>
          <w:sz w:val="20"/>
          <w:szCs w:val="20"/>
          <w:lang w:eastAsia="en-US"/>
          <w14:ligatures w14:val="standardContextual"/>
        </w:rPr>
        <w:t xml:space="preserve"> </w:t>
      </w:r>
      <w:r w:rsidR="003A6DBB">
        <w:rPr>
          <w:rFonts w:ascii="Lato" w:eastAsiaTheme="minorHAnsi" w:hAnsi="Lato" w:cstheme="minorBidi"/>
          <w:kern w:val="2"/>
          <w:sz w:val="20"/>
          <w:szCs w:val="20"/>
          <w:lang w:eastAsia="en-US"/>
          <w14:ligatures w14:val="standardContextual"/>
        </w:rPr>
        <w:t>może się okazać</w:t>
      </w:r>
      <w:r w:rsidRPr="0081437C">
        <w:rPr>
          <w:rFonts w:ascii="Lato" w:eastAsiaTheme="minorHAnsi" w:hAnsi="Lato" w:cstheme="minorBidi"/>
          <w:kern w:val="2"/>
          <w:sz w:val="20"/>
          <w:szCs w:val="20"/>
          <w:lang w:eastAsia="en-US"/>
          <w14:ligatures w14:val="standardContextual"/>
        </w:rPr>
        <w:t xml:space="preserve"> uzasadnione.</w:t>
      </w:r>
      <w:r w:rsidRPr="00054889">
        <w:rPr>
          <w:rFonts w:ascii="Lato" w:eastAsiaTheme="minorHAnsi" w:hAnsi="Lato" w:cstheme="minorBidi"/>
          <w:kern w:val="2"/>
          <w:sz w:val="20"/>
          <w:szCs w:val="20"/>
          <w:lang w:eastAsia="en-US"/>
          <w14:ligatures w14:val="standardContextual"/>
        </w:rPr>
        <w:t xml:space="preserve"> </w:t>
      </w:r>
      <w:r w:rsidRPr="0081437C">
        <w:rPr>
          <w:rFonts w:ascii="Lato" w:eastAsiaTheme="minorHAnsi" w:hAnsi="Lato" w:cstheme="minorBidi"/>
          <w:kern w:val="2"/>
          <w:sz w:val="20"/>
          <w:szCs w:val="20"/>
          <w:lang w:eastAsia="en-US"/>
          <w14:ligatures w14:val="standardContextual"/>
        </w:rPr>
        <w:t xml:space="preserve">Plan zamówień publikowany przez </w:t>
      </w:r>
      <w:r w:rsidR="003A6DBB" w:rsidRPr="003A6DBB">
        <w:rPr>
          <w:rFonts w:ascii="Lato" w:eastAsiaTheme="minorHAnsi" w:hAnsi="Lato" w:cstheme="minorBidi"/>
          <w:kern w:val="2"/>
          <w:sz w:val="20"/>
          <w:szCs w:val="20"/>
          <w:lang w:eastAsia="en-US"/>
          <w14:ligatures w14:val="standardContextual"/>
        </w:rPr>
        <w:t xml:space="preserve">spółki z udziałem Skarbu Państwa </w:t>
      </w:r>
      <w:r w:rsidRPr="0081437C">
        <w:rPr>
          <w:rFonts w:ascii="Lato" w:eastAsiaTheme="minorHAnsi" w:hAnsi="Lato" w:cstheme="minorBidi"/>
          <w:kern w:val="2"/>
          <w:sz w:val="20"/>
          <w:szCs w:val="20"/>
          <w:lang w:eastAsia="en-US"/>
          <w14:ligatures w14:val="standardContextual"/>
        </w:rPr>
        <w:t xml:space="preserve">powinien zawierać nie tylko przewidywane terminy uruchomienia postępowań, ale również ogólny opis zakresu i celów inwestycji oraz </w:t>
      </w:r>
      <w:r w:rsidR="003A6DBB">
        <w:rPr>
          <w:rFonts w:ascii="Lato" w:eastAsiaTheme="minorHAnsi" w:hAnsi="Lato" w:cstheme="minorBidi"/>
          <w:kern w:val="2"/>
          <w:sz w:val="20"/>
          <w:szCs w:val="20"/>
          <w:lang w:eastAsia="en-US"/>
          <w14:ligatures w14:val="standardContextual"/>
        </w:rPr>
        <w:t xml:space="preserve">przewidywane </w:t>
      </w:r>
      <w:r w:rsidR="004101F1">
        <w:rPr>
          <w:rFonts w:ascii="Lato" w:eastAsiaTheme="minorHAnsi" w:hAnsi="Lato" w:cstheme="minorBidi"/>
          <w:kern w:val="2"/>
          <w:sz w:val="20"/>
          <w:szCs w:val="20"/>
          <w:lang w:eastAsia="en-US"/>
          <w14:ligatures w14:val="standardContextual"/>
        </w:rPr>
        <w:t xml:space="preserve">główne </w:t>
      </w:r>
      <w:r w:rsidRPr="0081437C">
        <w:rPr>
          <w:rFonts w:ascii="Lato" w:eastAsiaTheme="minorHAnsi" w:hAnsi="Lato" w:cstheme="minorBidi"/>
          <w:kern w:val="2"/>
          <w:sz w:val="20"/>
          <w:szCs w:val="20"/>
          <w:lang w:eastAsia="en-US"/>
          <w14:ligatures w14:val="standardContextual"/>
        </w:rPr>
        <w:t xml:space="preserve">kryteria, które będą stosowane </w:t>
      </w:r>
      <w:r w:rsidR="003A6DBB">
        <w:rPr>
          <w:rFonts w:ascii="Lato" w:eastAsiaTheme="minorHAnsi" w:hAnsi="Lato" w:cstheme="minorBidi"/>
          <w:kern w:val="2"/>
          <w:sz w:val="20"/>
          <w:szCs w:val="20"/>
          <w:lang w:eastAsia="en-US"/>
          <w14:ligatures w14:val="standardContextual"/>
        </w:rPr>
        <w:t>przy</w:t>
      </w:r>
      <w:r w:rsidRPr="0081437C">
        <w:rPr>
          <w:rFonts w:ascii="Lato" w:eastAsiaTheme="minorHAnsi" w:hAnsi="Lato" w:cstheme="minorBidi"/>
          <w:kern w:val="2"/>
          <w:sz w:val="20"/>
          <w:szCs w:val="20"/>
          <w:lang w:eastAsia="en-US"/>
          <w14:ligatures w14:val="standardContextual"/>
        </w:rPr>
        <w:t xml:space="preserve"> ocenie ofert. Takie informacje umożliwiają potencjalnym oferentom przeprowadzenie wstępnej </w:t>
      </w:r>
      <w:r w:rsidR="003A6DBB">
        <w:rPr>
          <w:rFonts w:ascii="Lato" w:eastAsiaTheme="minorHAnsi" w:hAnsi="Lato" w:cstheme="minorBidi"/>
          <w:kern w:val="2"/>
          <w:sz w:val="20"/>
          <w:szCs w:val="20"/>
          <w:lang w:eastAsia="en-US"/>
          <w14:ligatures w14:val="standardContextual"/>
        </w:rPr>
        <w:t>oceny</w:t>
      </w:r>
      <w:r w:rsidRPr="0081437C">
        <w:rPr>
          <w:rFonts w:ascii="Lato" w:eastAsiaTheme="minorHAnsi" w:hAnsi="Lato" w:cstheme="minorBidi"/>
          <w:kern w:val="2"/>
          <w:sz w:val="20"/>
          <w:szCs w:val="20"/>
          <w:lang w:eastAsia="en-US"/>
          <w14:ligatures w14:val="standardContextual"/>
        </w:rPr>
        <w:t xml:space="preserve">, czy dysponują lub mogą </w:t>
      </w:r>
      <w:r w:rsidR="003A6DBB">
        <w:rPr>
          <w:rFonts w:ascii="Lato" w:eastAsiaTheme="minorHAnsi" w:hAnsi="Lato" w:cstheme="minorBidi"/>
          <w:kern w:val="2"/>
          <w:sz w:val="20"/>
          <w:szCs w:val="20"/>
          <w:lang w:eastAsia="en-US"/>
          <w14:ligatures w14:val="standardContextual"/>
        </w:rPr>
        <w:t>pozyskać</w:t>
      </w:r>
      <w:r w:rsidRPr="0081437C">
        <w:rPr>
          <w:rFonts w:ascii="Lato" w:eastAsiaTheme="minorHAnsi" w:hAnsi="Lato" w:cstheme="minorBidi"/>
          <w:kern w:val="2"/>
          <w:sz w:val="20"/>
          <w:szCs w:val="20"/>
          <w:lang w:eastAsia="en-US"/>
          <w14:ligatures w14:val="standardContextual"/>
        </w:rPr>
        <w:t xml:space="preserve"> zdolności niezbędne do uczestnictwa w danym postępowaniu.</w:t>
      </w:r>
      <w:r w:rsidRPr="00054889">
        <w:rPr>
          <w:rFonts w:ascii="Lato" w:eastAsiaTheme="minorHAnsi" w:hAnsi="Lato" w:cstheme="minorBidi"/>
          <w:kern w:val="2"/>
          <w:sz w:val="20"/>
          <w:szCs w:val="20"/>
          <w:lang w:eastAsia="en-US"/>
          <w14:ligatures w14:val="standardContextual"/>
        </w:rPr>
        <w:t xml:space="preserve"> </w:t>
      </w:r>
    </w:p>
    <w:p w14:paraId="679D34F9" w14:textId="7510C724" w:rsidR="00F33C9E" w:rsidRPr="00054889" w:rsidRDefault="00F33C9E"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81437C">
        <w:rPr>
          <w:rFonts w:ascii="Lato" w:eastAsiaTheme="minorHAnsi" w:hAnsi="Lato" w:cstheme="minorBidi"/>
          <w:kern w:val="2"/>
          <w:sz w:val="20"/>
          <w:szCs w:val="20"/>
          <w:lang w:eastAsia="en-US"/>
          <w14:ligatures w14:val="standardContextual"/>
        </w:rPr>
        <w:t xml:space="preserve">Publikowanie planu zamówień powinno być powiązane z ogólnym planem komunikacji </w:t>
      </w:r>
      <w:r w:rsidR="003A6DBB">
        <w:rPr>
          <w:rFonts w:ascii="Lato" w:eastAsiaTheme="minorHAnsi" w:hAnsi="Lato" w:cstheme="minorBidi"/>
          <w:bCs/>
          <w:kern w:val="2"/>
          <w:sz w:val="20"/>
          <w:szCs w:val="20"/>
          <w:lang w:eastAsia="en-US"/>
          <w14:ligatures w14:val="standardContextual"/>
        </w:rPr>
        <w:t>s</w:t>
      </w:r>
      <w:r w:rsidR="003A6DBB" w:rsidRPr="00054889">
        <w:rPr>
          <w:rFonts w:ascii="Lato" w:eastAsiaTheme="minorHAnsi" w:hAnsi="Lato" w:cstheme="minorBidi"/>
          <w:bCs/>
          <w:kern w:val="2"/>
          <w:sz w:val="20"/>
          <w:szCs w:val="20"/>
          <w:lang w:eastAsia="en-US"/>
          <w14:ligatures w14:val="standardContextual"/>
        </w:rPr>
        <w:t xml:space="preserve">półki </w:t>
      </w:r>
      <w:r w:rsidR="003A6DBB">
        <w:rPr>
          <w:rFonts w:ascii="Lato" w:eastAsiaTheme="minorHAnsi" w:hAnsi="Lato" w:cstheme="minorBidi"/>
          <w:bCs/>
          <w:kern w:val="2"/>
          <w:sz w:val="20"/>
          <w:szCs w:val="20"/>
          <w:lang w:eastAsia="en-US"/>
          <w14:ligatures w14:val="standardContextual"/>
        </w:rPr>
        <w:lastRenderedPageBreak/>
        <w:t>z udziałem Skarbu Państwa</w:t>
      </w:r>
      <w:r w:rsidR="003A6DBB" w:rsidRPr="00054889">
        <w:rPr>
          <w:rFonts w:ascii="Lato" w:eastAsiaTheme="minorHAnsi" w:hAnsi="Lato" w:cstheme="minorBidi"/>
          <w:bCs/>
          <w:kern w:val="2"/>
          <w:sz w:val="20"/>
          <w:szCs w:val="20"/>
          <w:lang w:eastAsia="en-US"/>
          <w14:ligatures w14:val="standardContextual"/>
        </w:rPr>
        <w:t xml:space="preserve"> </w:t>
      </w:r>
      <w:r w:rsidRPr="0081437C">
        <w:rPr>
          <w:rFonts w:ascii="Lato" w:eastAsiaTheme="minorHAnsi" w:hAnsi="Lato" w:cstheme="minorBidi"/>
          <w:kern w:val="2"/>
          <w:sz w:val="20"/>
          <w:szCs w:val="20"/>
          <w:lang w:eastAsia="en-US"/>
          <w14:ligatures w14:val="standardContextual"/>
        </w:rPr>
        <w:t xml:space="preserve">z rynkiem. Plan ten powinien identyfikować grupy interesariuszy (dostawcy, podwykonawcy, ośrodki naukowe), z którymi </w:t>
      </w:r>
      <w:r w:rsidR="00216469" w:rsidRPr="00216469">
        <w:rPr>
          <w:rFonts w:ascii="Lato" w:eastAsiaTheme="minorHAnsi" w:hAnsi="Lato" w:cstheme="minorBidi"/>
          <w:kern w:val="2"/>
          <w:sz w:val="20"/>
          <w:szCs w:val="20"/>
          <w:lang w:eastAsia="en-US"/>
          <w14:ligatures w14:val="standardContextual"/>
        </w:rPr>
        <w:t>spółk</w:t>
      </w:r>
      <w:r w:rsidR="00216469">
        <w:rPr>
          <w:rFonts w:ascii="Lato" w:eastAsiaTheme="minorHAnsi" w:hAnsi="Lato" w:cstheme="minorBidi"/>
          <w:kern w:val="2"/>
          <w:sz w:val="20"/>
          <w:szCs w:val="20"/>
          <w:lang w:eastAsia="en-US"/>
          <w14:ligatures w14:val="standardContextual"/>
        </w:rPr>
        <w:t>a</w:t>
      </w:r>
      <w:r w:rsidR="00216469" w:rsidRPr="00216469">
        <w:rPr>
          <w:rFonts w:ascii="Lato" w:eastAsiaTheme="minorHAnsi" w:hAnsi="Lato" w:cstheme="minorBidi"/>
          <w:kern w:val="2"/>
          <w:sz w:val="20"/>
          <w:szCs w:val="20"/>
          <w:lang w:eastAsia="en-US"/>
          <w14:ligatures w14:val="standardContextual"/>
        </w:rPr>
        <w:t xml:space="preserve"> z udziałem Skarbu Państwa </w:t>
      </w:r>
      <w:r w:rsidRPr="0081437C">
        <w:rPr>
          <w:rFonts w:ascii="Lato" w:eastAsiaTheme="minorHAnsi" w:hAnsi="Lato" w:cstheme="minorBidi"/>
          <w:kern w:val="2"/>
          <w:sz w:val="20"/>
          <w:szCs w:val="20"/>
          <w:lang w:eastAsia="en-US"/>
          <w14:ligatures w14:val="standardContextual"/>
        </w:rPr>
        <w:t>zamierza aktywnie komunikować się w trakcie przygotowania postępowań</w:t>
      </w:r>
      <w:r w:rsidR="004101F1">
        <w:rPr>
          <w:rFonts w:ascii="Lato" w:eastAsiaTheme="minorHAnsi" w:hAnsi="Lato" w:cstheme="minorBidi"/>
          <w:kern w:val="2"/>
          <w:sz w:val="20"/>
          <w:szCs w:val="20"/>
          <w:lang w:eastAsia="en-US"/>
          <w14:ligatures w14:val="standardContextual"/>
        </w:rPr>
        <w:t xml:space="preserve"> z uwzględnieniem zasad konkurencyjności</w:t>
      </w:r>
      <w:r w:rsidRPr="0081437C">
        <w:rPr>
          <w:rFonts w:ascii="Lato" w:eastAsiaTheme="minorHAnsi" w:hAnsi="Lato" w:cstheme="minorBidi"/>
          <w:kern w:val="2"/>
          <w:sz w:val="20"/>
          <w:szCs w:val="20"/>
          <w:lang w:eastAsia="en-US"/>
          <w14:ligatures w14:val="standardContextual"/>
        </w:rPr>
        <w:t xml:space="preserve">. Dla różnych kategorii zakupowych mogą to być różne grupy – dla zamówień technicznych mogą to być producenci specjalistycznego sprzętu i ośrodki badawcze, dla zamówień usługowych mogą to być </w:t>
      </w:r>
      <w:r w:rsidR="00216469">
        <w:rPr>
          <w:rFonts w:ascii="Lato" w:eastAsiaTheme="minorHAnsi" w:hAnsi="Lato" w:cstheme="minorBidi"/>
          <w:kern w:val="2"/>
          <w:sz w:val="20"/>
          <w:szCs w:val="20"/>
          <w:lang w:eastAsia="en-US"/>
          <w14:ligatures w14:val="standardContextual"/>
        </w:rPr>
        <w:t>firmy specjalizujące się w świadczeniu określonego rodzaju usług</w:t>
      </w:r>
      <w:r w:rsidRPr="0081437C">
        <w:rPr>
          <w:rFonts w:ascii="Lato" w:eastAsiaTheme="minorHAnsi" w:hAnsi="Lato" w:cstheme="minorBidi"/>
          <w:kern w:val="2"/>
          <w:sz w:val="20"/>
          <w:szCs w:val="20"/>
          <w:lang w:eastAsia="en-US"/>
          <w14:ligatures w14:val="standardContextual"/>
        </w:rPr>
        <w:t>, dla zamówień dotyczących oprogramowania mogą to być firmy z sektora IT i startup</w:t>
      </w:r>
      <w:r w:rsidR="003A3C97">
        <w:rPr>
          <w:rFonts w:ascii="Lato" w:eastAsiaTheme="minorHAnsi" w:hAnsi="Lato" w:cstheme="minorBidi"/>
          <w:kern w:val="2"/>
          <w:sz w:val="20"/>
          <w:szCs w:val="20"/>
          <w:lang w:eastAsia="en-US"/>
          <w14:ligatures w14:val="standardContextual"/>
        </w:rPr>
        <w:t>y</w:t>
      </w:r>
      <w:r w:rsidRPr="0081437C">
        <w:rPr>
          <w:rFonts w:ascii="Lato" w:eastAsiaTheme="minorHAnsi" w:hAnsi="Lato" w:cstheme="minorBidi"/>
          <w:kern w:val="2"/>
          <w:sz w:val="20"/>
          <w:szCs w:val="20"/>
          <w:lang w:eastAsia="en-US"/>
          <w14:ligatures w14:val="standardContextual"/>
        </w:rPr>
        <w:t xml:space="preserve"> technologiczne.</w:t>
      </w:r>
    </w:p>
    <w:p w14:paraId="14E4DF13" w14:textId="401458BE" w:rsidR="00F33C9E" w:rsidRPr="0081437C" w:rsidRDefault="00F33C9E"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81437C">
        <w:rPr>
          <w:rFonts w:ascii="Lato" w:eastAsiaTheme="minorHAnsi" w:hAnsi="Lato" w:cstheme="minorBidi"/>
          <w:kern w:val="2"/>
          <w:sz w:val="20"/>
          <w:szCs w:val="20"/>
          <w:lang w:eastAsia="en-US"/>
          <w14:ligatures w14:val="standardContextual"/>
        </w:rPr>
        <w:t>Plan zamówień powinien być publikowany w dostępnym formacie umożliwiającym łatwe filtrowanie i śledzenie zmian. Rekomenduje się udostępnianie planu również w formie, która umożliwia zainteresowanym podmiotom zapisanie się do systemu powiadomień o zmianach w planach dla wybranych kategorii zakupowych. Takie podejście ułatwia dotarcie do szerokiego grona potencjalnych oferentów, bez konieczności przeprowadzania indywidualnych kampanii komunikacyjnych.</w:t>
      </w:r>
    </w:p>
    <w:p w14:paraId="04D3FC3B" w14:textId="77777777" w:rsidR="00C11F93" w:rsidRPr="00054889" w:rsidRDefault="00701D3B" w:rsidP="00FD2F03">
      <w:pPr>
        <w:pStyle w:val="NormalnyWeb"/>
        <w:widowControl w:val="0"/>
        <w:numPr>
          <w:ilvl w:val="1"/>
          <w:numId w:val="10"/>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eastAsiaTheme="majorEastAsia" w:hAnsi="Lato"/>
          <w:b/>
          <w:bCs/>
          <w:sz w:val="20"/>
          <w:szCs w:val="20"/>
        </w:rPr>
        <w:t>Prowadzenie dialogu technicznego i konsultacji rynkowych</w:t>
      </w:r>
    </w:p>
    <w:p w14:paraId="1EE702F7" w14:textId="08B397EB" w:rsidR="00D85CA6" w:rsidRPr="00054889" w:rsidRDefault="00216469" w:rsidP="00097032">
      <w:pPr>
        <w:pStyle w:val="NormalnyWeb"/>
        <w:widowControl w:val="0"/>
        <w:spacing w:before="0" w:beforeAutospacing="0" w:after="120" w:afterAutospacing="0" w:line="360" w:lineRule="auto"/>
        <w:ind w:left="993"/>
        <w:jc w:val="both"/>
        <w:rPr>
          <w:rFonts w:ascii="Lato" w:hAnsi="Lato"/>
          <w:sz w:val="20"/>
          <w:szCs w:val="20"/>
        </w:rPr>
      </w:pPr>
      <w:r>
        <w:rPr>
          <w:rFonts w:ascii="Lato" w:eastAsiaTheme="majorEastAsia" w:hAnsi="Lato"/>
          <w:sz w:val="20"/>
          <w:szCs w:val="20"/>
        </w:rPr>
        <w:t>Dobrą praktyką jest też k</w:t>
      </w:r>
      <w:r w:rsidR="00701D3B" w:rsidRPr="00054889">
        <w:rPr>
          <w:rFonts w:ascii="Lato" w:eastAsiaTheme="majorEastAsia" w:hAnsi="Lato"/>
          <w:sz w:val="20"/>
          <w:szCs w:val="20"/>
        </w:rPr>
        <w:t>orzystanie z dostępnych narzędzi dialogu z rynkiem</w:t>
      </w:r>
      <w:r w:rsidR="00C11F93" w:rsidRPr="00054889">
        <w:rPr>
          <w:rFonts w:ascii="Lato" w:eastAsiaTheme="majorEastAsia" w:hAnsi="Lato"/>
          <w:sz w:val="20"/>
          <w:szCs w:val="20"/>
        </w:rPr>
        <w:t xml:space="preserve"> wykonawców</w:t>
      </w:r>
      <w:r w:rsidR="00701D3B" w:rsidRPr="00054889">
        <w:rPr>
          <w:rFonts w:ascii="Lato" w:eastAsiaTheme="majorEastAsia" w:hAnsi="Lato"/>
          <w:sz w:val="20"/>
          <w:szCs w:val="20"/>
        </w:rPr>
        <w:t>, w tym</w:t>
      </w:r>
      <w:r w:rsidR="00C11F93" w:rsidRPr="00054889">
        <w:rPr>
          <w:rFonts w:ascii="Lato" w:eastAsiaTheme="majorEastAsia" w:hAnsi="Lato"/>
          <w:sz w:val="20"/>
          <w:szCs w:val="20"/>
        </w:rPr>
        <w:t xml:space="preserve"> prowadzeni</w:t>
      </w:r>
      <w:r w:rsidR="00CA4152">
        <w:rPr>
          <w:rFonts w:ascii="Lato" w:eastAsiaTheme="majorEastAsia" w:hAnsi="Lato"/>
          <w:sz w:val="20"/>
          <w:szCs w:val="20"/>
        </w:rPr>
        <w:t>e</w:t>
      </w:r>
      <w:r w:rsidR="00701D3B" w:rsidRPr="00054889">
        <w:rPr>
          <w:rFonts w:ascii="Lato" w:eastAsiaTheme="majorEastAsia" w:hAnsi="Lato"/>
          <w:sz w:val="20"/>
          <w:szCs w:val="20"/>
        </w:rPr>
        <w:t xml:space="preserve"> konsultacji wstępnych, przy zachowaniu zasad równego traktowania i przejrzystości. </w:t>
      </w:r>
      <w:r>
        <w:rPr>
          <w:rFonts w:ascii="Lato" w:eastAsiaTheme="majorEastAsia" w:hAnsi="Lato"/>
          <w:sz w:val="20"/>
          <w:szCs w:val="20"/>
        </w:rPr>
        <w:t>Takie d</w:t>
      </w:r>
      <w:r w:rsidR="00043AAC" w:rsidRPr="00054889">
        <w:rPr>
          <w:rFonts w:ascii="Lato" w:hAnsi="Lato"/>
          <w:sz w:val="20"/>
          <w:szCs w:val="20"/>
        </w:rPr>
        <w:t xml:space="preserve">ziałania pozwalają </w:t>
      </w:r>
      <w:r>
        <w:rPr>
          <w:rFonts w:ascii="Lato" w:hAnsi="Lato"/>
          <w:sz w:val="20"/>
          <w:szCs w:val="20"/>
        </w:rPr>
        <w:t>trafniej</w:t>
      </w:r>
      <w:r w:rsidR="00043AAC" w:rsidRPr="00054889">
        <w:rPr>
          <w:rFonts w:ascii="Lato" w:hAnsi="Lato"/>
          <w:sz w:val="20"/>
          <w:szCs w:val="20"/>
        </w:rPr>
        <w:t xml:space="preserve"> określić wymagania oraz ograniczyć ryzyko błędów projektowych.</w:t>
      </w:r>
      <w:r w:rsidR="00B13A9D">
        <w:rPr>
          <w:rFonts w:ascii="Lato" w:hAnsi="Lato"/>
          <w:sz w:val="20"/>
          <w:szCs w:val="20"/>
        </w:rPr>
        <w:t xml:space="preserve"> </w:t>
      </w:r>
      <w:r w:rsidR="00B13A9D" w:rsidRPr="0034539F">
        <w:rPr>
          <w:rFonts w:ascii="Lato" w:hAnsi="Lato"/>
          <w:sz w:val="20"/>
          <w:szCs w:val="20"/>
        </w:rPr>
        <w:t xml:space="preserve">Wyłoniony w procedurze wykonawca </w:t>
      </w:r>
      <w:r w:rsidR="00CA4152" w:rsidRPr="0034539F">
        <w:rPr>
          <w:rFonts w:ascii="Lato" w:hAnsi="Lato"/>
          <w:sz w:val="20"/>
          <w:szCs w:val="20"/>
        </w:rPr>
        <w:t xml:space="preserve">będzie </w:t>
      </w:r>
      <w:r w:rsidR="00B13A9D" w:rsidRPr="0034539F">
        <w:rPr>
          <w:rFonts w:ascii="Lato" w:hAnsi="Lato"/>
          <w:sz w:val="20"/>
          <w:szCs w:val="20"/>
        </w:rPr>
        <w:t>następnie partnerem przy realizacji projektu współodpowiedzialnym za jego powodzenie.</w:t>
      </w:r>
      <w:r w:rsidR="00B13A9D">
        <w:rPr>
          <w:rFonts w:ascii="Lato" w:hAnsi="Lato"/>
          <w:sz w:val="20"/>
          <w:szCs w:val="20"/>
        </w:rPr>
        <w:t xml:space="preserve"> </w:t>
      </w:r>
    </w:p>
    <w:p w14:paraId="06F84CB5" w14:textId="77777777" w:rsidR="00081E7F" w:rsidRPr="00054889" w:rsidRDefault="00081E7F"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Dialog techniczny powinien być zaplanowany na wczesnym etapie przygotowania postępowania, zanim zostanie sfinalizowana specyfikacja warunków zamówienia.</w:t>
      </w:r>
    </w:p>
    <w:p w14:paraId="7EA35E11" w14:textId="33FEC665" w:rsidR="00081E7F" w:rsidRPr="00054889" w:rsidRDefault="00081E7F"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 xml:space="preserve">Konsultacje rynkowe mogą przybierać różne formy w zależności od charakteru zamówienia. Dla zamówień technicznych mogą to być rozmowy z producentami sprzętu i ośrodkami badawczymi, mające na celu identyfikację dostępnych rozwiązań technicznych i ocenę realności zaplanowanych harmonogramów. Dla zamówień usługowych mogą to być dyskusje z potencjalnymi dostawcami usług dotyczące </w:t>
      </w:r>
      <w:r w:rsidR="00216469">
        <w:rPr>
          <w:rFonts w:ascii="Lato" w:hAnsi="Lato"/>
          <w:sz w:val="20"/>
          <w:szCs w:val="20"/>
        </w:rPr>
        <w:t>sposobu</w:t>
      </w:r>
      <w:r w:rsidRPr="00054889">
        <w:rPr>
          <w:rFonts w:ascii="Lato" w:hAnsi="Lato"/>
          <w:sz w:val="20"/>
          <w:szCs w:val="20"/>
        </w:rPr>
        <w:t xml:space="preserve"> realizacji projektów i identyfikacji </w:t>
      </w:r>
      <w:proofErr w:type="spellStart"/>
      <w:r w:rsidRPr="00054889">
        <w:rPr>
          <w:rFonts w:ascii="Lato" w:hAnsi="Lato"/>
          <w:sz w:val="20"/>
          <w:szCs w:val="20"/>
        </w:rPr>
        <w:t>ryzyk</w:t>
      </w:r>
      <w:proofErr w:type="spellEnd"/>
      <w:r w:rsidRPr="00054889">
        <w:rPr>
          <w:rFonts w:ascii="Lato" w:hAnsi="Lato"/>
          <w:sz w:val="20"/>
          <w:szCs w:val="20"/>
        </w:rPr>
        <w:t>.</w:t>
      </w:r>
    </w:p>
    <w:p w14:paraId="61892863" w14:textId="2557C8BF" w:rsidR="00081E7F" w:rsidRPr="00054889" w:rsidRDefault="00216469" w:rsidP="00097032">
      <w:pPr>
        <w:pStyle w:val="NormalnyWeb"/>
        <w:widowControl w:val="0"/>
        <w:spacing w:before="0" w:beforeAutospacing="0" w:after="120" w:afterAutospacing="0" w:line="360" w:lineRule="auto"/>
        <w:ind w:left="993"/>
        <w:jc w:val="both"/>
        <w:rPr>
          <w:rFonts w:ascii="Lato" w:hAnsi="Lato"/>
          <w:sz w:val="20"/>
          <w:szCs w:val="20"/>
        </w:rPr>
      </w:pPr>
      <w:r>
        <w:rPr>
          <w:rFonts w:ascii="Lato" w:hAnsi="Lato"/>
          <w:sz w:val="20"/>
          <w:szCs w:val="20"/>
        </w:rPr>
        <w:t>S</w:t>
      </w:r>
      <w:r w:rsidRPr="00216469">
        <w:rPr>
          <w:rFonts w:ascii="Lato" w:hAnsi="Lato"/>
          <w:sz w:val="20"/>
          <w:szCs w:val="20"/>
        </w:rPr>
        <w:t xml:space="preserve">półki z udziałem Skarbu Państwa </w:t>
      </w:r>
      <w:r>
        <w:rPr>
          <w:rFonts w:ascii="Lato" w:hAnsi="Lato"/>
          <w:sz w:val="20"/>
          <w:szCs w:val="20"/>
        </w:rPr>
        <w:t>mogą też</w:t>
      </w:r>
      <w:r w:rsidR="00081E7F" w:rsidRPr="00054889">
        <w:rPr>
          <w:rFonts w:ascii="Lato" w:hAnsi="Lato"/>
          <w:sz w:val="20"/>
          <w:szCs w:val="20"/>
        </w:rPr>
        <w:t xml:space="preserve"> opublikować wytyczne dotyczące procedury prowadzenia konsultacji rynkowych, które zapewniają, że wszystkie zainteresowane podmioty mają równy dostęp do udzielanych informacji. Jedna z możliwych procedur polega na opublikowaniu na stronie internetowej Spółki zaproszenia do udziału w konsultacjach, wraz z harmonogramem, tematyką dyskusji oraz procedurą rejestracji. Po przeprowadzeniu konsultacji, </w:t>
      </w:r>
      <w:r>
        <w:rPr>
          <w:rFonts w:ascii="Lato" w:hAnsi="Lato"/>
          <w:sz w:val="20"/>
          <w:szCs w:val="20"/>
        </w:rPr>
        <w:t>dana s</w:t>
      </w:r>
      <w:r w:rsidR="00081E7F" w:rsidRPr="00054889">
        <w:rPr>
          <w:rFonts w:ascii="Lato" w:hAnsi="Lato"/>
          <w:sz w:val="20"/>
          <w:szCs w:val="20"/>
        </w:rPr>
        <w:t xml:space="preserve">półka </w:t>
      </w:r>
      <w:r>
        <w:rPr>
          <w:rFonts w:ascii="Lato" w:hAnsi="Lato"/>
          <w:sz w:val="20"/>
          <w:szCs w:val="20"/>
        </w:rPr>
        <w:t>może</w:t>
      </w:r>
      <w:r w:rsidR="00081E7F" w:rsidRPr="00054889">
        <w:rPr>
          <w:rFonts w:ascii="Lato" w:hAnsi="Lato"/>
          <w:sz w:val="20"/>
          <w:szCs w:val="20"/>
        </w:rPr>
        <w:t xml:space="preserve"> opublikować streszczenie udzielonych informacji i odpowiedzi na </w:t>
      </w:r>
      <w:r>
        <w:rPr>
          <w:rFonts w:ascii="Lato" w:hAnsi="Lato"/>
          <w:sz w:val="20"/>
          <w:szCs w:val="20"/>
        </w:rPr>
        <w:t xml:space="preserve">zadane </w:t>
      </w:r>
      <w:r w:rsidR="00081E7F" w:rsidRPr="00054889">
        <w:rPr>
          <w:rFonts w:ascii="Lato" w:hAnsi="Lato"/>
          <w:sz w:val="20"/>
          <w:szCs w:val="20"/>
        </w:rPr>
        <w:t>pytania, aby wszystkie zainteresowane podmioty mogły skorzystać z informacji.</w:t>
      </w:r>
    </w:p>
    <w:p w14:paraId="242EF080" w14:textId="13A7EEE2" w:rsidR="004A4142" w:rsidRPr="00054889" w:rsidRDefault="00081E7F"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W ramach konsultacji rynkowych</w:t>
      </w:r>
      <w:r w:rsidR="00216469">
        <w:rPr>
          <w:rFonts w:ascii="Lato" w:hAnsi="Lato"/>
          <w:sz w:val="20"/>
          <w:szCs w:val="20"/>
        </w:rPr>
        <w:t xml:space="preserve"> </w:t>
      </w:r>
      <w:r w:rsidR="00216469" w:rsidRPr="00216469">
        <w:rPr>
          <w:rFonts w:ascii="Lato" w:hAnsi="Lato"/>
          <w:sz w:val="20"/>
          <w:szCs w:val="20"/>
        </w:rPr>
        <w:t xml:space="preserve">spółki z udziałem Skarbu Państwa </w:t>
      </w:r>
      <w:r w:rsidR="00216469">
        <w:rPr>
          <w:rFonts w:ascii="Lato" w:hAnsi="Lato"/>
          <w:sz w:val="20"/>
          <w:szCs w:val="20"/>
        </w:rPr>
        <w:t>mogą</w:t>
      </w:r>
      <w:r w:rsidRPr="00054889">
        <w:rPr>
          <w:rFonts w:ascii="Lato" w:hAnsi="Lato"/>
          <w:sz w:val="20"/>
          <w:szCs w:val="20"/>
        </w:rPr>
        <w:t xml:space="preserve"> zbierać informacje na temat dostępnych rozwiązań i możliwości ich adaptacji do </w:t>
      </w:r>
      <w:r w:rsidR="00216469">
        <w:rPr>
          <w:rFonts w:ascii="Lato" w:hAnsi="Lato"/>
          <w:sz w:val="20"/>
          <w:szCs w:val="20"/>
        </w:rPr>
        <w:t xml:space="preserve">ich </w:t>
      </w:r>
      <w:r w:rsidRPr="00054889">
        <w:rPr>
          <w:rFonts w:ascii="Lato" w:hAnsi="Lato"/>
          <w:sz w:val="20"/>
          <w:szCs w:val="20"/>
        </w:rPr>
        <w:t xml:space="preserve">potrzeb, realistyczności zaplanowanych harmonogramów i budżetów, dostępności specjalistów i zasobów, </w:t>
      </w:r>
      <w:proofErr w:type="spellStart"/>
      <w:r w:rsidRPr="00054889">
        <w:rPr>
          <w:rFonts w:ascii="Lato" w:hAnsi="Lato"/>
          <w:sz w:val="20"/>
          <w:szCs w:val="20"/>
        </w:rPr>
        <w:t>ryzyk</w:t>
      </w:r>
      <w:proofErr w:type="spellEnd"/>
      <w:r w:rsidRPr="00054889">
        <w:rPr>
          <w:rFonts w:ascii="Lato" w:hAnsi="Lato"/>
          <w:sz w:val="20"/>
          <w:szCs w:val="20"/>
        </w:rPr>
        <w:t xml:space="preserve"> </w:t>
      </w:r>
      <w:r w:rsidRPr="00054889">
        <w:rPr>
          <w:rFonts w:ascii="Lato" w:hAnsi="Lato"/>
          <w:sz w:val="20"/>
          <w:szCs w:val="20"/>
        </w:rPr>
        <w:lastRenderedPageBreak/>
        <w:t>związanych z realizacją projektu oraz możliwości zaangażowania krajowych podmiotów w realizację poszczególnych elementów zamówienia.</w:t>
      </w:r>
      <w:r w:rsidR="005F2C4E">
        <w:rPr>
          <w:rFonts w:ascii="Lato" w:hAnsi="Lato"/>
          <w:sz w:val="20"/>
          <w:szCs w:val="20"/>
        </w:rPr>
        <w:t xml:space="preserve"> Takie i</w:t>
      </w:r>
      <w:r w:rsidRPr="00054889">
        <w:rPr>
          <w:rFonts w:ascii="Lato" w:hAnsi="Lato"/>
          <w:sz w:val="20"/>
          <w:szCs w:val="20"/>
        </w:rPr>
        <w:t xml:space="preserve">nformacje </w:t>
      </w:r>
      <w:r w:rsidR="005F2C4E">
        <w:rPr>
          <w:rFonts w:ascii="Lato" w:hAnsi="Lato"/>
          <w:sz w:val="20"/>
          <w:szCs w:val="20"/>
        </w:rPr>
        <w:t>mogą</w:t>
      </w:r>
      <w:r w:rsidRPr="00054889">
        <w:rPr>
          <w:rFonts w:ascii="Lato" w:hAnsi="Lato"/>
          <w:sz w:val="20"/>
          <w:szCs w:val="20"/>
        </w:rPr>
        <w:t xml:space="preserve"> być wykorzystane do optymalizacji specyfikacji warunków zamówienia i struktury umowy</w:t>
      </w:r>
      <w:r w:rsidR="005F2C4E">
        <w:rPr>
          <w:rFonts w:ascii="Lato" w:hAnsi="Lato"/>
          <w:sz w:val="20"/>
          <w:szCs w:val="20"/>
        </w:rPr>
        <w:t xml:space="preserve"> zawieranej na potrzeby realizacji zamówienia</w:t>
      </w:r>
      <w:r w:rsidRPr="00054889">
        <w:rPr>
          <w:rFonts w:ascii="Lato" w:hAnsi="Lato"/>
          <w:sz w:val="20"/>
          <w:szCs w:val="20"/>
        </w:rPr>
        <w:t>.</w:t>
      </w:r>
    </w:p>
    <w:p w14:paraId="42FD2F29" w14:textId="77777777" w:rsidR="00C11F93" w:rsidRPr="00054889" w:rsidRDefault="00043AAC" w:rsidP="00FD2F03">
      <w:pPr>
        <w:pStyle w:val="NormalnyWeb"/>
        <w:widowControl w:val="0"/>
        <w:numPr>
          <w:ilvl w:val="1"/>
          <w:numId w:val="10"/>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eastAsiaTheme="majorEastAsia" w:hAnsi="Lato"/>
          <w:b/>
          <w:bCs/>
          <w:sz w:val="20"/>
          <w:szCs w:val="20"/>
        </w:rPr>
        <w:t>Organizowanie spotkań informacyjnych i „dni dostawców”</w:t>
      </w:r>
    </w:p>
    <w:p w14:paraId="1197CE12" w14:textId="766E5595" w:rsidR="00D85CA6" w:rsidRPr="00054889" w:rsidRDefault="002A0D85" w:rsidP="00097032">
      <w:pPr>
        <w:pStyle w:val="NormalnyWeb"/>
        <w:widowControl w:val="0"/>
        <w:spacing w:before="0" w:beforeAutospacing="0" w:after="120" w:afterAutospacing="0" w:line="360" w:lineRule="auto"/>
        <w:ind w:left="993"/>
        <w:jc w:val="both"/>
        <w:rPr>
          <w:rFonts w:ascii="Lato" w:hAnsi="Lato"/>
          <w:sz w:val="20"/>
          <w:szCs w:val="20"/>
        </w:rPr>
      </w:pPr>
      <w:r>
        <w:rPr>
          <w:rFonts w:ascii="Lato" w:hAnsi="Lato"/>
          <w:sz w:val="20"/>
          <w:szCs w:val="20"/>
        </w:rPr>
        <w:t>Wskazane jest i</w:t>
      </w:r>
      <w:r w:rsidR="00043AAC" w:rsidRPr="00054889">
        <w:rPr>
          <w:rFonts w:ascii="Lato" w:hAnsi="Lato"/>
          <w:sz w:val="20"/>
          <w:szCs w:val="20"/>
        </w:rPr>
        <w:t>nicjowanie</w:t>
      </w:r>
      <w:r>
        <w:rPr>
          <w:rFonts w:ascii="Lato" w:hAnsi="Lato"/>
          <w:sz w:val="20"/>
          <w:szCs w:val="20"/>
        </w:rPr>
        <w:t xml:space="preserve"> przez </w:t>
      </w:r>
      <w:r w:rsidRPr="002A0D85">
        <w:rPr>
          <w:rFonts w:ascii="Lato" w:hAnsi="Lato"/>
          <w:sz w:val="20"/>
          <w:szCs w:val="20"/>
        </w:rPr>
        <w:t>spółki z udziałem Skarbu Państwa</w:t>
      </w:r>
      <w:r w:rsidR="00043AAC" w:rsidRPr="00054889">
        <w:rPr>
          <w:rFonts w:ascii="Lato" w:hAnsi="Lato"/>
          <w:sz w:val="20"/>
          <w:szCs w:val="20"/>
        </w:rPr>
        <w:t xml:space="preserve"> otwartych spotkań informacyjnych dotyczących planowanych inwestycji</w:t>
      </w:r>
      <w:r w:rsidR="00C11F93" w:rsidRPr="00054889">
        <w:rPr>
          <w:rFonts w:ascii="Lato" w:hAnsi="Lato"/>
          <w:sz w:val="20"/>
          <w:szCs w:val="20"/>
        </w:rPr>
        <w:t xml:space="preserve"> w</w:t>
      </w:r>
      <w:r w:rsidR="00CC153F" w:rsidRPr="00054889">
        <w:rPr>
          <w:rFonts w:ascii="Lato" w:hAnsi="Lato"/>
          <w:sz w:val="20"/>
          <w:szCs w:val="20"/>
        </w:rPr>
        <w:t> </w:t>
      </w:r>
      <w:r w:rsidR="00C11F93" w:rsidRPr="00054889">
        <w:rPr>
          <w:rFonts w:ascii="Lato" w:hAnsi="Lato"/>
          <w:sz w:val="20"/>
          <w:szCs w:val="20"/>
        </w:rPr>
        <w:t>ramach kluczowych procesów inwestycyjnych</w:t>
      </w:r>
      <w:r w:rsidR="00043AAC" w:rsidRPr="00054889">
        <w:rPr>
          <w:rFonts w:ascii="Lato" w:hAnsi="Lato"/>
          <w:sz w:val="20"/>
          <w:szCs w:val="20"/>
        </w:rPr>
        <w:t xml:space="preserve">, co </w:t>
      </w:r>
      <w:r w:rsidR="00C11F93" w:rsidRPr="00054889">
        <w:rPr>
          <w:rFonts w:ascii="Lato" w:hAnsi="Lato"/>
          <w:sz w:val="20"/>
          <w:szCs w:val="20"/>
        </w:rPr>
        <w:t>poszerza</w:t>
      </w:r>
      <w:r w:rsidR="00043AAC" w:rsidRPr="00054889">
        <w:rPr>
          <w:rFonts w:ascii="Lato" w:hAnsi="Lato"/>
          <w:sz w:val="20"/>
          <w:szCs w:val="20"/>
        </w:rPr>
        <w:t xml:space="preserve"> dostęp do informacji oraz sprzyja budowaniu relacji </w:t>
      </w:r>
      <w:r w:rsidR="00C11F93" w:rsidRPr="00054889">
        <w:rPr>
          <w:rFonts w:ascii="Lato" w:hAnsi="Lato"/>
          <w:sz w:val="20"/>
          <w:szCs w:val="20"/>
        </w:rPr>
        <w:t>handlowych z kręgiem wykonawców zainteresowanych współpracą</w:t>
      </w:r>
      <w:r w:rsidR="00D85CA6" w:rsidRPr="00054889">
        <w:rPr>
          <w:rFonts w:ascii="Lato" w:hAnsi="Lato"/>
          <w:sz w:val="20"/>
          <w:szCs w:val="20"/>
        </w:rPr>
        <w:t>.</w:t>
      </w:r>
      <w:r w:rsidR="00C11F93" w:rsidRPr="00054889">
        <w:rPr>
          <w:rFonts w:ascii="Lato" w:hAnsi="Lato"/>
          <w:sz w:val="20"/>
          <w:szCs w:val="20"/>
        </w:rPr>
        <w:t xml:space="preserve"> Spotkania pozwalają budować katalogi potencjalnych kontrahentów </w:t>
      </w:r>
      <w:r w:rsidRPr="002A0D85">
        <w:rPr>
          <w:rFonts w:ascii="Lato" w:hAnsi="Lato"/>
          <w:sz w:val="20"/>
          <w:szCs w:val="20"/>
        </w:rPr>
        <w:t>spół</w:t>
      </w:r>
      <w:r>
        <w:rPr>
          <w:rFonts w:ascii="Lato" w:hAnsi="Lato"/>
          <w:sz w:val="20"/>
          <w:szCs w:val="20"/>
        </w:rPr>
        <w:t>ek</w:t>
      </w:r>
      <w:r w:rsidRPr="002A0D85">
        <w:rPr>
          <w:rFonts w:ascii="Lato" w:hAnsi="Lato"/>
          <w:sz w:val="20"/>
          <w:szCs w:val="20"/>
        </w:rPr>
        <w:t xml:space="preserve"> z udziałem Skarbu Państwa </w:t>
      </w:r>
      <w:r w:rsidR="00C11F93" w:rsidRPr="00054889">
        <w:rPr>
          <w:rFonts w:ascii="Lato" w:hAnsi="Lato"/>
          <w:sz w:val="20"/>
          <w:szCs w:val="20"/>
        </w:rPr>
        <w:t>i</w:t>
      </w:r>
      <w:r>
        <w:rPr>
          <w:rFonts w:ascii="Lato" w:hAnsi="Lato"/>
          <w:sz w:val="20"/>
          <w:szCs w:val="20"/>
        </w:rPr>
        <w:t xml:space="preserve"> </w:t>
      </w:r>
      <w:r w:rsidR="00C11F93" w:rsidRPr="00054889">
        <w:rPr>
          <w:rFonts w:ascii="Lato" w:hAnsi="Lato"/>
          <w:sz w:val="20"/>
          <w:szCs w:val="20"/>
        </w:rPr>
        <w:t xml:space="preserve">zwiększać konkurencyjność postępowań zakupowych. </w:t>
      </w:r>
    </w:p>
    <w:p w14:paraId="1B317F3B" w14:textId="77777777" w:rsidR="00EC10C7" w:rsidRPr="00054889" w:rsidRDefault="00EC10C7"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Takie spotkania mogą być organizowane w formie zjazdów branżowych, warsztatów technicznych, czy specjalistycznych konferencji.</w:t>
      </w:r>
    </w:p>
    <w:p w14:paraId="54EAA870" w14:textId="056AA23C" w:rsidR="00EC10C7" w:rsidRPr="00054889" w:rsidRDefault="002A0D85" w:rsidP="00097032">
      <w:pPr>
        <w:pStyle w:val="NormalnyWeb"/>
        <w:widowControl w:val="0"/>
        <w:spacing w:before="0" w:beforeAutospacing="0" w:after="120" w:afterAutospacing="0" w:line="360" w:lineRule="auto"/>
        <w:ind w:left="993"/>
        <w:jc w:val="both"/>
        <w:rPr>
          <w:rFonts w:ascii="Lato" w:hAnsi="Lato"/>
          <w:sz w:val="20"/>
          <w:szCs w:val="20"/>
        </w:rPr>
      </w:pPr>
      <w:r>
        <w:rPr>
          <w:rFonts w:ascii="Lato" w:hAnsi="Lato"/>
          <w:sz w:val="20"/>
          <w:szCs w:val="20"/>
        </w:rPr>
        <w:t>S</w:t>
      </w:r>
      <w:r w:rsidRPr="002A0D85">
        <w:rPr>
          <w:rFonts w:ascii="Lato" w:hAnsi="Lato"/>
          <w:sz w:val="20"/>
          <w:szCs w:val="20"/>
        </w:rPr>
        <w:t xml:space="preserve">półki z udziałem Skarbu Państwa </w:t>
      </w:r>
      <w:r>
        <w:rPr>
          <w:rFonts w:ascii="Lato" w:hAnsi="Lato"/>
          <w:sz w:val="20"/>
          <w:szCs w:val="20"/>
        </w:rPr>
        <w:t xml:space="preserve">mogą </w:t>
      </w:r>
      <w:r w:rsidR="00EC10C7" w:rsidRPr="00054889">
        <w:rPr>
          <w:rFonts w:ascii="Lato" w:hAnsi="Lato"/>
          <w:sz w:val="20"/>
          <w:szCs w:val="20"/>
        </w:rPr>
        <w:t>opracować strategi</w:t>
      </w:r>
      <w:r>
        <w:rPr>
          <w:rFonts w:ascii="Lato" w:hAnsi="Lato"/>
          <w:sz w:val="20"/>
          <w:szCs w:val="20"/>
        </w:rPr>
        <w:t>e</w:t>
      </w:r>
      <w:r w:rsidR="00EC10C7" w:rsidRPr="00054889">
        <w:rPr>
          <w:rFonts w:ascii="Lato" w:hAnsi="Lato"/>
          <w:sz w:val="20"/>
          <w:szCs w:val="20"/>
        </w:rPr>
        <w:t xml:space="preserve"> komunikacyjn</w:t>
      </w:r>
      <w:r>
        <w:rPr>
          <w:rFonts w:ascii="Lato" w:hAnsi="Lato"/>
          <w:sz w:val="20"/>
          <w:szCs w:val="20"/>
        </w:rPr>
        <w:t>e</w:t>
      </w:r>
      <w:r w:rsidR="00EC10C7" w:rsidRPr="00054889">
        <w:rPr>
          <w:rFonts w:ascii="Lato" w:hAnsi="Lato"/>
          <w:sz w:val="20"/>
          <w:szCs w:val="20"/>
        </w:rPr>
        <w:t xml:space="preserve"> na potrzeby postępowań</w:t>
      </w:r>
      <w:r>
        <w:rPr>
          <w:rFonts w:ascii="Lato" w:hAnsi="Lato"/>
          <w:sz w:val="20"/>
          <w:szCs w:val="20"/>
        </w:rPr>
        <w:t xml:space="preserve"> o istotnej wartości</w:t>
      </w:r>
      <w:r w:rsidR="00EC10C7" w:rsidRPr="00054889">
        <w:rPr>
          <w:rFonts w:ascii="Lato" w:hAnsi="Lato"/>
          <w:sz w:val="20"/>
          <w:szCs w:val="20"/>
        </w:rPr>
        <w:t>, określającą formę, harmonogram i cel organizowanych spotkań informacyjnych. Dla dużych i złożonych projektów, rekomenduje się organizacj</w:t>
      </w:r>
      <w:r>
        <w:rPr>
          <w:rFonts w:ascii="Lato" w:hAnsi="Lato"/>
          <w:sz w:val="20"/>
          <w:szCs w:val="20"/>
        </w:rPr>
        <w:t>ę</w:t>
      </w:r>
      <w:r w:rsidR="00EC10C7" w:rsidRPr="00054889">
        <w:rPr>
          <w:rFonts w:ascii="Lato" w:hAnsi="Lato"/>
          <w:sz w:val="20"/>
          <w:szCs w:val="20"/>
        </w:rPr>
        <w:t xml:space="preserve"> szeregu spotkań o różnym charakterze – początkowych spotkań informacyjnych skierowanych do szerokiego grona potencjalnych oferentów, następnie spotkań technicznych skierowanych do podmiotów, które wykazały szczególne zainteresowanie, i wreszcie spotkań roboczych na etapie przygotowywania ofert.</w:t>
      </w:r>
    </w:p>
    <w:p w14:paraId="494CBEC2" w14:textId="43152E53" w:rsidR="00EC10C7" w:rsidRPr="00054889" w:rsidRDefault="00EC10C7"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 xml:space="preserve">Spotkania informacyjne powinny być otwarte dla wszystkich zainteresowanych podmiotów i prowadzone w sposób neutralny, bez faworyzowania jakiegokolwiek oferenta. Podczas spotkań powinny być prezentowane cele inwestycji, planowany zakres zamówienia, wstępne wymogi oraz harmonogram postępowania. Spotkania powinny stwarzać możliwość zadawania pytań i dyskusji, co umożliwia potencjalnym oferentom lepsze zrozumienie potrzeb </w:t>
      </w:r>
      <w:r w:rsidR="002A0D85">
        <w:rPr>
          <w:rFonts w:ascii="Lato" w:hAnsi="Lato"/>
          <w:sz w:val="20"/>
          <w:szCs w:val="20"/>
        </w:rPr>
        <w:t>danej s</w:t>
      </w:r>
      <w:r w:rsidRPr="00054889">
        <w:rPr>
          <w:rFonts w:ascii="Lato" w:hAnsi="Lato"/>
          <w:sz w:val="20"/>
          <w:szCs w:val="20"/>
        </w:rPr>
        <w:t>półki.</w:t>
      </w:r>
    </w:p>
    <w:p w14:paraId="3C00E9A4" w14:textId="6CD7C2EC" w:rsidR="00EC10C7" w:rsidRDefault="00B65AA3"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Materiały prezentacyjne z organizowanych spotkań powinny być publikowane na stronie internetowej </w:t>
      </w:r>
      <w:r w:rsidR="002A0D85">
        <w:rPr>
          <w:rFonts w:ascii="Lato" w:eastAsiaTheme="minorHAnsi" w:hAnsi="Lato" w:cstheme="minorBidi"/>
          <w:kern w:val="2"/>
          <w:sz w:val="20"/>
          <w:szCs w:val="20"/>
          <w:lang w:eastAsia="en-US"/>
          <w14:ligatures w14:val="standardContextual"/>
        </w:rPr>
        <w:t>s</w:t>
      </w:r>
      <w:r w:rsidRPr="00054889">
        <w:rPr>
          <w:rFonts w:ascii="Lato" w:eastAsiaTheme="minorHAnsi" w:hAnsi="Lato" w:cstheme="minorBidi"/>
          <w:kern w:val="2"/>
          <w:sz w:val="20"/>
          <w:szCs w:val="20"/>
          <w:lang w:eastAsia="en-US"/>
          <w14:ligatures w14:val="standardContextual"/>
        </w:rPr>
        <w:t xml:space="preserve">półki, aby podmioty, które nie mogły uczestniczyć w spotkaniu, mogły zapoznać się z udzielonymi informacjami. Pytania i odpowiedzi wynikające ze spotkań powinny być </w:t>
      </w:r>
      <w:r w:rsidRPr="0034539F">
        <w:rPr>
          <w:rFonts w:ascii="Lato" w:eastAsiaTheme="minorHAnsi" w:hAnsi="Lato" w:cstheme="minorBidi"/>
          <w:kern w:val="2"/>
          <w:sz w:val="20"/>
          <w:szCs w:val="20"/>
          <w:lang w:eastAsia="en-US"/>
          <w14:ligatures w14:val="standardContextual"/>
        </w:rPr>
        <w:t>udostępniane</w:t>
      </w:r>
      <w:r w:rsidRPr="00054889">
        <w:rPr>
          <w:rFonts w:ascii="Lato" w:eastAsiaTheme="minorHAnsi" w:hAnsi="Lato" w:cstheme="minorBidi"/>
          <w:kern w:val="2"/>
          <w:sz w:val="20"/>
          <w:szCs w:val="20"/>
          <w:lang w:eastAsia="en-US"/>
          <w14:ligatures w14:val="standardContextual"/>
        </w:rPr>
        <w:t xml:space="preserve"> wszystkim zainteresowanym podmiotom w formie FAQ (</w:t>
      </w:r>
      <w:proofErr w:type="spellStart"/>
      <w:r w:rsidRPr="002A0D85">
        <w:rPr>
          <w:rFonts w:ascii="Lato" w:eastAsiaTheme="minorHAnsi" w:hAnsi="Lato" w:cstheme="minorBidi"/>
          <w:i/>
          <w:kern w:val="2"/>
          <w:sz w:val="20"/>
          <w:szCs w:val="20"/>
          <w:lang w:eastAsia="en-US"/>
          <w14:ligatures w14:val="standardContextual"/>
        </w:rPr>
        <w:t>frequently</w:t>
      </w:r>
      <w:proofErr w:type="spellEnd"/>
      <w:r w:rsidRPr="002A0D85">
        <w:rPr>
          <w:rFonts w:ascii="Lato" w:eastAsiaTheme="minorHAnsi" w:hAnsi="Lato" w:cstheme="minorBidi"/>
          <w:i/>
          <w:kern w:val="2"/>
          <w:sz w:val="20"/>
          <w:szCs w:val="20"/>
          <w:lang w:eastAsia="en-US"/>
          <w14:ligatures w14:val="standardContextual"/>
        </w:rPr>
        <w:t xml:space="preserve"> </w:t>
      </w:r>
      <w:proofErr w:type="spellStart"/>
      <w:r w:rsidRPr="002A0D85">
        <w:rPr>
          <w:rFonts w:ascii="Lato" w:eastAsiaTheme="minorHAnsi" w:hAnsi="Lato" w:cstheme="minorBidi"/>
          <w:i/>
          <w:kern w:val="2"/>
          <w:sz w:val="20"/>
          <w:szCs w:val="20"/>
          <w:lang w:eastAsia="en-US"/>
          <w14:ligatures w14:val="standardContextual"/>
        </w:rPr>
        <w:t>asked</w:t>
      </w:r>
      <w:proofErr w:type="spellEnd"/>
      <w:r w:rsidRPr="002A0D85">
        <w:rPr>
          <w:rFonts w:ascii="Lato" w:eastAsiaTheme="minorHAnsi" w:hAnsi="Lato" w:cstheme="minorBidi"/>
          <w:i/>
          <w:kern w:val="2"/>
          <w:sz w:val="20"/>
          <w:szCs w:val="20"/>
          <w:lang w:eastAsia="en-US"/>
          <w14:ligatures w14:val="standardContextual"/>
        </w:rPr>
        <w:t xml:space="preserve"> </w:t>
      </w:r>
      <w:proofErr w:type="spellStart"/>
      <w:r w:rsidRPr="002A0D85">
        <w:rPr>
          <w:rFonts w:ascii="Lato" w:eastAsiaTheme="minorHAnsi" w:hAnsi="Lato" w:cstheme="minorBidi"/>
          <w:i/>
          <w:kern w:val="2"/>
          <w:sz w:val="20"/>
          <w:szCs w:val="20"/>
          <w:lang w:eastAsia="en-US"/>
          <w14:ligatures w14:val="standardContextual"/>
        </w:rPr>
        <w:t>questions</w:t>
      </w:r>
      <w:proofErr w:type="spellEnd"/>
      <w:r w:rsidRPr="00054889">
        <w:rPr>
          <w:rFonts w:ascii="Lato" w:eastAsiaTheme="minorHAnsi" w:hAnsi="Lato" w:cstheme="minorBidi"/>
          <w:kern w:val="2"/>
          <w:sz w:val="20"/>
          <w:szCs w:val="20"/>
          <w:lang w:eastAsia="en-US"/>
          <w14:ligatures w14:val="standardContextual"/>
        </w:rPr>
        <w:t>), co zapewnia przejrzystość i równy dostęp do informacji.</w:t>
      </w:r>
    </w:p>
    <w:p w14:paraId="4EB0E5D6" w14:textId="77777777" w:rsidR="00C11F93" w:rsidRPr="00054889" w:rsidRDefault="00A63F27" w:rsidP="00FD2F03">
      <w:pPr>
        <w:pStyle w:val="NormalnyWeb"/>
        <w:widowControl w:val="0"/>
        <w:numPr>
          <w:ilvl w:val="1"/>
          <w:numId w:val="10"/>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eastAsiaTheme="majorEastAsia" w:hAnsi="Lato"/>
          <w:b/>
          <w:bCs/>
          <w:sz w:val="20"/>
          <w:szCs w:val="20"/>
        </w:rPr>
        <w:t>Wspieranie programów rozwoju dostawców</w:t>
      </w:r>
    </w:p>
    <w:p w14:paraId="60D8A24A" w14:textId="57EF81E9" w:rsidR="00B13A9D" w:rsidRPr="00B13A9D" w:rsidRDefault="00F52E40" w:rsidP="00B13A9D">
      <w:pPr>
        <w:pStyle w:val="NormalnyWeb"/>
        <w:widowControl w:val="0"/>
        <w:spacing w:before="0" w:beforeAutospacing="0" w:after="120" w:afterAutospacing="0" w:line="360" w:lineRule="auto"/>
        <w:ind w:left="993"/>
        <w:jc w:val="both"/>
        <w:rPr>
          <w:rFonts w:ascii="Lato" w:hAnsi="Lato"/>
          <w:sz w:val="20"/>
          <w:szCs w:val="20"/>
        </w:rPr>
      </w:pPr>
      <w:r>
        <w:rPr>
          <w:rFonts w:ascii="Lato" w:hAnsi="Lato"/>
          <w:sz w:val="20"/>
          <w:szCs w:val="20"/>
        </w:rPr>
        <w:t>Wskazane jest p</w:t>
      </w:r>
      <w:r w:rsidR="00A63F27" w:rsidRPr="00054889">
        <w:rPr>
          <w:rFonts w:ascii="Lato" w:hAnsi="Lato"/>
          <w:sz w:val="20"/>
          <w:szCs w:val="20"/>
        </w:rPr>
        <w:t>odejmowanie</w:t>
      </w:r>
      <w:r>
        <w:rPr>
          <w:rFonts w:ascii="Lato" w:hAnsi="Lato"/>
          <w:sz w:val="20"/>
          <w:szCs w:val="20"/>
        </w:rPr>
        <w:t xml:space="preserve"> przez </w:t>
      </w:r>
      <w:r w:rsidRPr="00F52E40">
        <w:rPr>
          <w:rFonts w:ascii="Lato" w:hAnsi="Lato"/>
          <w:sz w:val="20"/>
          <w:szCs w:val="20"/>
        </w:rPr>
        <w:t>spółki z udziałem Skarbu Państwa</w:t>
      </w:r>
      <w:r w:rsidR="00A63F27" w:rsidRPr="00054889">
        <w:rPr>
          <w:rFonts w:ascii="Lato" w:hAnsi="Lato"/>
          <w:sz w:val="20"/>
          <w:szCs w:val="20"/>
        </w:rPr>
        <w:t xml:space="preserve"> działań wspierających podnoszenie kompetencji</w:t>
      </w:r>
      <w:r w:rsidR="00C11F93" w:rsidRPr="00054889">
        <w:rPr>
          <w:rFonts w:ascii="Lato" w:hAnsi="Lato"/>
          <w:sz w:val="20"/>
          <w:szCs w:val="20"/>
        </w:rPr>
        <w:t xml:space="preserve"> potencjalnych</w:t>
      </w:r>
      <w:r w:rsidR="00A63F27" w:rsidRPr="00054889">
        <w:rPr>
          <w:rFonts w:ascii="Lato" w:hAnsi="Lato"/>
          <w:sz w:val="20"/>
          <w:szCs w:val="20"/>
        </w:rPr>
        <w:t xml:space="preserve"> </w:t>
      </w:r>
      <w:r w:rsidR="00C11F93" w:rsidRPr="00054889">
        <w:rPr>
          <w:rFonts w:ascii="Lato" w:hAnsi="Lato"/>
          <w:sz w:val="20"/>
          <w:szCs w:val="20"/>
        </w:rPr>
        <w:t>kontrahentów</w:t>
      </w:r>
      <w:r w:rsidR="00A63F27" w:rsidRPr="00054889">
        <w:rPr>
          <w:rFonts w:ascii="Lato" w:hAnsi="Lato"/>
          <w:sz w:val="20"/>
          <w:szCs w:val="20"/>
        </w:rPr>
        <w:t>, w szczególności poprzez działania informacyjne, szkoleniowe</w:t>
      </w:r>
      <w:r w:rsidR="00B13A9D">
        <w:rPr>
          <w:rFonts w:ascii="Lato" w:hAnsi="Lato"/>
          <w:sz w:val="20"/>
          <w:szCs w:val="20"/>
        </w:rPr>
        <w:t>, certyfikacyjne</w:t>
      </w:r>
      <w:r w:rsidR="00A63F27" w:rsidRPr="00054889">
        <w:rPr>
          <w:rFonts w:ascii="Lato" w:hAnsi="Lato"/>
          <w:sz w:val="20"/>
          <w:szCs w:val="20"/>
        </w:rPr>
        <w:t xml:space="preserve"> lub partnerskie</w:t>
      </w:r>
      <w:r w:rsidR="00923D33">
        <w:rPr>
          <w:rFonts w:ascii="Lato" w:hAnsi="Lato"/>
          <w:sz w:val="20"/>
          <w:szCs w:val="20"/>
        </w:rPr>
        <w:t xml:space="preserve"> oraz tworzenie</w:t>
      </w:r>
      <w:r>
        <w:rPr>
          <w:rFonts w:ascii="Lato" w:hAnsi="Lato"/>
          <w:sz w:val="20"/>
          <w:szCs w:val="20"/>
        </w:rPr>
        <w:t xml:space="preserve"> przez nie</w:t>
      </w:r>
      <w:r w:rsidR="00923D33">
        <w:rPr>
          <w:rFonts w:ascii="Lato" w:hAnsi="Lato"/>
          <w:sz w:val="20"/>
          <w:szCs w:val="20"/>
        </w:rPr>
        <w:t xml:space="preserve"> </w:t>
      </w:r>
      <w:r w:rsidR="001D155E">
        <w:rPr>
          <w:rFonts w:ascii="Lato" w:hAnsi="Lato"/>
          <w:sz w:val="20"/>
          <w:szCs w:val="20"/>
        </w:rPr>
        <w:t xml:space="preserve">list kwalifikowanych dostawców posiadających odpowiednie kwalifikacje, zdolność </w:t>
      </w:r>
      <w:r w:rsidR="00E85CA3">
        <w:rPr>
          <w:rFonts w:ascii="Lato" w:hAnsi="Lato"/>
          <w:sz w:val="20"/>
          <w:szCs w:val="20"/>
        </w:rPr>
        <w:t xml:space="preserve">wykonania </w:t>
      </w:r>
      <w:r w:rsidR="001D155E">
        <w:rPr>
          <w:rFonts w:ascii="Lato" w:hAnsi="Lato"/>
          <w:sz w:val="20"/>
          <w:szCs w:val="20"/>
        </w:rPr>
        <w:t xml:space="preserve">dostaw, zaplecze techniczne i organizacyjne niezbędne do </w:t>
      </w:r>
      <w:r w:rsidR="00E85CA3">
        <w:rPr>
          <w:rFonts w:ascii="Lato" w:hAnsi="Lato"/>
          <w:sz w:val="20"/>
          <w:szCs w:val="20"/>
        </w:rPr>
        <w:t xml:space="preserve">realizacji </w:t>
      </w:r>
      <w:r w:rsidR="001D155E">
        <w:rPr>
          <w:rFonts w:ascii="Lato" w:hAnsi="Lato"/>
          <w:sz w:val="20"/>
          <w:szCs w:val="20"/>
        </w:rPr>
        <w:t xml:space="preserve">zamówień w określonym </w:t>
      </w:r>
      <w:r w:rsidR="001D155E">
        <w:rPr>
          <w:rFonts w:ascii="Lato" w:hAnsi="Lato"/>
          <w:sz w:val="20"/>
          <w:szCs w:val="20"/>
        </w:rPr>
        <w:lastRenderedPageBreak/>
        <w:t xml:space="preserve">obszarze. </w:t>
      </w:r>
      <w:r w:rsidR="00B13A9D">
        <w:rPr>
          <w:rFonts w:ascii="Lato" w:hAnsi="Lato"/>
          <w:sz w:val="20"/>
          <w:szCs w:val="20"/>
        </w:rPr>
        <w:t xml:space="preserve">Spółki z udziałem Skarbu Państwa mogą też tworzyć programy wspierania certyfikacji technicznej i kompetencyjnej dla rynku wykonawców. </w:t>
      </w:r>
    </w:p>
    <w:p w14:paraId="783AB704" w14:textId="77777777" w:rsidR="00A63F27" w:rsidRPr="00054889" w:rsidRDefault="00A63F27" w:rsidP="00097032">
      <w:pPr>
        <w:widowControl w:val="0"/>
        <w:spacing w:after="120" w:line="360" w:lineRule="auto"/>
        <w:rPr>
          <w:rFonts w:ascii="Lato" w:hAnsi="Lato"/>
          <w:b/>
          <w:bCs/>
          <w:sz w:val="20"/>
          <w:szCs w:val="20"/>
        </w:rPr>
      </w:pPr>
    </w:p>
    <w:p w14:paraId="4ECAEEEC" w14:textId="77777777" w:rsidR="00043AAC" w:rsidRPr="007509BC" w:rsidRDefault="003F4AD2" w:rsidP="00241EEF">
      <w:pPr>
        <w:pStyle w:val="podrozdzial"/>
      </w:pPr>
      <w:bookmarkStart w:id="6" w:name="_Toc228873230"/>
      <w:r w:rsidRPr="007509BC">
        <w:t>STRUKTURA ZAMÓWIEŃ I DOSTĘP DO RYNKU</w:t>
      </w:r>
      <w:bookmarkEnd w:id="6"/>
    </w:p>
    <w:p w14:paraId="21EB53EB" w14:textId="77777777" w:rsidR="006C7CC3" w:rsidRPr="006C7CC3" w:rsidRDefault="006C7CC3" w:rsidP="006C7CC3">
      <w:pPr>
        <w:widowControl w:val="0"/>
        <w:spacing w:after="120" w:line="360" w:lineRule="auto"/>
        <w:rPr>
          <w:rFonts w:ascii="Lato" w:hAnsi="Lato"/>
        </w:rPr>
      </w:pPr>
    </w:p>
    <w:p w14:paraId="367F3D6B" w14:textId="1C1B1EFA" w:rsidR="003E3EE0" w:rsidRPr="00054889" w:rsidRDefault="003E3EE0" w:rsidP="007D0DA7">
      <w:pPr>
        <w:pStyle w:val="NormalnyWeb"/>
        <w:widowControl w:val="0"/>
        <w:numPr>
          <w:ilvl w:val="1"/>
          <w:numId w:val="2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Celem działań </w:t>
      </w:r>
      <w:r w:rsidR="00820171" w:rsidRPr="00054889">
        <w:rPr>
          <w:rFonts w:ascii="Lato" w:eastAsiaTheme="minorHAnsi" w:hAnsi="Lato" w:cstheme="minorBidi"/>
          <w:kern w:val="2"/>
          <w:sz w:val="20"/>
          <w:szCs w:val="20"/>
          <w:lang w:eastAsia="en-US"/>
          <w14:ligatures w14:val="standardContextual"/>
        </w:rPr>
        <w:t xml:space="preserve">podejmowanych na etapie planowania </w:t>
      </w:r>
      <w:r w:rsidR="00C670AD" w:rsidRPr="00054889">
        <w:rPr>
          <w:rFonts w:ascii="Lato" w:eastAsiaTheme="minorHAnsi" w:hAnsi="Lato" w:cstheme="minorBidi"/>
          <w:kern w:val="2"/>
          <w:sz w:val="20"/>
          <w:szCs w:val="20"/>
          <w:lang w:eastAsia="en-US"/>
          <w14:ligatures w14:val="standardContextual"/>
        </w:rPr>
        <w:t>zamówień</w:t>
      </w:r>
      <w:r w:rsidRPr="00054889">
        <w:rPr>
          <w:rFonts w:ascii="Lato" w:eastAsiaTheme="minorHAnsi" w:hAnsi="Lato" w:cstheme="minorBidi"/>
          <w:kern w:val="2"/>
          <w:sz w:val="20"/>
          <w:szCs w:val="20"/>
          <w:lang w:eastAsia="en-US"/>
          <w14:ligatures w14:val="standardContextual"/>
        </w:rPr>
        <w:t xml:space="preserve"> </w:t>
      </w:r>
      <w:r w:rsidR="00820171" w:rsidRPr="00054889">
        <w:rPr>
          <w:rFonts w:ascii="Lato" w:eastAsiaTheme="minorHAnsi" w:hAnsi="Lato" w:cstheme="minorBidi"/>
          <w:kern w:val="2"/>
          <w:sz w:val="20"/>
          <w:szCs w:val="20"/>
          <w:lang w:eastAsia="en-US"/>
          <w14:ligatures w14:val="standardContextual"/>
        </w:rPr>
        <w:t xml:space="preserve">powinno być </w:t>
      </w:r>
      <w:r w:rsidRPr="00054889">
        <w:rPr>
          <w:rFonts w:ascii="Lato" w:eastAsiaTheme="minorHAnsi" w:hAnsi="Lato" w:cstheme="minorBidi"/>
          <w:kern w:val="2"/>
          <w:sz w:val="20"/>
          <w:szCs w:val="20"/>
          <w:lang w:eastAsia="en-US"/>
          <w14:ligatures w14:val="standardContextual"/>
        </w:rPr>
        <w:t xml:space="preserve">kształtowanie </w:t>
      </w:r>
      <w:r w:rsidR="00C670AD" w:rsidRPr="00054889">
        <w:rPr>
          <w:rFonts w:ascii="Lato" w:eastAsiaTheme="minorHAnsi" w:hAnsi="Lato" w:cstheme="minorBidi"/>
          <w:kern w:val="2"/>
          <w:sz w:val="20"/>
          <w:szCs w:val="20"/>
          <w:lang w:eastAsia="en-US"/>
          <w14:ligatures w14:val="standardContextual"/>
        </w:rPr>
        <w:t xml:space="preserve">ich </w:t>
      </w:r>
      <w:r w:rsidRPr="00054889">
        <w:rPr>
          <w:rFonts w:ascii="Lato" w:eastAsiaTheme="minorHAnsi" w:hAnsi="Lato" w:cstheme="minorBidi"/>
          <w:kern w:val="2"/>
          <w:sz w:val="20"/>
          <w:szCs w:val="20"/>
          <w:lang w:eastAsia="en-US"/>
          <w14:ligatures w14:val="standardContextual"/>
        </w:rPr>
        <w:t>struktury i zakresu,</w:t>
      </w:r>
      <w:r w:rsidR="00C670AD" w:rsidRPr="00054889">
        <w:rPr>
          <w:rFonts w:ascii="Lato" w:eastAsiaTheme="minorHAnsi" w:hAnsi="Lato" w:cstheme="minorBidi"/>
          <w:kern w:val="2"/>
          <w:sz w:val="20"/>
          <w:szCs w:val="20"/>
          <w:lang w:eastAsia="en-US"/>
          <w14:ligatures w14:val="standardContextual"/>
        </w:rPr>
        <w:t xml:space="preserve"> w </w:t>
      </w:r>
      <w:r w:rsidR="00820171" w:rsidRPr="00054889">
        <w:rPr>
          <w:rFonts w:ascii="Lato" w:eastAsiaTheme="minorHAnsi" w:hAnsi="Lato" w:cstheme="minorBidi"/>
          <w:kern w:val="2"/>
          <w:sz w:val="20"/>
          <w:szCs w:val="20"/>
          <w:lang w:eastAsia="en-US"/>
          <w14:ligatures w14:val="standardContextual"/>
        </w:rPr>
        <w:t>sposób sprzyjający</w:t>
      </w:r>
      <w:r w:rsidRPr="00054889">
        <w:rPr>
          <w:rFonts w:ascii="Lato" w:eastAsiaTheme="minorHAnsi" w:hAnsi="Lato" w:cstheme="minorBidi"/>
          <w:kern w:val="2"/>
          <w:sz w:val="20"/>
          <w:szCs w:val="20"/>
          <w:lang w:eastAsia="en-US"/>
          <w14:ligatures w14:val="standardContextual"/>
        </w:rPr>
        <w:t xml:space="preserve"> zwiększaniu konkurencyjności postępowań, budowaniu i wzmacnianiu lokalnych łańcuchów dostaw oraz zwiększaniu udziału </w:t>
      </w:r>
      <w:r w:rsidR="00671E1F">
        <w:rPr>
          <w:rFonts w:ascii="Lato" w:eastAsiaTheme="minorHAnsi" w:hAnsi="Lato" w:cstheme="minorBidi"/>
          <w:kern w:val="2"/>
          <w:sz w:val="20"/>
          <w:szCs w:val="20"/>
          <w:lang w:eastAsia="en-US"/>
          <w14:ligatures w14:val="standardContextual"/>
        </w:rPr>
        <w:t>komponentu krajowego</w:t>
      </w:r>
      <w:r w:rsidRPr="00054889">
        <w:rPr>
          <w:rFonts w:ascii="Lato" w:eastAsiaTheme="minorHAnsi" w:hAnsi="Lato" w:cstheme="minorBidi"/>
          <w:kern w:val="2"/>
          <w:sz w:val="20"/>
          <w:szCs w:val="20"/>
          <w:lang w:eastAsia="en-US"/>
          <w14:ligatures w14:val="standardContextual"/>
        </w:rPr>
        <w:t xml:space="preserve"> w realizacji zamówień, przy zachowaniu zasad proporcjonalności, równego traktowania i uczciwej konkurencji.</w:t>
      </w:r>
      <w:r w:rsidR="0084204A">
        <w:rPr>
          <w:rFonts w:ascii="Lato" w:eastAsiaTheme="minorHAnsi" w:hAnsi="Lato" w:cstheme="minorBidi"/>
          <w:kern w:val="2"/>
          <w:sz w:val="20"/>
          <w:szCs w:val="20"/>
          <w:lang w:eastAsia="en-US"/>
          <w14:ligatures w14:val="standardContextual"/>
        </w:rPr>
        <w:t xml:space="preserve"> </w:t>
      </w:r>
      <w:r w:rsidR="00816D8E">
        <w:rPr>
          <w:rFonts w:ascii="Lato" w:eastAsiaTheme="minorHAnsi" w:hAnsi="Lato" w:cstheme="minorBidi"/>
          <w:kern w:val="2"/>
          <w:sz w:val="20"/>
          <w:szCs w:val="20"/>
          <w:lang w:eastAsia="en-US"/>
          <w14:ligatures w14:val="standardContextual"/>
        </w:rPr>
        <w:t xml:space="preserve">W ramach planowania zamówienia </w:t>
      </w:r>
      <w:r w:rsidR="00671E1F">
        <w:rPr>
          <w:rFonts w:ascii="Lato" w:eastAsiaTheme="minorHAnsi" w:hAnsi="Lato" w:cstheme="minorBidi"/>
          <w:kern w:val="2"/>
          <w:sz w:val="20"/>
          <w:szCs w:val="20"/>
          <w:lang w:eastAsia="en-US"/>
          <w14:ligatures w14:val="standardContextual"/>
        </w:rPr>
        <w:t>warto</w:t>
      </w:r>
      <w:r w:rsidR="00816D8E">
        <w:rPr>
          <w:rFonts w:ascii="Lato" w:eastAsiaTheme="minorHAnsi" w:hAnsi="Lato" w:cstheme="minorBidi"/>
          <w:kern w:val="2"/>
          <w:sz w:val="20"/>
          <w:szCs w:val="20"/>
          <w:lang w:eastAsia="en-US"/>
          <w14:ligatures w14:val="standardContextual"/>
        </w:rPr>
        <w:t xml:space="preserve"> dokonać oceny, czy </w:t>
      </w:r>
      <w:r w:rsidR="00671E1F">
        <w:rPr>
          <w:rFonts w:ascii="Lato" w:eastAsiaTheme="minorHAnsi" w:hAnsi="Lato" w:cstheme="minorBidi"/>
          <w:kern w:val="2"/>
          <w:sz w:val="20"/>
          <w:szCs w:val="20"/>
          <w:lang w:eastAsia="en-US"/>
          <w14:ligatures w14:val="standardContextual"/>
        </w:rPr>
        <w:t>jest ono związane z budową, rozbudową, utrzymaniem lub serwisowaniem</w:t>
      </w:r>
      <w:r w:rsidR="00816D8E">
        <w:rPr>
          <w:rFonts w:ascii="Lato" w:eastAsiaTheme="minorHAnsi" w:hAnsi="Lato" w:cstheme="minorBidi"/>
          <w:kern w:val="2"/>
          <w:sz w:val="20"/>
          <w:szCs w:val="20"/>
          <w:lang w:eastAsia="en-US"/>
          <w14:ligatures w14:val="standardContextual"/>
        </w:rPr>
        <w:t xml:space="preserve"> infrastruktury krytycznej. Jeżeli zamówienie dotyczy elementów o istotnym znaczeniu dla bezpieczeństwa, powinno być traktowane jako instrument wzmacniający odporność Państwa</w:t>
      </w:r>
      <w:r w:rsidR="003E1BBF">
        <w:rPr>
          <w:rFonts w:ascii="Lato" w:eastAsiaTheme="minorHAnsi" w:hAnsi="Lato" w:cstheme="minorBidi"/>
          <w:kern w:val="2"/>
          <w:sz w:val="20"/>
          <w:szCs w:val="20"/>
          <w:lang w:eastAsia="en-US"/>
          <w14:ligatures w14:val="standardContextual"/>
        </w:rPr>
        <w:t>. W</w:t>
      </w:r>
      <w:r w:rsidR="00816D8E">
        <w:rPr>
          <w:rFonts w:ascii="Lato" w:eastAsiaTheme="minorHAnsi" w:hAnsi="Lato" w:cstheme="minorBidi"/>
          <w:kern w:val="2"/>
          <w:sz w:val="20"/>
          <w:szCs w:val="20"/>
          <w:lang w:eastAsia="en-US"/>
          <w14:ligatures w14:val="standardContextual"/>
        </w:rPr>
        <w:t xml:space="preserve"> konsekwencji </w:t>
      </w:r>
      <w:r w:rsidR="00671E1F">
        <w:rPr>
          <w:rFonts w:ascii="Lato" w:eastAsiaTheme="minorHAnsi" w:hAnsi="Lato" w:cstheme="minorBidi"/>
          <w:kern w:val="2"/>
          <w:sz w:val="20"/>
          <w:szCs w:val="20"/>
          <w:lang w:eastAsia="en-US"/>
          <w14:ligatures w14:val="standardContextual"/>
        </w:rPr>
        <w:t xml:space="preserve">zasadne </w:t>
      </w:r>
      <w:r w:rsidR="00816D8E">
        <w:rPr>
          <w:rFonts w:ascii="Lato" w:eastAsiaTheme="minorHAnsi" w:hAnsi="Lato" w:cstheme="minorBidi"/>
          <w:kern w:val="2"/>
          <w:sz w:val="20"/>
          <w:szCs w:val="20"/>
          <w:lang w:eastAsia="en-US"/>
          <w14:ligatures w14:val="standardContextual"/>
        </w:rPr>
        <w:t>jest</w:t>
      </w:r>
      <w:r w:rsidR="003E1BBF">
        <w:rPr>
          <w:rFonts w:ascii="Lato" w:eastAsiaTheme="minorHAnsi" w:hAnsi="Lato" w:cstheme="minorBidi"/>
          <w:kern w:val="2"/>
          <w:sz w:val="20"/>
          <w:szCs w:val="20"/>
          <w:lang w:eastAsia="en-US"/>
          <w14:ligatures w14:val="standardContextual"/>
        </w:rPr>
        <w:t xml:space="preserve"> zdefiniowanie</w:t>
      </w:r>
      <w:r w:rsidR="00671E1F">
        <w:rPr>
          <w:rFonts w:ascii="Lato" w:eastAsiaTheme="minorHAnsi" w:hAnsi="Lato" w:cstheme="minorBidi"/>
          <w:kern w:val="2"/>
          <w:sz w:val="20"/>
          <w:szCs w:val="20"/>
          <w:lang w:eastAsia="en-US"/>
          <w14:ligatures w14:val="standardContextual"/>
        </w:rPr>
        <w:t xml:space="preserve"> przez </w:t>
      </w:r>
      <w:r w:rsidR="00671E1F">
        <w:rPr>
          <w:rFonts w:ascii="Lato" w:eastAsiaTheme="minorHAnsi" w:hAnsi="Lato" w:cstheme="minorBidi"/>
          <w:bCs/>
          <w:kern w:val="2"/>
          <w:sz w:val="20"/>
          <w:szCs w:val="20"/>
          <w:lang w:eastAsia="en-US"/>
          <w14:ligatures w14:val="standardContextual"/>
        </w:rPr>
        <w:t>s</w:t>
      </w:r>
      <w:r w:rsidR="00671E1F" w:rsidRPr="00054889">
        <w:rPr>
          <w:rFonts w:ascii="Lato" w:eastAsiaTheme="minorHAnsi" w:hAnsi="Lato" w:cstheme="minorBidi"/>
          <w:bCs/>
          <w:kern w:val="2"/>
          <w:sz w:val="20"/>
          <w:szCs w:val="20"/>
          <w:lang w:eastAsia="en-US"/>
          <w14:ligatures w14:val="standardContextual"/>
        </w:rPr>
        <w:t xml:space="preserve">półki </w:t>
      </w:r>
      <w:r w:rsidR="00671E1F">
        <w:rPr>
          <w:rFonts w:ascii="Lato" w:eastAsiaTheme="minorHAnsi" w:hAnsi="Lato" w:cstheme="minorBidi"/>
          <w:bCs/>
          <w:kern w:val="2"/>
          <w:sz w:val="20"/>
          <w:szCs w:val="20"/>
          <w:lang w:eastAsia="en-US"/>
          <w14:ligatures w14:val="standardContextual"/>
        </w:rPr>
        <w:t>z udziałem Skarbu Państwa istniejących</w:t>
      </w:r>
      <w:r w:rsidR="003E1BBF">
        <w:rPr>
          <w:rFonts w:ascii="Lato" w:eastAsiaTheme="minorHAnsi" w:hAnsi="Lato" w:cstheme="minorBidi"/>
          <w:kern w:val="2"/>
          <w:sz w:val="20"/>
          <w:szCs w:val="20"/>
          <w:lang w:eastAsia="en-US"/>
          <w14:ligatures w14:val="standardContextual"/>
        </w:rPr>
        <w:t xml:space="preserve"> </w:t>
      </w:r>
      <w:proofErr w:type="spellStart"/>
      <w:r w:rsidR="003E1BBF">
        <w:rPr>
          <w:rFonts w:ascii="Lato" w:eastAsiaTheme="minorHAnsi" w:hAnsi="Lato" w:cstheme="minorBidi"/>
          <w:kern w:val="2"/>
          <w:sz w:val="20"/>
          <w:szCs w:val="20"/>
          <w:lang w:eastAsia="en-US"/>
          <w14:ligatures w14:val="standardContextual"/>
        </w:rPr>
        <w:t>ryzyk</w:t>
      </w:r>
      <w:proofErr w:type="spellEnd"/>
      <w:r w:rsidR="003E1BBF">
        <w:rPr>
          <w:rFonts w:ascii="Lato" w:eastAsiaTheme="minorHAnsi" w:hAnsi="Lato" w:cstheme="minorBidi"/>
          <w:kern w:val="2"/>
          <w:sz w:val="20"/>
          <w:szCs w:val="20"/>
          <w:lang w:eastAsia="en-US"/>
          <w14:ligatures w14:val="standardContextual"/>
        </w:rPr>
        <w:t xml:space="preserve"> oraz opisanie środków mających na celu ich eliminację lub ograniczenie.  </w:t>
      </w:r>
      <w:r w:rsidR="00816D8E">
        <w:rPr>
          <w:rFonts w:ascii="Lato" w:eastAsiaTheme="minorHAnsi" w:hAnsi="Lato" w:cstheme="minorBidi"/>
          <w:kern w:val="2"/>
          <w:sz w:val="20"/>
          <w:szCs w:val="20"/>
          <w:lang w:eastAsia="en-US"/>
          <w14:ligatures w14:val="standardContextual"/>
        </w:rPr>
        <w:t xml:space="preserve"> </w:t>
      </w:r>
    </w:p>
    <w:p w14:paraId="4A63FB27" w14:textId="688B8D6D" w:rsidR="003E3EE0" w:rsidRPr="00054889" w:rsidRDefault="003E3EE0" w:rsidP="00917108">
      <w:pPr>
        <w:pStyle w:val="NormalnyWeb"/>
        <w:widowControl w:val="0"/>
        <w:numPr>
          <w:ilvl w:val="1"/>
          <w:numId w:val="2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Sposób przygotowania zamówienia już na etapie planowania ma istotny wpływ na poziom realnej dostępności rynku. Właściwe określenie zakresu rzeczowego, podziału zamówienia, warunków udziału oraz wymagań formalnych może decydować o tym,</w:t>
      </w:r>
      <w:r w:rsidR="00917108">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czy postępowanie będzie otwarte dla szerokiego grona wykonawców, w tym wyspecjalizowanych podmiotów działających na rynku krajowym.</w:t>
      </w:r>
    </w:p>
    <w:p w14:paraId="18A0C2BF" w14:textId="1EE2A2BC" w:rsidR="00043AAC" w:rsidRPr="00054889" w:rsidRDefault="003E3EE0" w:rsidP="00917108">
      <w:pPr>
        <w:pStyle w:val="NormalnyWeb"/>
        <w:widowControl w:val="0"/>
        <w:numPr>
          <w:ilvl w:val="1"/>
          <w:numId w:val="2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Struktura zamówienia powinna umożliwiać udział zarówno wykonawców realizujących projekty kompleksowe, jak i podmiotów wyspecjalizowanych w określonych obszarach.</w:t>
      </w:r>
      <w:r w:rsidR="00036D69" w:rsidRPr="00054889">
        <w:rPr>
          <w:rFonts w:ascii="Lato" w:eastAsiaTheme="minorHAnsi" w:hAnsi="Lato" w:cstheme="minorBidi"/>
          <w:kern w:val="2"/>
          <w:sz w:val="20"/>
          <w:szCs w:val="20"/>
          <w:lang w:eastAsia="en-US"/>
          <w14:ligatures w14:val="standardContextual"/>
        </w:rPr>
        <w:t xml:space="preserve"> </w:t>
      </w:r>
      <w:r w:rsidR="00FC0998" w:rsidRPr="00054889">
        <w:rPr>
          <w:rFonts w:ascii="Lato" w:eastAsiaTheme="minorHAnsi" w:hAnsi="Lato" w:cstheme="minorBidi"/>
          <w:kern w:val="2"/>
          <w:sz w:val="20"/>
          <w:szCs w:val="20"/>
          <w:lang w:eastAsia="en-US"/>
          <w14:ligatures w14:val="standardContextual"/>
        </w:rPr>
        <w:t xml:space="preserve">Ukształtowanie struktury zamówień w </w:t>
      </w:r>
      <w:r w:rsidR="004C672C" w:rsidRPr="00054889">
        <w:rPr>
          <w:rFonts w:ascii="Lato" w:eastAsiaTheme="minorHAnsi" w:hAnsi="Lato" w:cstheme="minorBidi"/>
          <w:kern w:val="2"/>
          <w:sz w:val="20"/>
          <w:szCs w:val="20"/>
          <w:lang w:eastAsia="en-US"/>
          <w14:ligatures w14:val="standardContextual"/>
        </w:rPr>
        <w:t>taki</w:t>
      </w:r>
      <w:r w:rsidR="00FC0998" w:rsidRPr="00054889">
        <w:rPr>
          <w:rFonts w:ascii="Lato" w:eastAsiaTheme="minorHAnsi" w:hAnsi="Lato" w:cstheme="minorBidi"/>
          <w:kern w:val="2"/>
          <w:sz w:val="20"/>
          <w:szCs w:val="20"/>
          <w:lang w:eastAsia="en-US"/>
          <w14:ligatures w14:val="standardContextual"/>
        </w:rPr>
        <w:t xml:space="preserve"> sposób </w:t>
      </w:r>
      <w:r w:rsidR="00671E1F">
        <w:rPr>
          <w:rFonts w:ascii="Lato" w:eastAsiaTheme="minorHAnsi" w:hAnsi="Lato" w:cstheme="minorBidi"/>
          <w:kern w:val="2"/>
          <w:sz w:val="20"/>
          <w:szCs w:val="20"/>
          <w:lang w:eastAsia="en-US"/>
          <w14:ligatures w14:val="standardContextual"/>
        </w:rPr>
        <w:t xml:space="preserve">przyczyni się do </w:t>
      </w:r>
      <w:r w:rsidR="00FC0998" w:rsidRPr="00054889">
        <w:rPr>
          <w:rFonts w:ascii="Lato" w:eastAsiaTheme="minorHAnsi" w:hAnsi="Lato" w:cstheme="minorBidi"/>
          <w:kern w:val="2"/>
          <w:sz w:val="20"/>
          <w:szCs w:val="20"/>
          <w:lang w:eastAsia="en-US"/>
          <w14:ligatures w14:val="standardContextual"/>
        </w:rPr>
        <w:t>zwiększ</w:t>
      </w:r>
      <w:r w:rsidR="00671E1F">
        <w:rPr>
          <w:rFonts w:ascii="Lato" w:eastAsiaTheme="minorHAnsi" w:hAnsi="Lato" w:cstheme="minorBidi"/>
          <w:kern w:val="2"/>
          <w:sz w:val="20"/>
          <w:szCs w:val="20"/>
          <w:lang w:eastAsia="en-US"/>
          <w14:ligatures w14:val="standardContextual"/>
        </w:rPr>
        <w:t>enia</w:t>
      </w:r>
      <w:r w:rsidR="00FC0998" w:rsidRPr="00054889">
        <w:rPr>
          <w:rFonts w:ascii="Lato" w:eastAsiaTheme="minorHAnsi" w:hAnsi="Lato" w:cstheme="minorBidi"/>
          <w:kern w:val="2"/>
          <w:sz w:val="20"/>
          <w:szCs w:val="20"/>
          <w:lang w:eastAsia="en-US"/>
          <w14:ligatures w14:val="standardContextual"/>
        </w:rPr>
        <w:t xml:space="preserve"> poziom</w:t>
      </w:r>
      <w:r w:rsidR="00671E1F">
        <w:rPr>
          <w:rFonts w:ascii="Lato" w:eastAsiaTheme="minorHAnsi" w:hAnsi="Lato" w:cstheme="minorBidi"/>
          <w:kern w:val="2"/>
          <w:sz w:val="20"/>
          <w:szCs w:val="20"/>
          <w:lang w:eastAsia="en-US"/>
          <w14:ligatures w14:val="standardContextual"/>
        </w:rPr>
        <w:t>u</w:t>
      </w:r>
      <w:r w:rsidR="00FC0998" w:rsidRPr="00054889">
        <w:rPr>
          <w:rFonts w:ascii="Lato" w:eastAsiaTheme="minorHAnsi" w:hAnsi="Lato" w:cstheme="minorBidi"/>
          <w:kern w:val="2"/>
          <w:sz w:val="20"/>
          <w:szCs w:val="20"/>
          <w:lang w:eastAsia="en-US"/>
          <w14:ligatures w14:val="standardContextual"/>
        </w:rPr>
        <w:t xml:space="preserve"> konkurencji w</w:t>
      </w:r>
      <w:r w:rsidR="00917108">
        <w:rPr>
          <w:rFonts w:ascii="Lato" w:eastAsiaTheme="minorHAnsi" w:hAnsi="Lato" w:cstheme="minorBidi"/>
          <w:kern w:val="2"/>
          <w:sz w:val="20"/>
          <w:szCs w:val="20"/>
          <w:lang w:eastAsia="en-US"/>
          <w14:ligatures w14:val="standardContextual"/>
        </w:rPr>
        <w:t> </w:t>
      </w:r>
      <w:r w:rsidR="00FC0998" w:rsidRPr="00054889">
        <w:rPr>
          <w:rFonts w:ascii="Lato" w:eastAsiaTheme="minorHAnsi" w:hAnsi="Lato" w:cstheme="minorBidi"/>
          <w:kern w:val="2"/>
          <w:sz w:val="20"/>
          <w:szCs w:val="20"/>
          <w:lang w:eastAsia="en-US"/>
          <w14:ligatures w14:val="standardContextual"/>
        </w:rPr>
        <w:t>postępowaniach, wzmocni</w:t>
      </w:r>
      <w:r w:rsidR="00671E1F">
        <w:rPr>
          <w:rFonts w:ascii="Lato" w:eastAsiaTheme="minorHAnsi" w:hAnsi="Lato" w:cstheme="minorBidi"/>
          <w:kern w:val="2"/>
          <w:sz w:val="20"/>
          <w:szCs w:val="20"/>
          <w:lang w:eastAsia="en-US"/>
          <w14:ligatures w14:val="standardContextual"/>
        </w:rPr>
        <w:t>enia</w:t>
      </w:r>
      <w:r w:rsidR="00FC0998" w:rsidRPr="00054889">
        <w:rPr>
          <w:rFonts w:ascii="Lato" w:eastAsiaTheme="minorHAnsi" w:hAnsi="Lato" w:cstheme="minorBidi"/>
          <w:kern w:val="2"/>
          <w:sz w:val="20"/>
          <w:szCs w:val="20"/>
          <w:lang w:eastAsia="en-US"/>
          <w14:ligatures w14:val="standardContextual"/>
        </w:rPr>
        <w:t xml:space="preserve"> zdolności wykonawcz</w:t>
      </w:r>
      <w:r w:rsidR="00671E1F">
        <w:rPr>
          <w:rFonts w:ascii="Lato" w:eastAsiaTheme="minorHAnsi" w:hAnsi="Lato" w:cstheme="minorBidi"/>
          <w:kern w:val="2"/>
          <w:sz w:val="20"/>
          <w:szCs w:val="20"/>
          <w:lang w:eastAsia="en-US"/>
          <w14:ligatures w14:val="standardContextual"/>
        </w:rPr>
        <w:t>ych</w:t>
      </w:r>
      <w:r w:rsidR="00FC0998" w:rsidRPr="00054889">
        <w:rPr>
          <w:rFonts w:ascii="Lato" w:eastAsiaTheme="minorHAnsi" w:hAnsi="Lato" w:cstheme="minorBidi"/>
          <w:kern w:val="2"/>
          <w:sz w:val="20"/>
          <w:szCs w:val="20"/>
          <w:lang w:eastAsia="en-US"/>
          <w14:ligatures w14:val="standardContextual"/>
        </w:rPr>
        <w:t xml:space="preserve"> przedsiębiorstw działających w Polsce oraz </w:t>
      </w:r>
      <w:r w:rsidR="004C672C" w:rsidRPr="00054889">
        <w:rPr>
          <w:rFonts w:ascii="Lato" w:eastAsiaTheme="minorHAnsi" w:hAnsi="Lato" w:cstheme="minorBidi"/>
          <w:kern w:val="2"/>
          <w:sz w:val="20"/>
          <w:szCs w:val="20"/>
          <w:lang w:eastAsia="en-US"/>
          <w14:ligatures w14:val="standardContextual"/>
        </w:rPr>
        <w:t xml:space="preserve">będzie </w:t>
      </w:r>
      <w:r w:rsidR="00FC0998" w:rsidRPr="00054889">
        <w:rPr>
          <w:rFonts w:ascii="Lato" w:eastAsiaTheme="minorHAnsi" w:hAnsi="Lato" w:cstheme="minorBidi"/>
          <w:kern w:val="2"/>
          <w:sz w:val="20"/>
          <w:szCs w:val="20"/>
          <w:lang w:eastAsia="en-US"/>
          <w14:ligatures w14:val="standardContextual"/>
        </w:rPr>
        <w:t>sprzyjać budowie stabilnych</w:t>
      </w:r>
      <w:r w:rsidR="004C672C" w:rsidRPr="00054889">
        <w:rPr>
          <w:rFonts w:ascii="Lato" w:eastAsiaTheme="minorHAnsi" w:hAnsi="Lato" w:cstheme="minorBidi"/>
          <w:kern w:val="2"/>
          <w:sz w:val="20"/>
          <w:szCs w:val="20"/>
          <w:lang w:eastAsia="en-US"/>
          <w14:ligatures w14:val="standardContextual"/>
        </w:rPr>
        <w:t xml:space="preserve"> </w:t>
      </w:r>
      <w:r w:rsidR="00FC0998" w:rsidRPr="00054889">
        <w:rPr>
          <w:rFonts w:ascii="Lato" w:eastAsiaTheme="minorHAnsi" w:hAnsi="Lato" w:cstheme="minorBidi"/>
          <w:kern w:val="2"/>
          <w:sz w:val="20"/>
          <w:szCs w:val="20"/>
          <w:lang w:eastAsia="en-US"/>
          <w14:ligatures w14:val="standardContextual"/>
        </w:rPr>
        <w:t xml:space="preserve">i odpornych łańcuchów dostaw. W rezultacie przełoży się to na większą przewidywalność realizacji inwestycji, ograniczenie </w:t>
      </w:r>
      <w:proofErr w:type="spellStart"/>
      <w:r w:rsidR="00FC0998" w:rsidRPr="00054889">
        <w:rPr>
          <w:rFonts w:ascii="Lato" w:eastAsiaTheme="minorHAnsi" w:hAnsi="Lato" w:cstheme="minorBidi"/>
          <w:kern w:val="2"/>
          <w:sz w:val="20"/>
          <w:szCs w:val="20"/>
          <w:lang w:eastAsia="en-US"/>
          <w14:ligatures w14:val="standardContextual"/>
        </w:rPr>
        <w:t>ryzyk</w:t>
      </w:r>
      <w:proofErr w:type="spellEnd"/>
      <w:r w:rsidR="00FC0998" w:rsidRPr="00054889">
        <w:rPr>
          <w:rFonts w:ascii="Lato" w:eastAsiaTheme="minorHAnsi" w:hAnsi="Lato" w:cstheme="minorBidi"/>
          <w:kern w:val="2"/>
          <w:sz w:val="20"/>
          <w:szCs w:val="20"/>
          <w:lang w:eastAsia="en-US"/>
          <w14:ligatures w14:val="standardContextual"/>
        </w:rPr>
        <w:t xml:space="preserve"> operacyjnych i logistycznych oraz trwałe wzmocnienie krajowego potencjału </w:t>
      </w:r>
      <w:r w:rsidR="00671E1F">
        <w:rPr>
          <w:rFonts w:ascii="Lato" w:eastAsiaTheme="minorHAnsi" w:hAnsi="Lato" w:cstheme="minorBidi"/>
          <w:kern w:val="2"/>
          <w:sz w:val="20"/>
          <w:szCs w:val="20"/>
          <w:lang w:eastAsia="en-US"/>
          <w14:ligatures w14:val="standardContextual"/>
        </w:rPr>
        <w:t>przemysłowego i usługowego</w:t>
      </w:r>
      <w:r w:rsidR="00FC0998" w:rsidRPr="00054889">
        <w:rPr>
          <w:rFonts w:ascii="Lato" w:eastAsiaTheme="minorHAnsi" w:hAnsi="Lato" w:cstheme="minorBidi"/>
          <w:kern w:val="2"/>
          <w:sz w:val="20"/>
          <w:szCs w:val="20"/>
          <w:lang w:eastAsia="en-US"/>
          <w14:ligatures w14:val="standardContextual"/>
        </w:rPr>
        <w:t>.</w:t>
      </w:r>
    </w:p>
    <w:p w14:paraId="48D6C2FF" w14:textId="77777777" w:rsidR="003C043E" w:rsidRPr="00054889" w:rsidRDefault="007C4CD6"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hAnsi="Lato"/>
          <w:sz w:val="20"/>
          <w:szCs w:val="20"/>
        </w:rPr>
        <w:t>Rekomenduje</w:t>
      </w:r>
      <w:r w:rsidR="003E3EE0" w:rsidRPr="00054889">
        <w:rPr>
          <w:rFonts w:ascii="Lato" w:hAnsi="Lato"/>
          <w:sz w:val="20"/>
          <w:szCs w:val="20"/>
        </w:rPr>
        <w:t xml:space="preserve"> się w szczególności:</w:t>
      </w:r>
    </w:p>
    <w:p w14:paraId="111137A0" w14:textId="53C5F9C2" w:rsidR="003C043E" w:rsidRPr="00054889" w:rsidRDefault="003E3EE0" w:rsidP="00FD2F03">
      <w:pPr>
        <w:pStyle w:val="NormalnyWeb"/>
        <w:widowControl w:val="0"/>
        <w:numPr>
          <w:ilvl w:val="0"/>
          <w:numId w:val="11"/>
        </w:numPr>
        <w:spacing w:before="0" w:beforeAutospacing="0" w:after="120" w:afterAutospacing="0" w:line="360" w:lineRule="auto"/>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Analizę zasadności podziału zamówienia na części</w:t>
      </w:r>
    </w:p>
    <w:p w14:paraId="3FD29BD3" w14:textId="1AAA5102" w:rsidR="003C043E" w:rsidRPr="00054889" w:rsidRDefault="003F423A"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K</w:t>
      </w:r>
      <w:r w:rsidR="003E3EE0" w:rsidRPr="00054889">
        <w:rPr>
          <w:rFonts w:ascii="Lato" w:eastAsiaTheme="minorHAnsi" w:hAnsi="Lato" w:cstheme="minorBidi"/>
          <w:kern w:val="2"/>
          <w:sz w:val="20"/>
          <w:szCs w:val="20"/>
          <w:lang w:eastAsia="en-US"/>
          <w14:ligatures w14:val="standardContextual"/>
        </w:rPr>
        <w:t>ażdorazową ocen</w:t>
      </w:r>
      <w:r w:rsidR="002D4D43" w:rsidRPr="00054889">
        <w:rPr>
          <w:rFonts w:ascii="Lato" w:eastAsiaTheme="minorHAnsi" w:hAnsi="Lato" w:cstheme="minorBidi"/>
          <w:kern w:val="2"/>
          <w:sz w:val="20"/>
          <w:szCs w:val="20"/>
          <w:lang w:eastAsia="en-US"/>
          <w14:ligatures w14:val="standardContextual"/>
        </w:rPr>
        <w:t>ę</w:t>
      </w:r>
      <w:r w:rsidR="003E3EE0" w:rsidRPr="00054889">
        <w:rPr>
          <w:rFonts w:ascii="Lato" w:eastAsiaTheme="minorHAnsi" w:hAnsi="Lato" w:cstheme="minorBidi"/>
          <w:kern w:val="2"/>
          <w:sz w:val="20"/>
          <w:szCs w:val="20"/>
          <w:lang w:eastAsia="en-US"/>
          <w14:ligatures w14:val="standardContextual"/>
        </w:rPr>
        <w:t xml:space="preserve"> czy podział zamówienia na części może zwiększyć konkurencyjność postępowania oraz umożliwić udział wyspecjalizowanych wykonawców, w tym podmiotów z</w:t>
      </w:r>
      <w:r w:rsidR="004C672C" w:rsidRPr="00054889">
        <w:rPr>
          <w:rFonts w:ascii="Lato" w:eastAsiaTheme="minorHAnsi" w:hAnsi="Lato" w:cstheme="minorBidi"/>
          <w:kern w:val="2"/>
          <w:sz w:val="20"/>
          <w:szCs w:val="20"/>
          <w:lang w:eastAsia="en-US"/>
          <w14:ligatures w14:val="standardContextual"/>
        </w:rPr>
        <w:t> </w:t>
      </w:r>
      <w:r w:rsidR="003E3EE0" w:rsidRPr="00054889">
        <w:rPr>
          <w:rFonts w:ascii="Lato" w:eastAsiaTheme="minorHAnsi" w:hAnsi="Lato" w:cstheme="minorBidi"/>
          <w:kern w:val="2"/>
          <w:sz w:val="20"/>
          <w:szCs w:val="20"/>
          <w:lang w:eastAsia="en-US"/>
          <w14:ligatures w14:val="standardContextual"/>
        </w:rPr>
        <w:t>sektora MŚP. Podział powinien uwzględniać charakter techniczny, organizacyjny i</w:t>
      </w:r>
      <w:r w:rsidR="004C672C" w:rsidRPr="00054889">
        <w:rPr>
          <w:rFonts w:ascii="Lato" w:eastAsiaTheme="minorHAnsi" w:hAnsi="Lato" w:cstheme="minorBidi"/>
          <w:kern w:val="2"/>
          <w:sz w:val="20"/>
          <w:szCs w:val="20"/>
          <w:lang w:eastAsia="en-US"/>
          <w14:ligatures w14:val="standardContextual"/>
        </w:rPr>
        <w:t> </w:t>
      </w:r>
      <w:r w:rsidR="003E3EE0" w:rsidRPr="00054889">
        <w:rPr>
          <w:rFonts w:ascii="Lato" w:eastAsiaTheme="minorHAnsi" w:hAnsi="Lato" w:cstheme="minorBidi"/>
          <w:kern w:val="2"/>
          <w:sz w:val="20"/>
          <w:szCs w:val="20"/>
          <w:lang w:eastAsia="en-US"/>
          <w14:ligatures w14:val="standardContextual"/>
        </w:rPr>
        <w:t>funkcjonalny zamówienia.</w:t>
      </w:r>
      <w:r w:rsidR="009D5396" w:rsidRPr="00054889">
        <w:rPr>
          <w:rFonts w:ascii="Lato" w:eastAsiaTheme="minorHAnsi" w:hAnsi="Lato" w:cstheme="minorBidi"/>
          <w:kern w:val="2"/>
          <w:sz w:val="20"/>
          <w:szCs w:val="20"/>
          <w:lang w:eastAsia="en-US"/>
          <w14:ligatures w14:val="standardContextual"/>
        </w:rPr>
        <w:t xml:space="preserve"> </w:t>
      </w:r>
    </w:p>
    <w:p w14:paraId="6CA7D524" w14:textId="679BF216" w:rsidR="00360A3B" w:rsidRPr="00054889" w:rsidRDefault="00360A3B"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sidRPr="0081437C">
        <w:rPr>
          <w:rFonts w:ascii="Lato" w:eastAsiaTheme="minorHAnsi" w:hAnsi="Lato" w:cstheme="minorBidi"/>
          <w:kern w:val="2"/>
          <w:sz w:val="20"/>
          <w:szCs w:val="20"/>
          <w:lang w:eastAsia="en-US"/>
          <w14:ligatures w14:val="standardContextual"/>
        </w:rPr>
        <w:t xml:space="preserve">Analiza zasadności podziału zamówienia powinna być przeprowadzana na możliwie wczesnym etapie przygotowania zamówienia, podczas opracowywania analizy potrzeb (opisanej w Rozdziale I). Analiza powinna być dokumentem wewnętrznym, zawierającym </w:t>
      </w:r>
      <w:r w:rsidRPr="0081437C">
        <w:rPr>
          <w:rFonts w:ascii="Lato" w:eastAsiaTheme="minorHAnsi" w:hAnsi="Lato" w:cstheme="minorBidi"/>
          <w:kern w:val="2"/>
          <w:sz w:val="20"/>
          <w:szCs w:val="20"/>
          <w:lang w:eastAsia="en-US"/>
          <w14:ligatures w14:val="standardContextual"/>
        </w:rPr>
        <w:lastRenderedPageBreak/>
        <w:t>szczegółową ocenę potencjalnych wariantów podziału i uzasadnienie ostatecznie wybranego podejścia.</w:t>
      </w:r>
      <w:r w:rsidRPr="00054889">
        <w:rPr>
          <w:rFonts w:ascii="Lato" w:eastAsiaTheme="minorHAnsi" w:hAnsi="Lato" w:cstheme="minorBidi"/>
          <w:kern w:val="2"/>
          <w:sz w:val="20"/>
          <w:szCs w:val="20"/>
          <w:lang w:eastAsia="en-US"/>
          <w14:ligatures w14:val="standardContextual"/>
        </w:rPr>
        <w:t xml:space="preserve"> </w:t>
      </w:r>
      <w:r w:rsidRPr="0081437C">
        <w:rPr>
          <w:rFonts w:ascii="Lato" w:eastAsiaTheme="minorHAnsi" w:hAnsi="Lato" w:cstheme="minorBidi"/>
          <w:kern w:val="2"/>
          <w:sz w:val="20"/>
          <w:szCs w:val="20"/>
          <w:lang w:eastAsia="en-US"/>
          <w14:ligatures w14:val="standardContextual"/>
        </w:rPr>
        <w:t>W ramach analizy zamawiający powinien przeanalizować następujące wymiary podziału:</w:t>
      </w:r>
    </w:p>
    <w:p w14:paraId="2E448959" w14:textId="15D747DF" w:rsidR="00360A3B" w:rsidRPr="00054889" w:rsidRDefault="00360A3B" w:rsidP="00FD2F03">
      <w:pPr>
        <w:pStyle w:val="NormalnyWeb"/>
        <w:widowControl w:val="0"/>
        <w:numPr>
          <w:ilvl w:val="2"/>
          <w:numId w:val="2"/>
        </w:numPr>
        <w:spacing w:before="0" w:beforeAutospacing="0" w:after="120" w:afterAutospacing="0" w:line="360" w:lineRule="auto"/>
        <w:ind w:left="1843" w:hanging="425"/>
        <w:jc w:val="both"/>
        <w:rPr>
          <w:rFonts w:ascii="Lato" w:eastAsiaTheme="minorHAnsi" w:hAnsi="Lato" w:cstheme="minorBidi"/>
          <w:kern w:val="2"/>
          <w:sz w:val="20"/>
          <w:szCs w:val="20"/>
          <w:lang w:eastAsia="en-US"/>
          <w14:ligatures w14:val="standardContextual"/>
        </w:rPr>
      </w:pPr>
      <w:r w:rsidRPr="00671E1F">
        <w:rPr>
          <w:rFonts w:ascii="Lato" w:eastAsiaTheme="minorHAnsi" w:hAnsi="Lato" w:cstheme="minorBidi"/>
          <w:b/>
          <w:kern w:val="2"/>
          <w:sz w:val="20"/>
          <w:szCs w:val="20"/>
          <w:lang w:eastAsia="en-US"/>
          <w14:ligatures w14:val="standardContextual"/>
        </w:rPr>
        <w:t>Podział funkcjonalny</w:t>
      </w:r>
      <w:r w:rsidRPr="0081437C">
        <w:rPr>
          <w:rFonts w:ascii="Lato" w:eastAsiaTheme="minorHAnsi" w:hAnsi="Lato" w:cstheme="minorBidi"/>
          <w:kern w:val="2"/>
          <w:sz w:val="20"/>
          <w:szCs w:val="20"/>
          <w:lang w:eastAsia="en-US"/>
          <w14:ligatures w14:val="standardContextual"/>
        </w:rPr>
        <w:t xml:space="preserve"> – rozdzielenie zamówienia na części</w:t>
      </w:r>
      <w:r w:rsidR="002E4D88" w:rsidRPr="00054889">
        <w:rPr>
          <w:rFonts w:ascii="Lato" w:eastAsiaTheme="minorHAnsi" w:hAnsi="Lato" w:cstheme="minorBidi"/>
          <w:kern w:val="2"/>
          <w:sz w:val="20"/>
          <w:szCs w:val="20"/>
          <w:lang w:eastAsia="en-US"/>
          <w14:ligatures w14:val="standardContextual"/>
        </w:rPr>
        <w:t>, np.</w:t>
      </w:r>
      <w:r w:rsidRPr="0081437C">
        <w:rPr>
          <w:rFonts w:ascii="Lato" w:eastAsiaTheme="minorHAnsi" w:hAnsi="Lato" w:cstheme="minorBidi"/>
          <w:kern w:val="2"/>
          <w:sz w:val="20"/>
          <w:szCs w:val="20"/>
          <w:lang w:eastAsia="en-US"/>
          <w14:ligatures w14:val="standardContextual"/>
        </w:rPr>
        <w:t xml:space="preserve"> odpowiadające różnym funkcjom lub komponentom systemu</w:t>
      </w:r>
      <w:r w:rsidR="002E4D88" w:rsidRPr="00054889">
        <w:rPr>
          <w:rFonts w:ascii="Lato" w:eastAsiaTheme="minorHAnsi" w:hAnsi="Lato" w:cstheme="minorBidi"/>
          <w:kern w:val="2"/>
          <w:sz w:val="20"/>
          <w:szCs w:val="20"/>
          <w:lang w:eastAsia="en-US"/>
          <w14:ligatures w14:val="standardContextual"/>
        </w:rPr>
        <w:t xml:space="preserve"> lub według faz projektu (faza projektowa, budowlano-montażowa, wsparcia i utrzymania).</w:t>
      </w:r>
    </w:p>
    <w:p w14:paraId="7275B7C6" w14:textId="6FACCD21" w:rsidR="002E4D88" w:rsidRPr="00054889" w:rsidRDefault="00360A3B" w:rsidP="00FD2F03">
      <w:pPr>
        <w:pStyle w:val="NormalnyWeb"/>
        <w:widowControl w:val="0"/>
        <w:numPr>
          <w:ilvl w:val="2"/>
          <w:numId w:val="2"/>
        </w:numPr>
        <w:spacing w:before="0" w:beforeAutospacing="0" w:after="120" w:afterAutospacing="0" w:line="360" w:lineRule="auto"/>
        <w:ind w:left="1843" w:hanging="425"/>
        <w:jc w:val="both"/>
        <w:rPr>
          <w:rFonts w:ascii="Lato" w:eastAsiaTheme="minorHAnsi" w:hAnsi="Lato" w:cstheme="minorBidi"/>
          <w:kern w:val="2"/>
          <w:sz w:val="20"/>
          <w:szCs w:val="20"/>
          <w:lang w:eastAsia="en-US"/>
          <w14:ligatures w14:val="standardContextual"/>
        </w:rPr>
      </w:pPr>
      <w:r w:rsidRPr="00671E1F">
        <w:rPr>
          <w:rFonts w:ascii="Lato" w:eastAsiaTheme="minorHAnsi" w:hAnsi="Lato" w:cstheme="minorBidi"/>
          <w:b/>
          <w:kern w:val="2"/>
          <w:sz w:val="20"/>
          <w:szCs w:val="20"/>
          <w:lang w:eastAsia="en-US"/>
          <w14:ligatures w14:val="standardContextual"/>
        </w:rPr>
        <w:t>Podział techniczny</w:t>
      </w:r>
      <w:r w:rsidRPr="0081437C">
        <w:rPr>
          <w:rFonts w:ascii="Lato" w:eastAsiaTheme="minorHAnsi" w:hAnsi="Lato" w:cstheme="minorBidi"/>
          <w:kern w:val="2"/>
          <w:sz w:val="20"/>
          <w:szCs w:val="20"/>
          <w:lang w:eastAsia="en-US"/>
          <w14:ligatures w14:val="standardContextual"/>
        </w:rPr>
        <w:t xml:space="preserve"> – rozdzielenie zamówienia na części odpowiadające różnym technologiom lub platformom techniczny</w:t>
      </w:r>
      <w:r w:rsidR="00671E1F">
        <w:rPr>
          <w:rFonts w:ascii="Lato" w:eastAsiaTheme="minorHAnsi" w:hAnsi="Lato" w:cstheme="minorBidi"/>
          <w:kern w:val="2"/>
          <w:sz w:val="20"/>
          <w:szCs w:val="20"/>
          <w:lang w:eastAsia="en-US"/>
          <w14:ligatures w14:val="standardContextual"/>
        </w:rPr>
        <w:t>m</w:t>
      </w:r>
      <w:r w:rsidRPr="0081437C">
        <w:rPr>
          <w:rFonts w:ascii="Lato" w:eastAsiaTheme="minorHAnsi" w:hAnsi="Lato" w:cstheme="minorBidi"/>
          <w:kern w:val="2"/>
          <w:sz w:val="20"/>
          <w:szCs w:val="20"/>
          <w:lang w:eastAsia="en-US"/>
          <w14:ligatures w14:val="standardContextual"/>
        </w:rPr>
        <w:t>.</w:t>
      </w:r>
    </w:p>
    <w:p w14:paraId="749FFABF" w14:textId="1C612BDD" w:rsidR="006826B5" w:rsidRPr="00054889" w:rsidRDefault="00360A3B" w:rsidP="00FD2F03">
      <w:pPr>
        <w:pStyle w:val="NormalnyWeb"/>
        <w:widowControl w:val="0"/>
        <w:numPr>
          <w:ilvl w:val="2"/>
          <w:numId w:val="2"/>
        </w:numPr>
        <w:spacing w:before="0" w:beforeAutospacing="0" w:after="120" w:afterAutospacing="0" w:line="360" w:lineRule="auto"/>
        <w:ind w:left="1843" w:hanging="425"/>
        <w:jc w:val="both"/>
        <w:rPr>
          <w:rFonts w:ascii="Lato" w:eastAsiaTheme="minorHAnsi" w:hAnsi="Lato" w:cstheme="minorBidi"/>
          <w:kern w:val="2"/>
          <w:sz w:val="20"/>
          <w:szCs w:val="20"/>
          <w:lang w:eastAsia="en-US"/>
          <w14:ligatures w14:val="standardContextual"/>
        </w:rPr>
      </w:pPr>
      <w:r w:rsidRPr="00671E1F">
        <w:rPr>
          <w:rFonts w:ascii="Lato" w:eastAsiaTheme="minorHAnsi" w:hAnsi="Lato" w:cstheme="minorBidi"/>
          <w:b/>
          <w:kern w:val="2"/>
          <w:sz w:val="20"/>
          <w:szCs w:val="20"/>
          <w:lang w:eastAsia="en-US"/>
          <w14:ligatures w14:val="standardContextual"/>
        </w:rPr>
        <w:t>Podział geograficzny</w:t>
      </w:r>
      <w:r w:rsidRPr="0081437C">
        <w:rPr>
          <w:rFonts w:ascii="Lato" w:eastAsiaTheme="minorHAnsi" w:hAnsi="Lato" w:cstheme="minorBidi"/>
          <w:kern w:val="2"/>
          <w:sz w:val="20"/>
          <w:szCs w:val="20"/>
          <w:lang w:eastAsia="en-US"/>
          <w14:ligatures w14:val="standardContextual"/>
        </w:rPr>
        <w:t xml:space="preserve"> – rozdzielenie zamówienia na części odpowiadające różnym lokalizacjom geograficznym lub regionom. Na przykład projekt dotyczący rozbudowy infrastruktury na terenie całego kraju może być podzielony na części odpowiadające poszczególnym regionom, co umożliwia lokalnym przedsiębiorstwom konkurowanie </w:t>
      </w:r>
      <w:r w:rsidR="00671E1F">
        <w:rPr>
          <w:rFonts w:ascii="Lato" w:eastAsiaTheme="minorHAnsi" w:hAnsi="Lato" w:cstheme="minorBidi"/>
          <w:kern w:val="2"/>
          <w:sz w:val="20"/>
          <w:szCs w:val="20"/>
          <w:lang w:eastAsia="en-US"/>
          <w14:ligatures w14:val="standardContextual"/>
        </w:rPr>
        <w:t>o</w:t>
      </w:r>
      <w:r w:rsidRPr="0081437C">
        <w:rPr>
          <w:rFonts w:ascii="Lato" w:eastAsiaTheme="minorHAnsi" w:hAnsi="Lato" w:cstheme="minorBidi"/>
          <w:kern w:val="2"/>
          <w:sz w:val="20"/>
          <w:szCs w:val="20"/>
          <w:lang w:eastAsia="en-US"/>
          <w14:ligatures w14:val="standardContextual"/>
        </w:rPr>
        <w:t xml:space="preserve"> zamówienia dotycząc</w:t>
      </w:r>
      <w:r w:rsidR="00671E1F">
        <w:rPr>
          <w:rFonts w:ascii="Lato" w:eastAsiaTheme="minorHAnsi" w:hAnsi="Lato" w:cstheme="minorBidi"/>
          <w:kern w:val="2"/>
          <w:sz w:val="20"/>
          <w:szCs w:val="20"/>
          <w:lang w:eastAsia="en-US"/>
          <w14:ligatures w14:val="standardContextual"/>
        </w:rPr>
        <w:t>e</w:t>
      </w:r>
      <w:r w:rsidRPr="0081437C">
        <w:rPr>
          <w:rFonts w:ascii="Lato" w:eastAsiaTheme="minorHAnsi" w:hAnsi="Lato" w:cstheme="minorBidi"/>
          <w:kern w:val="2"/>
          <w:sz w:val="20"/>
          <w:szCs w:val="20"/>
          <w:lang w:eastAsia="en-US"/>
          <w14:ligatures w14:val="standardContextual"/>
        </w:rPr>
        <w:t xml:space="preserve"> </w:t>
      </w:r>
      <w:r w:rsidR="00671E1F">
        <w:rPr>
          <w:rFonts w:ascii="Lato" w:eastAsiaTheme="minorHAnsi" w:hAnsi="Lato" w:cstheme="minorBidi"/>
          <w:kern w:val="2"/>
          <w:sz w:val="20"/>
          <w:szCs w:val="20"/>
          <w:lang w:eastAsia="en-US"/>
          <w14:ligatures w14:val="standardContextual"/>
        </w:rPr>
        <w:t>danego</w:t>
      </w:r>
      <w:r w:rsidRPr="0081437C">
        <w:rPr>
          <w:rFonts w:ascii="Lato" w:eastAsiaTheme="minorHAnsi" w:hAnsi="Lato" w:cstheme="minorBidi"/>
          <w:kern w:val="2"/>
          <w:sz w:val="20"/>
          <w:szCs w:val="20"/>
          <w:lang w:eastAsia="en-US"/>
          <w14:ligatures w14:val="standardContextual"/>
        </w:rPr>
        <w:t xml:space="preserve"> regionu. Taki podział jest szczególnie korzystny dla MŚP, które mogą dysponować odpowiednim potencjałem do realizacji projektów o skali lokalnej lub regionalnej, ale nie dysponują zdolnościami do realizacji projektów krajowych.</w:t>
      </w:r>
    </w:p>
    <w:p w14:paraId="222CF827" w14:textId="08D15AD7" w:rsidR="003C043E" w:rsidRPr="00054889" w:rsidRDefault="003E3EE0" w:rsidP="00FD2F03">
      <w:pPr>
        <w:pStyle w:val="NormalnyWeb"/>
        <w:widowControl w:val="0"/>
        <w:numPr>
          <w:ilvl w:val="0"/>
          <w:numId w:val="11"/>
        </w:numPr>
        <w:spacing w:before="0" w:beforeAutospacing="0" w:after="120" w:afterAutospacing="0" w:line="360" w:lineRule="auto"/>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Dopuszczanie wspólnego ubiegania się o zamówienie</w:t>
      </w:r>
    </w:p>
    <w:p w14:paraId="64788F1F" w14:textId="4B8FB957" w:rsidR="003C043E" w:rsidRPr="00054889" w:rsidRDefault="003F423A" w:rsidP="00097032">
      <w:pPr>
        <w:pStyle w:val="NormalnyWeb"/>
        <w:widowControl w:val="0"/>
        <w:spacing w:before="0" w:beforeAutospacing="0" w:after="120" w:afterAutospacing="0" w:line="360" w:lineRule="auto"/>
        <w:ind w:left="1134"/>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U</w:t>
      </w:r>
      <w:r w:rsidR="003E3EE0" w:rsidRPr="00054889">
        <w:rPr>
          <w:rFonts w:ascii="Lato" w:eastAsiaTheme="minorHAnsi" w:hAnsi="Lato" w:cstheme="minorBidi"/>
          <w:kern w:val="2"/>
          <w:sz w:val="20"/>
          <w:szCs w:val="20"/>
          <w:lang w:eastAsia="en-US"/>
          <w14:ligatures w14:val="standardContextual"/>
        </w:rPr>
        <w:t xml:space="preserve">możliwianie składania ofert przez konsorcja lub podmioty wspólnie ubiegające się </w:t>
      </w:r>
      <w:r w:rsidR="003C043E" w:rsidRPr="00054889">
        <w:rPr>
          <w:rFonts w:ascii="Lato" w:eastAsiaTheme="minorHAnsi" w:hAnsi="Lato" w:cstheme="minorBidi"/>
          <w:kern w:val="2"/>
          <w:sz w:val="20"/>
          <w:szCs w:val="20"/>
          <w:lang w:eastAsia="en-US"/>
          <w14:ligatures w14:val="standardContextual"/>
        </w:rPr>
        <w:br/>
      </w:r>
      <w:r w:rsidR="003E3EE0" w:rsidRPr="00054889">
        <w:rPr>
          <w:rFonts w:ascii="Lato" w:eastAsiaTheme="minorHAnsi" w:hAnsi="Lato" w:cstheme="minorBidi"/>
          <w:kern w:val="2"/>
          <w:sz w:val="20"/>
          <w:szCs w:val="20"/>
          <w:lang w:eastAsia="en-US"/>
          <w14:ligatures w14:val="standardContextual"/>
        </w:rPr>
        <w:t>o udzielenie zamówienia. Rozwiązanie to może sprzyjać łączeniu kompetencji, transferowi doświadczeń oraz budowie relacji w krajowym łańcuchu dostaw</w:t>
      </w:r>
      <w:r w:rsidR="00671E1F">
        <w:rPr>
          <w:rFonts w:ascii="Lato" w:eastAsiaTheme="minorHAnsi" w:hAnsi="Lato" w:cstheme="minorBidi"/>
          <w:kern w:val="2"/>
          <w:sz w:val="20"/>
          <w:szCs w:val="20"/>
          <w:lang w:eastAsia="en-US"/>
          <w14:ligatures w14:val="standardContextual"/>
        </w:rPr>
        <w:t>, a w rezultacie zwiększać udział komponentu krajowego w realizacji danej inwestycji</w:t>
      </w:r>
      <w:r w:rsidR="003E3EE0" w:rsidRPr="00054889">
        <w:rPr>
          <w:rFonts w:ascii="Lato" w:eastAsiaTheme="minorHAnsi" w:hAnsi="Lato" w:cstheme="minorBidi"/>
          <w:kern w:val="2"/>
          <w:sz w:val="20"/>
          <w:szCs w:val="20"/>
          <w:lang w:eastAsia="en-US"/>
          <w14:ligatures w14:val="standardContextual"/>
        </w:rPr>
        <w:t>.</w:t>
      </w:r>
    </w:p>
    <w:p w14:paraId="58A7B06D" w14:textId="77777777" w:rsidR="003C043E" w:rsidRPr="00054889" w:rsidRDefault="003E3EE0" w:rsidP="00FD2F03">
      <w:pPr>
        <w:pStyle w:val="NormalnyWeb"/>
        <w:widowControl w:val="0"/>
        <w:numPr>
          <w:ilvl w:val="0"/>
          <w:numId w:val="11"/>
        </w:numPr>
        <w:spacing w:before="0" w:beforeAutospacing="0" w:after="120" w:afterAutospacing="0" w:line="360" w:lineRule="auto"/>
        <w:ind w:left="1134" w:hanging="425"/>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Proporcjonalne określanie warunków udziału</w:t>
      </w:r>
    </w:p>
    <w:p w14:paraId="10877A75" w14:textId="0D4EEB43" w:rsidR="003C043E" w:rsidRPr="00054889" w:rsidRDefault="003F423A"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F</w:t>
      </w:r>
      <w:r w:rsidR="003E3EE0" w:rsidRPr="00054889">
        <w:rPr>
          <w:rFonts w:ascii="Lato" w:eastAsiaTheme="minorHAnsi" w:hAnsi="Lato" w:cstheme="minorBidi"/>
          <w:kern w:val="2"/>
          <w:sz w:val="20"/>
          <w:szCs w:val="20"/>
          <w:lang w:eastAsia="en-US"/>
          <w14:ligatures w14:val="standardContextual"/>
        </w:rPr>
        <w:t xml:space="preserve">ormułowanie wymogów dotyczących zdolności finansowej, technicznej </w:t>
      </w:r>
      <w:r w:rsidR="00043AAC" w:rsidRPr="00054889">
        <w:rPr>
          <w:rFonts w:ascii="Lato" w:eastAsiaTheme="minorHAnsi" w:hAnsi="Lato" w:cstheme="minorBidi"/>
          <w:kern w:val="2"/>
          <w:sz w:val="20"/>
          <w:szCs w:val="20"/>
          <w:lang w:eastAsia="en-US"/>
          <w14:ligatures w14:val="standardContextual"/>
        </w:rPr>
        <w:br/>
      </w:r>
      <w:r w:rsidR="003E3EE0" w:rsidRPr="00054889">
        <w:rPr>
          <w:rFonts w:ascii="Lato" w:eastAsiaTheme="minorHAnsi" w:hAnsi="Lato" w:cstheme="minorBidi"/>
          <w:kern w:val="2"/>
          <w:sz w:val="20"/>
          <w:szCs w:val="20"/>
          <w:lang w:eastAsia="en-US"/>
          <w14:ligatures w14:val="standardContextual"/>
        </w:rPr>
        <w:t xml:space="preserve">i organizacyjnej w sposób adekwatny do skali i poziomu ryzyka zamówienia. Nadmierne wymagania mogą ograniczać konkurencję i utrudniać udział </w:t>
      </w:r>
      <w:r w:rsidR="00671E1F">
        <w:rPr>
          <w:rFonts w:ascii="Lato" w:eastAsiaTheme="minorHAnsi" w:hAnsi="Lato" w:cstheme="minorBidi"/>
          <w:kern w:val="2"/>
          <w:sz w:val="20"/>
          <w:szCs w:val="20"/>
          <w:lang w:eastAsia="en-US"/>
          <w14:ligatures w14:val="standardContextual"/>
        </w:rPr>
        <w:t xml:space="preserve">krajowych </w:t>
      </w:r>
      <w:r w:rsidR="003E3EE0" w:rsidRPr="00054889">
        <w:rPr>
          <w:rFonts w:ascii="Lato" w:eastAsiaTheme="minorHAnsi" w:hAnsi="Lato" w:cstheme="minorBidi"/>
          <w:kern w:val="2"/>
          <w:sz w:val="20"/>
          <w:szCs w:val="20"/>
          <w:lang w:eastAsia="en-US"/>
          <w14:ligatures w14:val="standardContextual"/>
        </w:rPr>
        <w:t>podmiotów posiadających realne kompetencje wykonawcze.</w:t>
      </w:r>
    </w:p>
    <w:p w14:paraId="42983DD1" w14:textId="61286A9C" w:rsidR="0040075D" w:rsidRPr="00BE0158" w:rsidRDefault="0040075D"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sidRPr="00BE0158">
        <w:rPr>
          <w:rFonts w:ascii="Lato" w:eastAsiaTheme="minorHAnsi" w:hAnsi="Lato" w:cstheme="minorBidi"/>
          <w:kern w:val="2"/>
          <w:sz w:val="20"/>
          <w:szCs w:val="20"/>
          <w:lang w:eastAsia="en-US"/>
          <w14:ligatures w14:val="standardContextual"/>
        </w:rPr>
        <w:t>Wymogi dotyczące zdolności uczestników postępowania powinny być sformułowane w</w:t>
      </w:r>
      <w:r w:rsidR="00671E1F">
        <w:rPr>
          <w:rFonts w:ascii="Lato" w:eastAsiaTheme="minorHAnsi" w:hAnsi="Lato" w:cstheme="minorBidi"/>
          <w:kern w:val="2"/>
          <w:sz w:val="20"/>
          <w:szCs w:val="20"/>
          <w:lang w:eastAsia="en-US"/>
          <w14:ligatures w14:val="standardContextual"/>
        </w:rPr>
        <w:t> </w:t>
      </w:r>
      <w:r w:rsidRPr="00BE0158">
        <w:rPr>
          <w:rFonts w:ascii="Lato" w:eastAsiaTheme="minorHAnsi" w:hAnsi="Lato" w:cstheme="minorBidi"/>
          <w:kern w:val="2"/>
          <w:sz w:val="20"/>
          <w:szCs w:val="20"/>
          <w:lang w:eastAsia="en-US"/>
          <w14:ligatures w14:val="standardContextual"/>
        </w:rPr>
        <w:t>oparciu o szczegółową analizę minimalnych zdolności wymaganych dla bezpiecznej realizacji zamówienia. Analiza powinna być przeprowadzana dla każdego zamówienia osobno, z uwzględnieniem jego specyfiki, skali i poziomu ryzyka.</w:t>
      </w:r>
    </w:p>
    <w:p w14:paraId="41C4BBD4" w14:textId="77777777" w:rsidR="003C043E" w:rsidRPr="00054889" w:rsidRDefault="003E3EE0" w:rsidP="00FD2F03">
      <w:pPr>
        <w:pStyle w:val="NormalnyWeb"/>
        <w:widowControl w:val="0"/>
        <w:numPr>
          <w:ilvl w:val="0"/>
          <w:numId w:val="11"/>
        </w:numPr>
        <w:spacing w:before="0" w:beforeAutospacing="0" w:after="120" w:afterAutospacing="0" w:line="360" w:lineRule="auto"/>
        <w:ind w:left="1134" w:hanging="425"/>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Ograniczanie barier formalnych i administracyjnych</w:t>
      </w:r>
    </w:p>
    <w:p w14:paraId="21D7A022" w14:textId="7CC3350C" w:rsidR="003C043E" w:rsidRPr="00054889" w:rsidRDefault="00666883"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Stosowanie cyfrowych platform zakupowych, u</w:t>
      </w:r>
      <w:r w:rsidR="003E3EE0" w:rsidRPr="00054889">
        <w:rPr>
          <w:rFonts w:ascii="Lato" w:eastAsiaTheme="minorHAnsi" w:hAnsi="Lato" w:cstheme="minorBidi"/>
          <w:kern w:val="2"/>
          <w:sz w:val="20"/>
          <w:szCs w:val="20"/>
          <w:lang w:eastAsia="en-US"/>
          <w14:ligatures w14:val="standardContextual"/>
        </w:rPr>
        <w:t>praszczanie procedur i dokumentacji w</w:t>
      </w:r>
      <w:r w:rsidR="00671E1F">
        <w:rPr>
          <w:rFonts w:ascii="Lato" w:eastAsiaTheme="minorHAnsi" w:hAnsi="Lato" w:cstheme="minorBidi"/>
          <w:kern w:val="2"/>
          <w:sz w:val="20"/>
          <w:szCs w:val="20"/>
          <w:lang w:eastAsia="en-US"/>
          <w14:ligatures w14:val="standardContextual"/>
        </w:rPr>
        <w:t> </w:t>
      </w:r>
      <w:r w:rsidR="003E3EE0" w:rsidRPr="00054889">
        <w:rPr>
          <w:rFonts w:ascii="Lato" w:eastAsiaTheme="minorHAnsi" w:hAnsi="Lato" w:cstheme="minorBidi"/>
          <w:kern w:val="2"/>
          <w:sz w:val="20"/>
          <w:szCs w:val="20"/>
          <w:lang w:eastAsia="en-US"/>
          <w14:ligatures w14:val="standardContextual"/>
        </w:rPr>
        <w:t xml:space="preserve">zakresie dopuszczalnym </w:t>
      </w:r>
      <w:r w:rsidRPr="00054889">
        <w:rPr>
          <w:rFonts w:ascii="Lato" w:eastAsiaTheme="minorHAnsi" w:hAnsi="Lato" w:cstheme="minorBidi"/>
          <w:kern w:val="2"/>
          <w:sz w:val="20"/>
          <w:szCs w:val="20"/>
          <w:lang w:eastAsia="en-US"/>
          <w14:ligatures w14:val="standardContextual"/>
        </w:rPr>
        <w:t xml:space="preserve">wewnętrznymi regulacjami zakupowymi </w:t>
      </w:r>
      <w:r w:rsidR="00671E1F" w:rsidRPr="00671E1F">
        <w:rPr>
          <w:rFonts w:ascii="Lato" w:eastAsiaTheme="minorHAnsi" w:hAnsi="Lato" w:cstheme="minorBidi"/>
          <w:kern w:val="2"/>
          <w:sz w:val="20"/>
          <w:szCs w:val="20"/>
          <w:lang w:eastAsia="en-US"/>
          <w14:ligatures w14:val="standardContextual"/>
        </w:rPr>
        <w:t>spółki z udziałem Skarbu Państwa</w:t>
      </w:r>
      <w:r w:rsidR="003E3EE0" w:rsidRPr="00054889">
        <w:rPr>
          <w:rFonts w:ascii="Lato" w:eastAsiaTheme="minorHAnsi" w:hAnsi="Lato" w:cstheme="minorBidi"/>
          <w:kern w:val="2"/>
          <w:sz w:val="20"/>
          <w:szCs w:val="20"/>
          <w:lang w:eastAsia="en-US"/>
          <w14:ligatures w14:val="standardContextual"/>
        </w:rPr>
        <w:t>, aby zmniejszyć obciążenia administracyjne</w:t>
      </w:r>
      <w:r w:rsidRPr="00054889">
        <w:rPr>
          <w:rFonts w:ascii="Lato" w:eastAsiaTheme="minorHAnsi" w:hAnsi="Lato" w:cstheme="minorBidi"/>
          <w:kern w:val="2"/>
          <w:sz w:val="20"/>
          <w:szCs w:val="20"/>
          <w:lang w:eastAsia="en-US"/>
          <w14:ligatures w14:val="standardContextual"/>
        </w:rPr>
        <w:t xml:space="preserve"> czy techniczne</w:t>
      </w:r>
      <w:r w:rsidR="003E3EE0" w:rsidRPr="00054889">
        <w:rPr>
          <w:rFonts w:ascii="Lato" w:eastAsiaTheme="minorHAnsi" w:hAnsi="Lato" w:cstheme="minorBidi"/>
          <w:kern w:val="2"/>
          <w:sz w:val="20"/>
          <w:szCs w:val="20"/>
          <w:lang w:eastAsia="en-US"/>
          <w14:ligatures w14:val="standardContextual"/>
        </w:rPr>
        <w:t xml:space="preserve"> związane z</w:t>
      </w:r>
      <w:r w:rsidR="00671E1F">
        <w:rPr>
          <w:rFonts w:ascii="Lato" w:eastAsiaTheme="minorHAnsi" w:hAnsi="Lato" w:cstheme="minorBidi"/>
          <w:kern w:val="2"/>
          <w:sz w:val="20"/>
          <w:szCs w:val="20"/>
          <w:lang w:eastAsia="en-US"/>
          <w14:ligatures w14:val="standardContextual"/>
        </w:rPr>
        <w:t> </w:t>
      </w:r>
      <w:r w:rsidR="003E3EE0" w:rsidRPr="00054889">
        <w:rPr>
          <w:rFonts w:ascii="Lato" w:eastAsiaTheme="minorHAnsi" w:hAnsi="Lato" w:cstheme="minorBidi"/>
          <w:kern w:val="2"/>
          <w:sz w:val="20"/>
          <w:szCs w:val="20"/>
          <w:lang w:eastAsia="en-US"/>
          <w14:ligatures w14:val="standardContextual"/>
        </w:rPr>
        <w:t>udziałem w postępowaniu</w:t>
      </w:r>
      <w:r w:rsidRPr="00054889">
        <w:rPr>
          <w:rFonts w:ascii="Lato" w:eastAsiaTheme="minorHAnsi" w:hAnsi="Lato" w:cstheme="minorBidi"/>
          <w:kern w:val="2"/>
          <w:sz w:val="20"/>
          <w:szCs w:val="20"/>
          <w:lang w:eastAsia="en-US"/>
          <w14:ligatures w14:val="standardContextual"/>
        </w:rPr>
        <w:t xml:space="preserve"> w ramach kluczowych procesów inwestycyjnych</w:t>
      </w:r>
      <w:r w:rsidR="003E3EE0" w:rsidRPr="00054889">
        <w:rPr>
          <w:rFonts w:ascii="Lato" w:eastAsiaTheme="minorHAnsi" w:hAnsi="Lato" w:cstheme="minorBidi"/>
          <w:kern w:val="2"/>
          <w:sz w:val="20"/>
          <w:szCs w:val="20"/>
          <w:lang w:eastAsia="en-US"/>
          <w14:ligatures w14:val="standardContextual"/>
        </w:rPr>
        <w:t>. Działania te mogą zwiększać liczbę</w:t>
      </w:r>
      <w:r w:rsidR="002D4D43" w:rsidRPr="00054889">
        <w:rPr>
          <w:rFonts w:ascii="Lato" w:eastAsiaTheme="minorHAnsi" w:hAnsi="Lato" w:cstheme="minorBidi"/>
          <w:kern w:val="2"/>
          <w:sz w:val="20"/>
          <w:szCs w:val="20"/>
          <w:lang w:eastAsia="en-US"/>
          <w14:ligatures w14:val="standardContextual"/>
        </w:rPr>
        <w:t xml:space="preserve"> i jakość </w:t>
      </w:r>
      <w:r w:rsidR="003E3EE0" w:rsidRPr="00054889">
        <w:rPr>
          <w:rFonts w:ascii="Lato" w:eastAsiaTheme="minorHAnsi" w:hAnsi="Lato" w:cstheme="minorBidi"/>
          <w:kern w:val="2"/>
          <w:sz w:val="20"/>
          <w:szCs w:val="20"/>
          <w:lang w:eastAsia="en-US"/>
          <w14:ligatures w14:val="standardContextual"/>
        </w:rPr>
        <w:t xml:space="preserve">składanych ofert oraz </w:t>
      </w:r>
      <w:r w:rsidRPr="00054889">
        <w:rPr>
          <w:rFonts w:ascii="Lato" w:eastAsiaTheme="minorHAnsi" w:hAnsi="Lato" w:cstheme="minorBidi"/>
          <w:kern w:val="2"/>
          <w:sz w:val="20"/>
          <w:szCs w:val="20"/>
          <w:lang w:eastAsia="en-US"/>
          <w14:ligatures w14:val="standardContextual"/>
        </w:rPr>
        <w:t>zachęcać do składania ofert</w:t>
      </w:r>
      <w:r w:rsidR="003E3EE0" w:rsidRPr="00054889">
        <w:rPr>
          <w:rFonts w:ascii="Lato" w:eastAsiaTheme="minorHAnsi" w:hAnsi="Lato" w:cstheme="minorBidi"/>
          <w:kern w:val="2"/>
          <w:sz w:val="20"/>
          <w:szCs w:val="20"/>
          <w:lang w:eastAsia="en-US"/>
          <w14:ligatures w14:val="standardContextual"/>
        </w:rPr>
        <w:t xml:space="preserve"> podmiot</w:t>
      </w:r>
      <w:r w:rsidRPr="00054889">
        <w:rPr>
          <w:rFonts w:ascii="Lato" w:eastAsiaTheme="minorHAnsi" w:hAnsi="Lato" w:cstheme="minorBidi"/>
          <w:kern w:val="2"/>
          <w:sz w:val="20"/>
          <w:szCs w:val="20"/>
          <w:lang w:eastAsia="en-US"/>
          <w14:ligatures w14:val="standardContextual"/>
        </w:rPr>
        <w:t>y</w:t>
      </w:r>
      <w:r w:rsidR="003E3EE0" w:rsidRPr="00054889">
        <w:rPr>
          <w:rFonts w:ascii="Lato" w:eastAsiaTheme="minorHAnsi" w:hAnsi="Lato" w:cstheme="minorBidi"/>
          <w:kern w:val="2"/>
          <w:sz w:val="20"/>
          <w:szCs w:val="20"/>
          <w:lang w:eastAsia="en-US"/>
          <w14:ligatures w14:val="standardContextual"/>
        </w:rPr>
        <w:t xml:space="preserve"> działając</w:t>
      </w:r>
      <w:r w:rsidRPr="00054889">
        <w:rPr>
          <w:rFonts w:ascii="Lato" w:eastAsiaTheme="minorHAnsi" w:hAnsi="Lato" w:cstheme="minorBidi"/>
          <w:kern w:val="2"/>
          <w:sz w:val="20"/>
          <w:szCs w:val="20"/>
          <w:lang w:eastAsia="en-US"/>
          <w14:ligatures w14:val="standardContextual"/>
        </w:rPr>
        <w:t>e</w:t>
      </w:r>
      <w:r w:rsidR="003E3EE0" w:rsidRPr="00054889">
        <w:rPr>
          <w:rFonts w:ascii="Lato" w:eastAsiaTheme="minorHAnsi" w:hAnsi="Lato" w:cstheme="minorBidi"/>
          <w:kern w:val="2"/>
          <w:sz w:val="20"/>
          <w:szCs w:val="20"/>
          <w:lang w:eastAsia="en-US"/>
          <w14:ligatures w14:val="standardContextual"/>
        </w:rPr>
        <w:t xml:space="preserve"> lokalnie.</w:t>
      </w:r>
    </w:p>
    <w:p w14:paraId="0C1CB12E" w14:textId="4CAD95BD" w:rsidR="000416C5" w:rsidRPr="00054889" w:rsidRDefault="000416C5"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lastRenderedPageBreak/>
        <w:t>Bariery administracyjne i formalne mogą stanowić znaczną przeszkodę dla mniejszych, często krajowych podmiotów, które nie dysponują wyspecjalizowaną kadrą zajmującą się przygotowaniem ofert w postępowaniach</w:t>
      </w:r>
      <w:r w:rsidR="00671E1F">
        <w:rPr>
          <w:rFonts w:ascii="Lato" w:eastAsiaTheme="minorHAnsi" w:hAnsi="Lato" w:cstheme="minorBidi"/>
          <w:kern w:val="2"/>
          <w:sz w:val="20"/>
          <w:szCs w:val="20"/>
          <w:lang w:eastAsia="en-US"/>
          <w14:ligatures w14:val="standardContextual"/>
        </w:rPr>
        <w:t xml:space="preserve"> zakupowych inicjowanych przez dużych przedsiębiorców</w:t>
      </w:r>
      <w:r w:rsidRPr="00054889">
        <w:rPr>
          <w:rFonts w:ascii="Lato" w:eastAsiaTheme="minorHAnsi" w:hAnsi="Lato" w:cstheme="minorBidi"/>
          <w:kern w:val="2"/>
          <w:sz w:val="20"/>
          <w:szCs w:val="20"/>
          <w:lang w:eastAsia="en-US"/>
          <w14:ligatures w14:val="standardContextual"/>
        </w:rPr>
        <w:t>. Zmniejszenie tych barier w umiarkowany i kontrolowany sposób sprzyja zwiększeniu liczby potencjalnych oferentów i przyczynia się do podniesienia konkurencyjności postępowań</w:t>
      </w:r>
      <w:r w:rsidR="00671E1F">
        <w:rPr>
          <w:rFonts w:ascii="Lato" w:eastAsiaTheme="minorHAnsi" w:hAnsi="Lato" w:cstheme="minorBidi"/>
          <w:kern w:val="2"/>
          <w:sz w:val="20"/>
          <w:szCs w:val="20"/>
          <w:lang w:eastAsia="en-US"/>
          <w14:ligatures w14:val="standardContextual"/>
        </w:rPr>
        <w:t>, a finalnie może się przekładać na zwiększony udział komponentu krajowego w realizacji danej inwestycji</w:t>
      </w:r>
      <w:r w:rsidRPr="00054889">
        <w:rPr>
          <w:rFonts w:ascii="Lato" w:eastAsiaTheme="minorHAnsi" w:hAnsi="Lato" w:cstheme="minorBidi"/>
          <w:kern w:val="2"/>
          <w:sz w:val="20"/>
          <w:szCs w:val="20"/>
          <w:lang w:eastAsia="en-US"/>
          <w14:ligatures w14:val="standardContextual"/>
        </w:rPr>
        <w:t>.</w:t>
      </w:r>
    </w:p>
    <w:p w14:paraId="3AEBF080" w14:textId="77777777" w:rsidR="00E14C6E" w:rsidRPr="00054889" w:rsidRDefault="003E3EE0" w:rsidP="00FD2F03">
      <w:pPr>
        <w:pStyle w:val="NormalnyWeb"/>
        <w:widowControl w:val="0"/>
        <w:numPr>
          <w:ilvl w:val="0"/>
          <w:numId w:val="11"/>
        </w:numPr>
        <w:spacing w:before="0" w:beforeAutospacing="0" w:after="120" w:afterAutospacing="0" w:line="360" w:lineRule="auto"/>
        <w:ind w:left="1134" w:hanging="425"/>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Kształtowanie zakresu zamówienia w sposób sprzyjający budowie</w:t>
      </w:r>
      <w:r w:rsidR="00E14C6E" w:rsidRPr="00054889">
        <w:rPr>
          <w:rFonts w:ascii="Lato" w:eastAsiaTheme="minorHAnsi" w:hAnsi="Lato" w:cstheme="minorBidi"/>
          <w:b/>
          <w:bCs/>
          <w:kern w:val="2"/>
          <w:sz w:val="20"/>
          <w:szCs w:val="20"/>
          <w:lang w:eastAsia="en-US"/>
          <w14:ligatures w14:val="standardContextual"/>
        </w:rPr>
        <w:t xml:space="preserve"> jak najkrótszych</w:t>
      </w:r>
      <w:r w:rsidRPr="00054889">
        <w:rPr>
          <w:rFonts w:ascii="Lato" w:eastAsiaTheme="minorHAnsi" w:hAnsi="Lato" w:cstheme="minorBidi"/>
          <w:b/>
          <w:bCs/>
          <w:kern w:val="2"/>
          <w:sz w:val="20"/>
          <w:szCs w:val="20"/>
          <w:lang w:eastAsia="en-US"/>
          <w14:ligatures w14:val="standardContextual"/>
        </w:rPr>
        <w:t xml:space="preserve"> łańcuchów dostaw</w:t>
      </w:r>
      <w:r w:rsidR="00E14C6E" w:rsidRPr="00054889">
        <w:rPr>
          <w:rFonts w:ascii="Lato" w:eastAsiaTheme="minorHAnsi" w:hAnsi="Lato" w:cstheme="minorBidi"/>
          <w:b/>
          <w:bCs/>
          <w:kern w:val="2"/>
          <w:sz w:val="20"/>
          <w:szCs w:val="20"/>
          <w:lang w:eastAsia="en-US"/>
          <w14:ligatures w14:val="standardContextual"/>
        </w:rPr>
        <w:t xml:space="preserve"> </w:t>
      </w:r>
    </w:p>
    <w:p w14:paraId="083A0555" w14:textId="68139365" w:rsidR="003E3EE0" w:rsidRPr="00054889" w:rsidRDefault="00671E1F"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Wskazane jest d</w:t>
      </w:r>
      <w:r w:rsidR="003E3EE0" w:rsidRPr="00054889">
        <w:rPr>
          <w:rFonts w:ascii="Lato" w:eastAsiaTheme="minorHAnsi" w:hAnsi="Lato" w:cstheme="minorBidi"/>
          <w:kern w:val="2"/>
          <w:sz w:val="20"/>
          <w:szCs w:val="20"/>
          <w:lang w:eastAsia="en-US"/>
          <w14:ligatures w14:val="standardContextual"/>
        </w:rPr>
        <w:t>efiniowanie zakresu zamówienia</w:t>
      </w:r>
      <w:r>
        <w:rPr>
          <w:rFonts w:ascii="Lato" w:eastAsiaTheme="minorHAnsi" w:hAnsi="Lato" w:cstheme="minorBidi"/>
          <w:kern w:val="2"/>
          <w:sz w:val="20"/>
          <w:szCs w:val="20"/>
          <w:lang w:eastAsia="en-US"/>
          <w14:ligatures w14:val="standardContextual"/>
        </w:rPr>
        <w:t xml:space="preserve"> na potrzeby danego kluczowego procesu inwestycyjnego</w:t>
      </w:r>
      <w:r w:rsidR="003E3EE0" w:rsidRPr="00054889">
        <w:rPr>
          <w:rFonts w:ascii="Lato" w:eastAsiaTheme="minorHAnsi" w:hAnsi="Lato" w:cstheme="minorBidi"/>
          <w:kern w:val="2"/>
          <w:sz w:val="20"/>
          <w:szCs w:val="20"/>
          <w:lang w:eastAsia="en-US"/>
          <w14:ligatures w14:val="standardContextual"/>
        </w:rPr>
        <w:t>, które</w:t>
      </w:r>
      <w:r w:rsidR="00666883" w:rsidRPr="00054889">
        <w:rPr>
          <w:rFonts w:ascii="Lato" w:eastAsiaTheme="minorHAnsi" w:hAnsi="Lato" w:cstheme="minorBidi"/>
          <w:kern w:val="2"/>
          <w:sz w:val="20"/>
          <w:szCs w:val="20"/>
          <w:lang w:eastAsia="en-US"/>
          <w14:ligatures w14:val="standardContextual"/>
        </w:rPr>
        <w:t xml:space="preserve"> sprzyja lub</w:t>
      </w:r>
      <w:r w:rsidR="003E3EE0" w:rsidRPr="00054889">
        <w:rPr>
          <w:rFonts w:ascii="Lato" w:eastAsiaTheme="minorHAnsi" w:hAnsi="Lato" w:cstheme="minorBidi"/>
          <w:kern w:val="2"/>
          <w:sz w:val="20"/>
          <w:szCs w:val="20"/>
          <w:lang w:eastAsia="en-US"/>
          <w14:ligatures w14:val="standardContextual"/>
        </w:rPr>
        <w:t xml:space="preserve"> umożliwia współpracę wykonawców z podwykonawcami i dostawcami funkcjonującymi na terytorium RP, przy zachowaniu neutralności i</w:t>
      </w:r>
      <w:r w:rsidR="00A94C6F">
        <w:rPr>
          <w:rFonts w:ascii="Lato" w:eastAsiaTheme="minorHAnsi" w:hAnsi="Lato" w:cstheme="minorBidi"/>
          <w:kern w:val="2"/>
          <w:sz w:val="20"/>
          <w:szCs w:val="20"/>
          <w:lang w:eastAsia="en-US"/>
          <w14:ligatures w14:val="standardContextual"/>
        </w:rPr>
        <w:t> </w:t>
      </w:r>
      <w:r w:rsidR="003E3EE0" w:rsidRPr="00054889">
        <w:rPr>
          <w:rFonts w:ascii="Lato" w:eastAsiaTheme="minorHAnsi" w:hAnsi="Lato" w:cstheme="minorBidi"/>
          <w:kern w:val="2"/>
          <w:sz w:val="20"/>
          <w:szCs w:val="20"/>
          <w:lang w:eastAsia="en-US"/>
          <w14:ligatures w14:val="standardContextual"/>
        </w:rPr>
        <w:t>niedyskryminacyjnego charakteru postępowania.</w:t>
      </w:r>
      <w:r w:rsidR="00666883" w:rsidRPr="00054889">
        <w:rPr>
          <w:rFonts w:ascii="Lato" w:eastAsiaTheme="minorHAnsi" w:hAnsi="Lato" w:cstheme="minorBidi"/>
          <w:kern w:val="2"/>
          <w:sz w:val="20"/>
          <w:szCs w:val="20"/>
          <w:lang w:eastAsia="en-US"/>
          <w14:ligatures w14:val="standardContextual"/>
        </w:rPr>
        <w:t xml:space="preserve"> </w:t>
      </w:r>
      <w:r w:rsidR="00A94C6F">
        <w:rPr>
          <w:rFonts w:ascii="Lato" w:eastAsiaTheme="minorHAnsi" w:hAnsi="Lato" w:cstheme="minorBidi"/>
          <w:kern w:val="2"/>
          <w:sz w:val="20"/>
          <w:szCs w:val="20"/>
          <w:lang w:eastAsia="en-US"/>
          <w14:ligatures w14:val="standardContextual"/>
        </w:rPr>
        <w:t>Może się to pr</w:t>
      </w:r>
      <w:r w:rsidR="00666883" w:rsidRPr="00054889">
        <w:rPr>
          <w:rFonts w:ascii="Lato" w:eastAsiaTheme="minorHAnsi" w:hAnsi="Lato" w:cstheme="minorBidi"/>
          <w:kern w:val="2"/>
          <w:sz w:val="20"/>
          <w:szCs w:val="20"/>
          <w:lang w:eastAsia="en-US"/>
          <w14:ligatures w14:val="standardContextual"/>
        </w:rPr>
        <w:t>zekłada</w:t>
      </w:r>
      <w:r w:rsidR="00A94C6F">
        <w:rPr>
          <w:rFonts w:ascii="Lato" w:eastAsiaTheme="minorHAnsi" w:hAnsi="Lato" w:cstheme="minorBidi"/>
          <w:kern w:val="2"/>
          <w:sz w:val="20"/>
          <w:szCs w:val="20"/>
          <w:lang w:eastAsia="en-US"/>
          <w14:ligatures w14:val="standardContextual"/>
        </w:rPr>
        <w:t>ć</w:t>
      </w:r>
      <w:r w:rsidR="00666883" w:rsidRPr="00054889">
        <w:rPr>
          <w:rFonts w:ascii="Lato" w:eastAsiaTheme="minorHAnsi" w:hAnsi="Lato" w:cstheme="minorBidi"/>
          <w:kern w:val="2"/>
          <w:sz w:val="20"/>
          <w:szCs w:val="20"/>
          <w:lang w:eastAsia="en-US"/>
          <w14:ligatures w14:val="standardContextual"/>
        </w:rPr>
        <w:t xml:space="preserve"> na większą stabilność i odporność łańcuchów dostaw</w:t>
      </w:r>
      <w:r w:rsidR="00A94C6F">
        <w:rPr>
          <w:rFonts w:ascii="Lato" w:eastAsiaTheme="minorHAnsi" w:hAnsi="Lato" w:cstheme="minorBidi"/>
          <w:kern w:val="2"/>
          <w:sz w:val="20"/>
          <w:szCs w:val="20"/>
          <w:lang w:eastAsia="en-US"/>
          <w14:ligatures w14:val="standardContextual"/>
        </w:rPr>
        <w:t xml:space="preserve"> na potrzeby danej inwestycji</w:t>
      </w:r>
      <w:r w:rsidR="00666883" w:rsidRPr="00054889">
        <w:rPr>
          <w:rFonts w:ascii="Lato" w:eastAsiaTheme="minorHAnsi" w:hAnsi="Lato" w:cstheme="minorBidi"/>
          <w:kern w:val="2"/>
          <w:sz w:val="20"/>
          <w:szCs w:val="20"/>
          <w:lang w:eastAsia="en-US"/>
          <w14:ligatures w14:val="standardContextual"/>
        </w:rPr>
        <w:t xml:space="preserve">. </w:t>
      </w:r>
    </w:p>
    <w:p w14:paraId="3E6BD967" w14:textId="3F3D90F3" w:rsidR="00906A44" w:rsidRPr="0081437C" w:rsidRDefault="00F97265"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K</w:t>
      </w:r>
      <w:r w:rsidR="00906A44" w:rsidRPr="0081437C">
        <w:rPr>
          <w:rFonts w:ascii="Lato" w:eastAsiaTheme="minorHAnsi" w:hAnsi="Lato" w:cstheme="minorBidi"/>
          <w:kern w:val="2"/>
          <w:sz w:val="20"/>
          <w:szCs w:val="20"/>
          <w:lang w:eastAsia="en-US"/>
          <w14:ligatures w14:val="standardContextual"/>
        </w:rPr>
        <w:t xml:space="preserve">ształtowanie zakresu zamówienia w sposób sprzyjający budowie krajowych łańcuchów dostaw wymaga świadomego podejścia </w:t>
      </w:r>
      <w:r>
        <w:rPr>
          <w:rFonts w:ascii="Lato" w:eastAsiaTheme="minorHAnsi" w:hAnsi="Lato" w:cstheme="minorBidi"/>
          <w:bCs/>
          <w:kern w:val="2"/>
          <w:sz w:val="20"/>
          <w:szCs w:val="20"/>
          <w:lang w:eastAsia="en-US"/>
          <w14:ligatures w14:val="standardContextual"/>
        </w:rPr>
        <w:t>s</w:t>
      </w:r>
      <w:r w:rsidRPr="00054889">
        <w:rPr>
          <w:rFonts w:ascii="Lato" w:eastAsiaTheme="minorHAnsi" w:hAnsi="Lato" w:cstheme="minorBidi"/>
          <w:bCs/>
          <w:kern w:val="2"/>
          <w:sz w:val="20"/>
          <w:szCs w:val="20"/>
          <w:lang w:eastAsia="en-US"/>
          <w14:ligatures w14:val="standardContextual"/>
        </w:rPr>
        <w:t xml:space="preserve">półki </w:t>
      </w:r>
      <w:r>
        <w:rPr>
          <w:rFonts w:ascii="Lato" w:eastAsiaTheme="minorHAnsi" w:hAnsi="Lato" w:cstheme="minorBidi"/>
          <w:bCs/>
          <w:kern w:val="2"/>
          <w:sz w:val="20"/>
          <w:szCs w:val="20"/>
          <w:lang w:eastAsia="en-US"/>
          <w14:ligatures w14:val="standardContextual"/>
        </w:rPr>
        <w:t>z udziałem Skarbu Państwa</w:t>
      </w:r>
      <w:r w:rsidRPr="00054889">
        <w:rPr>
          <w:rFonts w:ascii="Lato" w:eastAsiaTheme="minorHAnsi" w:hAnsi="Lato" w:cstheme="minorBidi"/>
          <w:bCs/>
          <w:kern w:val="2"/>
          <w:sz w:val="20"/>
          <w:szCs w:val="20"/>
          <w:lang w:eastAsia="en-US"/>
          <w14:ligatures w14:val="standardContextual"/>
        </w:rPr>
        <w:t xml:space="preserve"> </w:t>
      </w:r>
      <w:r w:rsidR="00906A44" w:rsidRPr="0081437C">
        <w:rPr>
          <w:rFonts w:ascii="Lato" w:eastAsiaTheme="minorHAnsi" w:hAnsi="Lato" w:cstheme="minorBidi"/>
          <w:kern w:val="2"/>
          <w:sz w:val="20"/>
          <w:szCs w:val="20"/>
          <w:lang w:eastAsia="en-US"/>
          <w14:ligatures w14:val="standardContextual"/>
        </w:rPr>
        <w:t>do analizy dostępnych krajowych dostawców i podwykonawców oraz identyfikacji możliwości ich zaangażowania w realizację konkretnego zamówienia</w:t>
      </w:r>
      <w:r>
        <w:rPr>
          <w:rFonts w:ascii="Lato" w:eastAsiaTheme="minorHAnsi" w:hAnsi="Lato" w:cstheme="minorBidi"/>
          <w:kern w:val="2"/>
          <w:sz w:val="20"/>
          <w:szCs w:val="20"/>
          <w:lang w:eastAsia="en-US"/>
          <w14:ligatures w14:val="standardContextual"/>
        </w:rPr>
        <w:t xml:space="preserve"> na potrzeby realizacji kluczowego procesu inwestycyjnego</w:t>
      </w:r>
      <w:r w:rsidR="00906A44" w:rsidRPr="0081437C">
        <w:rPr>
          <w:rFonts w:ascii="Lato" w:eastAsiaTheme="minorHAnsi" w:hAnsi="Lato" w:cstheme="minorBidi"/>
          <w:kern w:val="2"/>
          <w:sz w:val="20"/>
          <w:szCs w:val="20"/>
          <w:lang w:eastAsia="en-US"/>
          <w14:ligatures w14:val="standardContextual"/>
        </w:rPr>
        <w:t>.</w:t>
      </w:r>
      <w:r w:rsidR="00614B90" w:rsidRPr="0081437C">
        <w:rPr>
          <w:rFonts w:ascii="Lato" w:eastAsiaTheme="minorHAnsi" w:hAnsi="Lato" w:cstheme="minorBidi"/>
          <w:kern w:val="2"/>
          <w:sz w:val="20"/>
          <w:szCs w:val="20"/>
          <w:lang w:eastAsia="en-US"/>
          <w14:ligatures w14:val="standardContextual"/>
        </w:rPr>
        <w:t xml:space="preserve"> </w:t>
      </w:r>
    </w:p>
    <w:p w14:paraId="1E91E049" w14:textId="507E78A1" w:rsidR="00614B90" w:rsidRPr="0081437C" w:rsidRDefault="00F97265" w:rsidP="00097032">
      <w:pPr>
        <w:pStyle w:val="NormalnyWeb"/>
        <w:widowControl w:val="0"/>
        <w:spacing w:before="0" w:beforeAutospacing="0" w:after="120" w:afterAutospacing="0" w:line="360" w:lineRule="auto"/>
        <w:ind w:left="1134"/>
        <w:jc w:val="both"/>
        <w:rPr>
          <w:rFonts w:ascii="Lato" w:eastAsiaTheme="minorHAnsi" w:hAnsi="Lato" w:cstheme="minorBidi"/>
          <w:kern w:val="2"/>
          <w:sz w:val="20"/>
          <w:szCs w:val="20"/>
          <w:lang w:eastAsia="en-US"/>
          <w14:ligatures w14:val="standardContextual"/>
        </w:rPr>
      </w:pPr>
      <w:r>
        <w:rPr>
          <w:rFonts w:ascii="Lato" w:eastAsiaTheme="minorHAnsi" w:hAnsi="Lato" w:cstheme="minorBidi"/>
          <w:bCs/>
          <w:kern w:val="2"/>
          <w:sz w:val="20"/>
          <w:szCs w:val="20"/>
          <w:lang w:eastAsia="en-US"/>
          <w14:ligatures w14:val="standardContextual"/>
        </w:rPr>
        <w:t>S</w:t>
      </w:r>
      <w:r w:rsidRPr="00054889">
        <w:rPr>
          <w:rFonts w:ascii="Lato" w:eastAsiaTheme="minorHAnsi" w:hAnsi="Lato" w:cstheme="minorBidi"/>
          <w:bCs/>
          <w:kern w:val="2"/>
          <w:sz w:val="20"/>
          <w:szCs w:val="20"/>
          <w:lang w:eastAsia="en-US"/>
          <w14:ligatures w14:val="standardContextual"/>
        </w:rPr>
        <w:t xml:space="preserve">półki </w:t>
      </w:r>
      <w:r>
        <w:rPr>
          <w:rFonts w:ascii="Lato" w:eastAsiaTheme="minorHAnsi" w:hAnsi="Lato" w:cstheme="minorBidi"/>
          <w:bCs/>
          <w:kern w:val="2"/>
          <w:sz w:val="20"/>
          <w:szCs w:val="20"/>
          <w:lang w:eastAsia="en-US"/>
          <w14:ligatures w14:val="standardContextual"/>
        </w:rPr>
        <w:t>z udziałem Skarbu Państwa</w:t>
      </w:r>
      <w:r w:rsidRPr="00054889">
        <w:rPr>
          <w:rFonts w:ascii="Lato" w:eastAsiaTheme="minorHAnsi" w:hAnsi="Lato" w:cstheme="minorBidi"/>
          <w:bCs/>
          <w:kern w:val="2"/>
          <w:sz w:val="20"/>
          <w:szCs w:val="20"/>
          <w:lang w:eastAsia="en-US"/>
          <w14:ligatures w14:val="standardContextual"/>
        </w:rPr>
        <w:t xml:space="preserve"> </w:t>
      </w:r>
      <w:r w:rsidR="00614B90" w:rsidRPr="0081437C">
        <w:rPr>
          <w:rFonts w:ascii="Lato" w:eastAsiaTheme="minorHAnsi" w:hAnsi="Lato" w:cstheme="minorBidi"/>
          <w:kern w:val="2"/>
          <w:sz w:val="20"/>
          <w:szCs w:val="20"/>
          <w:lang w:eastAsia="en-US"/>
          <w14:ligatures w14:val="standardContextual"/>
        </w:rPr>
        <w:t xml:space="preserve">powinny być ostrożne wobec formułowania wymogów, które </w:t>
      </w:r>
      <w:r>
        <w:rPr>
          <w:rFonts w:ascii="Lato" w:eastAsiaTheme="minorHAnsi" w:hAnsi="Lato" w:cstheme="minorBidi"/>
          <w:kern w:val="2"/>
          <w:sz w:val="20"/>
          <w:szCs w:val="20"/>
          <w:lang w:eastAsia="en-US"/>
          <w14:ligatures w14:val="standardContextual"/>
        </w:rPr>
        <w:t>w praktyce</w:t>
      </w:r>
      <w:r w:rsidR="00614B90" w:rsidRPr="0081437C">
        <w:rPr>
          <w:rFonts w:ascii="Lato" w:eastAsiaTheme="minorHAnsi" w:hAnsi="Lato" w:cstheme="minorBidi"/>
          <w:kern w:val="2"/>
          <w:sz w:val="20"/>
          <w:szCs w:val="20"/>
          <w:lang w:eastAsia="en-US"/>
          <w14:ligatures w14:val="standardContextual"/>
        </w:rPr>
        <w:t xml:space="preserve"> będą wymagać zaangażowania międzynarodowych dostawców, pomimo dostępności krajowych alternatyw. Przykładowo, wymóg używania określonych, zastrzeżonych technologii dostępnych tylko od międzynarodowego producenta powinien być zmieniony na wymóg funkcjonalny, pozwalający oferentom na wybór technologii. Wymóg posiadania certyfikacji dostępnej tylko od międzynarodowych organizacji certyfikujących powinien być zmieniony na dopuszczenie równoważnych certyfikacji lub sposobów wykazania zgodności. Wymóg posiadania licencji od międzynarodowych producentów powinien być zmieniony na wymóg wykazania zdolności technicznej poprzez inne </w:t>
      </w:r>
      <w:r>
        <w:rPr>
          <w:rFonts w:ascii="Lato" w:eastAsiaTheme="minorHAnsi" w:hAnsi="Lato" w:cstheme="minorBidi"/>
          <w:kern w:val="2"/>
          <w:sz w:val="20"/>
          <w:szCs w:val="20"/>
          <w:lang w:eastAsia="en-US"/>
          <w14:ligatures w14:val="standardContextual"/>
        </w:rPr>
        <w:t xml:space="preserve">dostępne na rynku </w:t>
      </w:r>
      <w:r w:rsidR="00614B90" w:rsidRPr="0081437C">
        <w:rPr>
          <w:rFonts w:ascii="Lato" w:eastAsiaTheme="minorHAnsi" w:hAnsi="Lato" w:cstheme="minorBidi"/>
          <w:kern w:val="2"/>
          <w:sz w:val="20"/>
          <w:szCs w:val="20"/>
          <w:lang w:eastAsia="en-US"/>
          <w14:ligatures w14:val="standardContextual"/>
        </w:rPr>
        <w:t>sposoby. Wymóg zatrudnienia pracowników z określonym doświadczeniem międzynarodowym powinien być zmieniony na wymóg wykazania wymaganych kompetencji niezależnie od źródła doświadczenia.</w:t>
      </w:r>
    </w:p>
    <w:p w14:paraId="4E237E21" w14:textId="77777777" w:rsidR="003D1E50" w:rsidRPr="00054889" w:rsidRDefault="003D1E50" w:rsidP="00097032">
      <w:pPr>
        <w:widowControl w:val="0"/>
        <w:spacing w:after="120" w:line="360" w:lineRule="auto"/>
        <w:rPr>
          <w:rFonts w:ascii="Lato" w:hAnsi="Lato"/>
          <w:b/>
          <w:bCs/>
          <w:sz w:val="20"/>
          <w:szCs w:val="20"/>
        </w:rPr>
      </w:pPr>
    </w:p>
    <w:p w14:paraId="30AE07C8" w14:textId="3D84972B" w:rsidR="003D1E50" w:rsidRDefault="003D1E50" w:rsidP="00241EEF">
      <w:pPr>
        <w:pStyle w:val="podrozdzial"/>
      </w:pPr>
      <w:bookmarkStart w:id="7" w:name="_Toc228873231"/>
      <w:r w:rsidRPr="00054889">
        <w:t>DOKUMENTACJA, STANDARDY I FORMALNOŚCI</w:t>
      </w:r>
      <w:bookmarkEnd w:id="7"/>
    </w:p>
    <w:p w14:paraId="06D511CC" w14:textId="77777777" w:rsidR="00677E84" w:rsidRPr="00677E84" w:rsidRDefault="00677E84" w:rsidP="00677E84">
      <w:pPr>
        <w:widowControl w:val="0"/>
        <w:spacing w:after="120" w:line="360" w:lineRule="auto"/>
        <w:rPr>
          <w:rFonts w:ascii="Lato" w:hAnsi="Lato"/>
          <w:b/>
          <w:bCs/>
          <w:sz w:val="20"/>
          <w:szCs w:val="20"/>
        </w:rPr>
      </w:pPr>
    </w:p>
    <w:p w14:paraId="1F6D4871" w14:textId="10689440" w:rsidR="003D1E50" w:rsidRPr="00054889" w:rsidRDefault="00DB53F4" w:rsidP="007D0DA7">
      <w:pPr>
        <w:pStyle w:val="NormalnyWeb"/>
        <w:widowControl w:val="0"/>
        <w:numPr>
          <w:ilvl w:val="1"/>
          <w:numId w:val="30"/>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Za dobrą praktykę można uznać konstruowanie d</w:t>
      </w:r>
      <w:r w:rsidR="003D1E50" w:rsidRPr="00054889">
        <w:rPr>
          <w:rFonts w:ascii="Lato" w:eastAsiaTheme="minorHAnsi" w:hAnsi="Lato" w:cstheme="minorBidi"/>
          <w:kern w:val="2"/>
          <w:sz w:val="20"/>
          <w:szCs w:val="20"/>
          <w:lang w:eastAsia="en-US"/>
          <w14:ligatures w14:val="standardContextual"/>
        </w:rPr>
        <w:t>okumentacj</w:t>
      </w:r>
      <w:r>
        <w:rPr>
          <w:rFonts w:ascii="Lato" w:eastAsiaTheme="minorHAnsi" w:hAnsi="Lato" w:cstheme="minorBidi"/>
          <w:kern w:val="2"/>
          <w:sz w:val="20"/>
          <w:szCs w:val="20"/>
          <w:lang w:eastAsia="en-US"/>
          <w14:ligatures w14:val="standardContextual"/>
        </w:rPr>
        <w:t>i</w:t>
      </w:r>
      <w:r w:rsidR="003D1E50" w:rsidRPr="00054889">
        <w:rPr>
          <w:rFonts w:ascii="Lato" w:eastAsiaTheme="minorHAnsi" w:hAnsi="Lato" w:cstheme="minorBidi"/>
          <w:kern w:val="2"/>
          <w:sz w:val="20"/>
          <w:szCs w:val="20"/>
          <w:lang w:eastAsia="en-US"/>
          <w14:ligatures w14:val="standardContextual"/>
        </w:rPr>
        <w:t xml:space="preserve"> postępowań</w:t>
      </w:r>
      <w:r w:rsidR="00E14C6E" w:rsidRPr="00054889">
        <w:rPr>
          <w:rFonts w:ascii="Lato" w:eastAsiaTheme="minorHAnsi" w:hAnsi="Lato" w:cstheme="minorBidi"/>
          <w:kern w:val="2"/>
          <w:sz w:val="20"/>
          <w:szCs w:val="20"/>
          <w:lang w:eastAsia="en-US"/>
          <w14:ligatures w14:val="standardContextual"/>
        </w:rPr>
        <w:t xml:space="preserve"> w ramach kluczowych procesów inwestycyjnych</w:t>
      </w:r>
      <w:r w:rsidR="003D1E50" w:rsidRPr="00054889">
        <w:rPr>
          <w:rFonts w:ascii="Lato" w:eastAsiaTheme="minorHAnsi" w:hAnsi="Lato" w:cstheme="minorBidi"/>
          <w:kern w:val="2"/>
          <w:sz w:val="20"/>
          <w:szCs w:val="20"/>
          <w:lang w:eastAsia="en-US"/>
          <w14:ligatures w14:val="standardContextual"/>
        </w:rPr>
        <w:t xml:space="preserve"> w sposób</w:t>
      </w:r>
      <w:r w:rsidR="00E14C6E" w:rsidRPr="00054889">
        <w:rPr>
          <w:rFonts w:ascii="Lato" w:eastAsiaTheme="minorHAnsi" w:hAnsi="Lato" w:cstheme="minorBidi"/>
          <w:kern w:val="2"/>
          <w:sz w:val="20"/>
          <w:szCs w:val="20"/>
          <w:lang w:eastAsia="en-US"/>
          <w14:ligatures w14:val="standardContextual"/>
        </w:rPr>
        <w:t xml:space="preserve"> możliwie</w:t>
      </w:r>
      <w:r w:rsidR="003D1E50" w:rsidRPr="00054889">
        <w:rPr>
          <w:rFonts w:ascii="Lato" w:eastAsiaTheme="minorHAnsi" w:hAnsi="Lato" w:cstheme="minorBidi"/>
          <w:kern w:val="2"/>
          <w:sz w:val="20"/>
          <w:szCs w:val="20"/>
          <w:lang w:eastAsia="en-US"/>
          <w14:ligatures w14:val="standardContextual"/>
        </w:rPr>
        <w:t xml:space="preserve"> przejrzysty</w:t>
      </w:r>
      <w:r w:rsidR="00E14C6E" w:rsidRPr="00054889">
        <w:rPr>
          <w:rFonts w:ascii="Lato" w:eastAsiaTheme="minorHAnsi" w:hAnsi="Lato" w:cstheme="minorBidi"/>
          <w:kern w:val="2"/>
          <w:sz w:val="20"/>
          <w:szCs w:val="20"/>
          <w:lang w:eastAsia="en-US"/>
          <w14:ligatures w14:val="standardContextual"/>
        </w:rPr>
        <w:t xml:space="preserve"> </w:t>
      </w:r>
      <w:r w:rsidR="003D1E50" w:rsidRPr="00054889">
        <w:rPr>
          <w:rFonts w:ascii="Lato" w:eastAsiaTheme="minorHAnsi" w:hAnsi="Lato" w:cstheme="minorBidi"/>
          <w:kern w:val="2"/>
          <w:sz w:val="20"/>
          <w:szCs w:val="20"/>
          <w:lang w:eastAsia="en-US"/>
          <w14:ligatures w14:val="standardContextual"/>
        </w:rPr>
        <w:t xml:space="preserve">i </w:t>
      </w:r>
      <w:r w:rsidRPr="00054889">
        <w:rPr>
          <w:rFonts w:ascii="Lato" w:eastAsiaTheme="minorHAnsi" w:hAnsi="Lato" w:cstheme="minorBidi"/>
          <w:kern w:val="2"/>
          <w:sz w:val="20"/>
          <w:szCs w:val="20"/>
          <w:lang w:eastAsia="en-US"/>
          <w14:ligatures w14:val="standardContextual"/>
        </w:rPr>
        <w:t>dostosowan</w:t>
      </w:r>
      <w:r w:rsidR="00CA4152">
        <w:rPr>
          <w:rFonts w:ascii="Lato" w:eastAsiaTheme="minorHAnsi" w:hAnsi="Lato" w:cstheme="minorBidi"/>
          <w:kern w:val="2"/>
          <w:sz w:val="20"/>
          <w:szCs w:val="20"/>
          <w:lang w:eastAsia="en-US"/>
          <w14:ligatures w14:val="standardContextual"/>
        </w:rPr>
        <w:t>y</w:t>
      </w:r>
      <w:r w:rsidR="003D1E50" w:rsidRPr="00054889">
        <w:rPr>
          <w:rFonts w:ascii="Lato" w:eastAsiaTheme="minorHAnsi" w:hAnsi="Lato" w:cstheme="minorBidi"/>
          <w:kern w:val="2"/>
          <w:sz w:val="20"/>
          <w:szCs w:val="20"/>
          <w:lang w:eastAsia="en-US"/>
          <w14:ligatures w14:val="standardContextual"/>
        </w:rPr>
        <w:t xml:space="preserve"> do specyfiki zamówienia, aby umożliwić </w:t>
      </w:r>
      <w:r>
        <w:rPr>
          <w:rFonts w:ascii="Lato" w:eastAsiaTheme="minorHAnsi" w:hAnsi="Lato" w:cstheme="minorBidi"/>
          <w:kern w:val="2"/>
          <w:sz w:val="20"/>
          <w:szCs w:val="20"/>
          <w:lang w:eastAsia="en-US"/>
          <w14:ligatures w14:val="standardContextual"/>
        </w:rPr>
        <w:t>możliwie szerokiemu gronu oferentów</w:t>
      </w:r>
      <w:r w:rsidR="003D1E50" w:rsidRPr="00054889">
        <w:rPr>
          <w:rFonts w:ascii="Lato" w:eastAsiaTheme="minorHAnsi" w:hAnsi="Lato" w:cstheme="minorBidi"/>
          <w:kern w:val="2"/>
          <w:sz w:val="20"/>
          <w:szCs w:val="20"/>
          <w:lang w:eastAsia="en-US"/>
          <w14:ligatures w14:val="standardContextual"/>
        </w:rPr>
        <w:t xml:space="preserve"> udział w postępowaniu </w:t>
      </w:r>
      <w:r w:rsidR="002D4D43" w:rsidRPr="00054889">
        <w:rPr>
          <w:rFonts w:ascii="Lato" w:eastAsiaTheme="minorHAnsi" w:hAnsi="Lato" w:cstheme="minorBidi"/>
          <w:kern w:val="2"/>
          <w:sz w:val="20"/>
          <w:szCs w:val="20"/>
          <w:lang w:eastAsia="en-US"/>
          <w14:ligatures w14:val="standardContextual"/>
        </w:rPr>
        <w:t xml:space="preserve">oraz </w:t>
      </w:r>
      <w:r w:rsidR="003D1E50" w:rsidRPr="00054889">
        <w:rPr>
          <w:rFonts w:ascii="Lato" w:eastAsiaTheme="minorHAnsi" w:hAnsi="Lato" w:cstheme="minorBidi"/>
          <w:kern w:val="2"/>
          <w:sz w:val="20"/>
          <w:szCs w:val="20"/>
          <w:lang w:eastAsia="en-US"/>
          <w14:ligatures w14:val="standardContextual"/>
        </w:rPr>
        <w:t>rzetelne</w:t>
      </w:r>
      <w:r w:rsidR="00E14C6E" w:rsidRPr="00054889">
        <w:rPr>
          <w:rFonts w:ascii="Lato" w:eastAsiaTheme="minorHAnsi" w:hAnsi="Lato" w:cstheme="minorBidi"/>
          <w:kern w:val="2"/>
          <w:sz w:val="20"/>
          <w:szCs w:val="20"/>
          <w:lang w:eastAsia="en-US"/>
          <w14:ligatures w14:val="standardContextual"/>
        </w:rPr>
        <w:t xml:space="preserve"> </w:t>
      </w:r>
      <w:r w:rsidR="003D1E50" w:rsidRPr="00054889">
        <w:rPr>
          <w:rFonts w:ascii="Lato" w:eastAsiaTheme="minorHAnsi" w:hAnsi="Lato" w:cstheme="minorBidi"/>
          <w:kern w:val="2"/>
          <w:sz w:val="20"/>
          <w:szCs w:val="20"/>
          <w:lang w:eastAsia="en-US"/>
          <w14:ligatures w14:val="standardContextual"/>
        </w:rPr>
        <w:lastRenderedPageBreak/>
        <w:t>i</w:t>
      </w:r>
      <w:r w:rsidR="00C859A0">
        <w:rPr>
          <w:rFonts w:ascii="Lato" w:eastAsiaTheme="minorHAnsi" w:hAnsi="Lato" w:cstheme="minorBidi"/>
          <w:kern w:val="2"/>
          <w:sz w:val="20"/>
          <w:szCs w:val="20"/>
          <w:lang w:eastAsia="en-US"/>
          <w14:ligatures w14:val="standardContextual"/>
        </w:rPr>
        <w:t> </w:t>
      </w:r>
      <w:r w:rsidR="003D1E50" w:rsidRPr="00054889">
        <w:rPr>
          <w:rFonts w:ascii="Lato" w:eastAsiaTheme="minorHAnsi" w:hAnsi="Lato" w:cstheme="minorBidi"/>
          <w:kern w:val="2"/>
          <w:sz w:val="20"/>
          <w:szCs w:val="20"/>
          <w:lang w:eastAsia="en-US"/>
          <w14:ligatures w14:val="standardContextual"/>
        </w:rPr>
        <w:t>konkurencyjne przygotowanie ofert. Sposób formułowania wymagań formalnych i technicznych ma istotny wpływ na udzia</w:t>
      </w:r>
      <w:r>
        <w:rPr>
          <w:rFonts w:ascii="Lato" w:eastAsiaTheme="minorHAnsi" w:hAnsi="Lato" w:cstheme="minorBidi"/>
          <w:kern w:val="2"/>
          <w:sz w:val="20"/>
          <w:szCs w:val="20"/>
          <w:lang w:eastAsia="en-US"/>
          <w14:ligatures w14:val="standardContextual"/>
        </w:rPr>
        <w:t>ł</w:t>
      </w:r>
      <w:r w:rsidR="003D1E50" w:rsidRPr="00054889">
        <w:rPr>
          <w:rFonts w:ascii="Lato" w:eastAsiaTheme="minorHAnsi" w:hAnsi="Lato" w:cstheme="minorBidi"/>
          <w:kern w:val="2"/>
          <w:sz w:val="20"/>
          <w:szCs w:val="20"/>
          <w:lang w:eastAsia="en-US"/>
          <w14:ligatures w14:val="standardContextual"/>
        </w:rPr>
        <w:t xml:space="preserve"> podmiotów działających na rynku krajowym oraz na </w:t>
      </w:r>
      <w:r>
        <w:rPr>
          <w:rFonts w:ascii="Lato" w:eastAsiaTheme="minorHAnsi" w:hAnsi="Lato" w:cstheme="minorBidi"/>
          <w:kern w:val="2"/>
          <w:sz w:val="20"/>
          <w:szCs w:val="20"/>
          <w:lang w:eastAsia="en-US"/>
          <w14:ligatures w14:val="standardContextual"/>
        </w:rPr>
        <w:t xml:space="preserve">rzeczywisty </w:t>
      </w:r>
      <w:r w:rsidR="003D1E50" w:rsidRPr="00054889">
        <w:rPr>
          <w:rFonts w:ascii="Lato" w:eastAsiaTheme="minorHAnsi" w:hAnsi="Lato" w:cstheme="minorBidi"/>
          <w:kern w:val="2"/>
          <w:sz w:val="20"/>
          <w:szCs w:val="20"/>
          <w:lang w:eastAsia="en-US"/>
          <w14:ligatures w14:val="standardContextual"/>
        </w:rPr>
        <w:t>poziom konkurencji.</w:t>
      </w:r>
    </w:p>
    <w:p w14:paraId="3E80E726" w14:textId="5A306AF3" w:rsidR="003D1E50" w:rsidRPr="00054889" w:rsidRDefault="003D1E50" w:rsidP="00C859A0">
      <w:pPr>
        <w:pStyle w:val="NormalnyWeb"/>
        <w:widowControl w:val="0"/>
        <w:numPr>
          <w:ilvl w:val="1"/>
          <w:numId w:val="30"/>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Nadmiernie rozbudowana dokumentacja, nieprecyzyjne opisy przedmiotu zamówienia lub nieuzasadnione wymagania formalne mogą w praktyce ograniczać udział </w:t>
      </w:r>
      <w:r w:rsidR="00DB53F4">
        <w:rPr>
          <w:rFonts w:ascii="Lato" w:eastAsiaTheme="minorHAnsi" w:hAnsi="Lato" w:cstheme="minorBidi"/>
          <w:kern w:val="2"/>
          <w:sz w:val="20"/>
          <w:szCs w:val="20"/>
          <w:lang w:eastAsia="en-US"/>
          <w14:ligatures w14:val="standardContextual"/>
        </w:rPr>
        <w:t xml:space="preserve">krajowych </w:t>
      </w:r>
      <w:r w:rsidRPr="00054889">
        <w:rPr>
          <w:rFonts w:ascii="Lato" w:eastAsiaTheme="minorHAnsi" w:hAnsi="Lato" w:cstheme="minorBidi"/>
          <w:kern w:val="2"/>
          <w:sz w:val="20"/>
          <w:szCs w:val="20"/>
          <w:lang w:eastAsia="en-US"/>
          <w14:ligatures w14:val="standardContextual"/>
        </w:rPr>
        <w:t>wykonawców, w</w:t>
      </w:r>
      <w:r w:rsidR="00E14C6E" w:rsidRPr="00054889">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 xml:space="preserve">szczególności </w:t>
      </w:r>
      <w:r w:rsidR="00DB53F4" w:rsidRPr="00054889">
        <w:rPr>
          <w:rFonts w:ascii="Lato" w:eastAsiaTheme="minorHAnsi" w:hAnsi="Lato" w:cstheme="minorBidi"/>
          <w:kern w:val="2"/>
          <w:sz w:val="20"/>
          <w:szCs w:val="20"/>
          <w:lang w:eastAsia="en-US"/>
          <w14:ligatures w14:val="standardContextual"/>
        </w:rPr>
        <w:t xml:space="preserve">mniejszych lub wyspecjalizowanych </w:t>
      </w:r>
      <w:r w:rsidRPr="00054889">
        <w:rPr>
          <w:rFonts w:ascii="Lato" w:eastAsiaTheme="minorHAnsi" w:hAnsi="Lato" w:cstheme="minorBidi"/>
          <w:kern w:val="2"/>
          <w:sz w:val="20"/>
          <w:szCs w:val="20"/>
          <w:lang w:eastAsia="en-US"/>
          <w14:ligatures w14:val="standardContextual"/>
        </w:rPr>
        <w:t>podmiotów</w:t>
      </w:r>
      <w:r w:rsidR="00DB53F4">
        <w:rPr>
          <w:rFonts w:ascii="Lato" w:eastAsiaTheme="minorHAnsi" w:hAnsi="Lato" w:cstheme="minorBidi"/>
          <w:kern w:val="2"/>
          <w:sz w:val="20"/>
          <w:szCs w:val="20"/>
          <w:lang w:eastAsia="en-US"/>
          <w14:ligatures w14:val="standardContextual"/>
        </w:rPr>
        <w:t xml:space="preserve"> działających na mniejszą skalę</w:t>
      </w:r>
      <w:r w:rsidRPr="00054889">
        <w:rPr>
          <w:rFonts w:ascii="Lato" w:eastAsiaTheme="minorHAnsi" w:hAnsi="Lato" w:cstheme="minorBidi"/>
          <w:kern w:val="2"/>
          <w:sz w:val="20"/>
          <w:szCs w:val="20"/>
          <w:lang w:eastAsia="en-US"/>
          <w14:ligatures w14:val="standardContextual"/>
        </w:rPr>
        <w:t>.</w:t>
      </w:r>
      <w:r w:rsidR="00E14C6E"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 xml:space="preserve">Z kolei </w:t>
      </w:r>
      <w:r w:rsidR="00DB53F4">
        <w:rPr>
          <w:rFonts w:ascii="Lato" w:eastAsiaTheme="minorHAnsi" w:hAnsi="Lato" w:cstheme="minorBidi"/>
          <w:kern w:val="2"/>
          <w:sz w:val="20"/>
          <w:szCs w:val="20"/>
          <w:lang w:eastAsia="en-US"/>
          <w14:ligatures w14:val="standardContextual"/>
        </w:rPr>
        <w:t xml:space="preserve">możliwie </w:t>
      </w:r>
      <w:r w:rsidRPr="00054889">
        <w:rPr>
          <w:rFonts w:ascii="Lato" w:eastAsiaTheme="minorHAnsi" w:hAnsi="Lato" w:cstheme="minorBidi"/>
          <w:kern w:val="2"/>
          <w:sz w:val="20"/>
          <w:szCs w:val="20"/>
          <w:lang w:eastAsia="en-US"/>
          <w14:ligatures w14:val="standardContextual"/>
        </w:rPr>
        <w:t xml:space="preserve">jednoznaczne </w:t>
      </w:r>
      <w:r w:rsidR="00E14C6E" w:rsidRPr="00054889">
        <w:rPr>
          <w:rFonts w:ascii="Lato" w:eastAsiaTheme="minorHAnsi" w:hAnsi="Lato" w:cstheme="minorBidi"/>
          <w:kern w:val="2"/>
          <w:sz w:val="20"/>
          <w:szCs w:val="20"/>
          <w:lang w:eastAsia="en-US"/>
          <w14:ligatures w14:val="standardContextual"/>
        </w:rPr>
        <w:t>postanowienia</w:t>
      </w:r>
      <w:r w:rsidRPr="00054889">
        <w:rPr>
          <w:rFonts w:ascii="Lato" w:eastAsiaTheme="minorHAnsi" w:hAnsi="Lato" w:cstheme="minorBidi"/>
          <w:kern w:val="2"/>
          <w:sz w:val="20"/>
          <w:szCs w:val="20"/>
          <w:lang w:eastAsia="en-US"/>
          <w14:ligatures w14:val="standardContextual"/>
        </w:rPr>
        <w:t xml:space="preserve"> </w:t>
      </w:r>
      <w:r w:rsidR="00DB53F4">
        <w:rPr>
          <w:rFonts w:ascii="Lato" w:eastAsiaTheme="minorHAnsi" w:hAnsi="Lato" w:cstheme="minorBidi"/>
          <w:kern w:val="2"/>
          <w:sz w:val="20"/>
          <w:szCs w:val="20"/>
          <w:lang w:eastAsia="en-US"/>
          <w14:ligatures w14:val="standardContextual"/>
        </w:rPr>
        <w:t xml:space="preserve">dokumentacji </w:t>
      </w:r>
      <w:r w:rsidRPr="00054889">
        <w:rPr>
          <w:rFonts w:ascii="Lato" w:eastAsiaTheme="minorHAnsi" w:hAnsi="Lato" w:cstheme="minorBidi"/>
          <w:kern w:val="2"/>
          <w:sz w:val="20"/>
          <w:szCs w:val="20"/>
          <w:lang w:eastAsia="en-US"/>
          <w14:ligatures w14:val="standardContextual"/>
        </w:rPr>
        <w:t>sprzyjają</w:t>
      </w:r>
      <w:r w:rsidR="00E14C6E" w:rsidRPr="00054889">
        <w:rPr>
          <w:rFonts w:ascii="Lato" w:eastAsiaTheme="minorHAnsi" w:hAnsi="Lato" w:cstheme="minorBidi"/>
          <w:kern w:val="2"/>
          <w:sz w:val="20"/>
          <w:szCs w:val="20"/>
          <w:lang w:eastAsia="en-US"/>
          <w14:ligatures w14:val="standardContextual"/>
        </w:rPr>
        <w:t xml:space="preserve"> składaniu</w:t>
      </w:r>
      <w:r w:rsidRPr="00054889">
        <w:rPr>
          <w:rFonts w:ascii="Lato" w:eastAsiaTheme="minorHAnsi" w:hAnsi="Lato" w:cstheme="minorBidi"/>
          <w:kern w:val="2"/>
          <w:sz w:val="20"/>
          <w:szCs w:val="20"/>
          <w:lang w:eastAsia="en-US"/>
          <w14:ligatures w14:val="standardContextual"/>
        </w:rPr>
        <w:t xml:space="preserve"> większej liczb</w:t>
      </w:r>
      <w:r w:rsidR="00E14C6E" w:rsidRPr="00054889">
        <w:rPr>
          <w:rFonts w:ascii="Lato" w:eastAsiaTheme="minorHAnsi" w:hAnsi="Lato" w:cstheme="minorBidi"/>
          <w:kern w:val="2"/>
          <w:sz w:val="20"/>
          <w:szCs w:val="20"/>
          <w:lang w:eastAsia="en-US"/>
          <w14:ligatures w14:val="standardContextual"/>
        </w:rPr>
        <w:t>y</w:t>
      </w:r>
      <w:r w:rsidRPr="00054889">
        <w:rPr>
          <w:rFonts w:ascii="Lato" w:eastAsiaTheme="minorHAnsi" w:hAnsi="Lato" w:cstheme="minorBidi"/>
          <w:kern w:val="2"/>
          <w:sz w:val="20"/>
          <w:szCs w:val="20"/>
          <w:lang w:eastAsia="en-US"/>
          <w14:ligatures w14:val="standardContextual"/>
        </w:rPr>
        <w:t xml:space="preserve"> ofert, poprawiają porównywalność propozycji oraz zmniejszają ryzyko sporów interpretacyjnych na etapie realizacji umowy</w:t>
      </w:r>
      <w:r w:rsidR="00DB53F4">
        <w:rPr>
          <w:rFonts w:ascii="Lato" w:eastAsiaTheme="minorHAnsi" w:hAnsi="Lato" w:cstheme="minorBidi"/>
          <w:kern w:val="2"/>
          <w:sz w:val="20"/>
          <w:szCs w:val="20"/>
          <w:lang w:eastAsia="en-US"/>
          <w14:ligatures w14:val="standardContextual"/>
        </w:rPr>
        <w:t xml:space="preserve"> zawieranej z wybranym oferentem</w:t>
      </w:r>
      <w:r w:rsidRPr="00054889">
        <w:rPr>
          <w:rFonts w:ascii="Lato" w:eastAsiaTheme="minorHAnsi" w:hAnsi="Lato" w:cstheme="minorBidi"/>
          <w:kern w:val="2"/>
          <w:sz w:val="20"/>
          <w:szCs w:val="20"/>
          <w:lang w:eastAsia="en-US"/>
          <w14:ligatures w14:val="standardContextual"/>
        </w:rPr>
        <w:t>.</w:t>
      </w:r>
    </w:p>
    <w:p w14:paraId="49443E1A" w14:textId="103851FE" w:rsidR="003D1E50" w:rsidRPr="00054889" w:rsidRDefault="003D1E50" w:rsidP="00C859A0">
      <w:pPr>
        <w:pStyle w:val="NormalnyWeb"/>
        <w:widowControl w:val="0"/>
        <w:numPr>
          <w:ilvl w:val="1"/>
          <w:numId w:val="30"/>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Przejrzystość</w:t>
      </w:r>
      <w:r w:rsidR="00E14C6E" w:rsidRPr="00054889">
        <w:rPr>
          <w:rFonts w:ascii="Lato" w:eastAsiaTheme="minorHAnsi" w:hAnsi="Lato" w:cstheme="minorBidi"/>
          <w:kern w:val="2"/>
          <w:sz w:val="20"/>
          <w:szCs w:val="20"/>
          <w:lang w:eastAsia="en-US"/>
          <w14:ligatures w14:val="standardContextual"/>
        </w:rPr>
        <w:t xml:space="preserve"> i czytelność</w:t>
      </w:r>
      <w:r w:rsidRPr="00054889">
        <w:rPr>
          <w:rFonts w:ascii="Lato" w:eastAsiaTheme="minorHAnsi" w:hAnsi="Lato" w:cstheme="minorBidi"/>
          <w:kern w:val="2"/>
          <w:sz w:val="20"/>
          <w:szCs w:val="20"/>
          <w:lang w:eastAsia="en-US"/>
          <w14:ligatures w14:val="standardContextual"/>
        </w:rPr>
        <w:t xml:space="preserve"> dokumentacji ma także znaczenie dla budowania zaufania do </w:t>
      </w:r>
      <w:r w:rsidR="00DB53F4">
        <w:rPr>
          <w:rFonts w:ascii="Lato" w:eastAsiaTheme="minorHAnsi" w:hAnsi="Lato" w:cstheme="minorBidi"/>
          <w:kern w:val="2"/>
          <w:sz w:val="20"/>
          <w:szCs w:val="20"/>
          <w:lang w:eastAsia="en-US"/>
          <w14:ligatures w14:val="standardContextual"/>
        </w:rPr>
        <w:t>spółek z udziałem Skarbu Państwa</w:t>
      </w:r>
      <w:r w:rsidRPr="00054889">
        <w:rPr>
          <w:rFonts w:ascii="Lato" w:eastAsiaTheme="minorHAnsi" w:hAnsi="Lato" w:cstheme="minorBidi"/>
          <w:kern w:val="2"/>
          <w:sz w:val="20"/>
          <w:szCs w:val="20"/>
          <w:lang w:eastAsia="en-US"/>
          <w14:ligatures w14:val="standardContextual"/>
        </w:rPr>
        <w:t xml:space="preserve"> oraz dla wzmacniania krajowych łańcuchów dostaw, które wymagają przewidywalnych i stabilnych warunków uczestnictwa w postępowaniach. Spójnie przygotowana dokumentacja tworzy warunki do szerszego udziału wykonawców, podnosi jakość konkurencji oraz umożliwia bardziej efektywne wykorzystanie potencjału </w:t>
      </w:r>
      <w:r w:rsidR="00670228">
        <w:rPr>
          <w:rFonts w:ascii="Lato" w:eastAsiaTheme="minorHAnsi" w:hAnsi="Lato" w:cstheme="minorBidi"/>
          <w:kern w:val="2"/>
          <w:sz w:val="20"/>
          <w:szCs w:val="20"/>
          <w:lang w:eastAsia="en-US"/>
          <w14:ligatures w14:val="standardContextual"/>
        </w:rPr>
        <w:t xml:space="preserve">krajowych </w:t>
      </w:r>
      <w:r w:rsidRPr="00054889">
        <w:rPr>
          <w:rFonts w:ascii="Lato" w:eastAsiaTheme="minorHAnsi" w:hAnsi="Lato" w:cstheme="minorBidi"/>
          <w:kern w:val="2"/>
          <w:sz w:val="20"/>
          <w:szCs w:val="20"/>
          <w:lang w:eastAsia="en-US"/>
          <w14:ligatures w14:val="standardContextual"/>
        </w:rPr>
        <w:t>przedsiębiorstw. Jednocześnie zapewnia większą klarowność zasad współpracy i sprzyja stabilnemu funkcjonowaniu krajowych łańcuchów dostaw w dłuższej perspektywie.</w:t>
      </w:r>
      <w:r w:rsidR="00E14C6E" w:rsidRPr="00054889">
        <w:rPr>
          <w:rFonts w:ascii="Lato" w:eastAsiaTheme="minorHAnsi" w:hAnsi="Lato" w:cstheme="minorBidi"/>
          <w:kern w:val="2"/>
          <w:sz w:val="20"/>
          <w:szCs w:val="20"/>
          <w:lang w:eastAsia="en-US"/>
          <w14:ligatures w14:val="standardContextual"/>
        </w:rPr>
        <w:t xml:space="preserve"> Ogranicza też ryzyko sporów sądowych</w:t>
      </w:r>
      <w:r w:rsidR="00F70E97" w:rsidRPr="00054889">
        <w:rPr>
          <w:rFonts w:ascii="Lato" w:eastAsiaTheme="minorHAnsi" w:hAnsi="Lato" w:cstheme="minorBidi"/>
          <w:kern w:val="2"/>
          <w:sz w:val="20"/>
          <w:szCs w:val="20"/>
          <w:lang w:eastAsia="en-US"/>
          <w14:ligatures w14:val="standardContextual"/>
        </w:rPr>
        <w:t xml:space="preserve"> lub arbitrażowych. </w:t>
      </w:r>
    </w:p>
    <w:p w14:paraId="5A0F55C4" w14:textId="77777777" w:rsidR="003D1E50" w:rsidRPr="00054889" w:rsidRDefault="003D1E50"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Rekomenduje się w szczególności:</w:t>
      </w:r>
    </w:p>
    <w:p w14:paraId="659F165A" w14:textId="77777777" w:rsidR="00F330B9" w:rsidRPr="00054889" w:rsidRDefault="003D1E50" w:rsidP="00FD2F03">
      <w:pPr>
        <w:pStyle w:val="NormalnyWeb"/>
        <w:widowControl w:val="0"/>
        <w:numPr>
          <w:ilvl w:val="1"/>
          <w:numId w:val="12"/>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C35489">
        <w:rPr>
          <w:rFonts w:ascii="Lato" w:eastAsiaTheme="minorHAnsi" w:hAnsi="Lato" w:cstheme="minorBidi"/>
          <w:b/>
          <w:bCs/>
          <w:kern w:val="2"/>
          <w:sz w:val="20"/>
          <w:szCs w:val="20"/>
          <w:lang w:eastAsia="en-US"/>
          <w14:ligatures w14:val="standardContextual"/>
        </w:rPr>
        <w:t xml:space="preserve">Stosowanie </w:t>
      </w:r>
      <w:r w:rsidRPr="00054889">
        <w:rPr>
          <w:rFonts w:ascii="Lato" w:eastAsiaTheme="minorHAnsi" w:hAnsi="Lato" w:cstheme="minorBidi"/>
          <w:b/>
          <w:bCs/>
          <w:kern w:val="2"/>
          <w:sz w:val="20"/>
          <w:szCs w:val="20"/>
          <w:lang w:eastAsia="en-US"/>
          <w14:ligatures w14:val="standardContextual"/>
        </w:rPr>
        <w:t>dokumentacji w języku polskim w zakresie uzasadnionym przedmiotem</w:t>
      </w:r>
      <w:r w:rsidR="003C043E" w:rsidRPr="00054889">
        <w:rPr>
          <w:rFonts w:ascii="Lato" w:eastAsiaTheme="minorHAnsi" w:hAnsi="Lato" w:cstheme="minorBidi"/>
          <w:b/>
          <w:bCs/>
          <w:kern w:val="2"/>
          <w:sz w:val="20"/>
          <w:szCs w:val="20"/>
          <w:lang w:eastAsia="en-US"/>
          <w14:ligatures w14:val="standardContextual"/>
        </w:rPr>
        <w:t xml:space="preserve"> </w:t>
      </w:r>
      <w:r w:rsidRPr="00054889">
        <w:rPr>
          <w:rFonts w:ascii="Lato" w:eastAsiaTheme="minorHAnsi" w:hAnsi="Lato" w:cstheme="minorBidi"/>
          <w:b/>
          <w:bCs/>
          <w:kern w:val="2"/>
          <w:sz w:val="20"/>
          <w:szCs w:val="20"/>
          <w:lang w:eastAsia="en-US"/>
          <w14:ligatures w14:val="standardContextual"/>
        </w:rPr>
        <w:t>zamówienia</w:t>
      </w:r>
      <w:r w:rsidR="003C043E" w:rsidRPr="00054889">
        <w:rPr>
          <w:rFonts w:ascii="Lato" w:eastAsiaTheme="minorHAnsi" w:hAnsi="Lato" w:cstheme="minorBidi"/>
          <w:b/>
          <w:bCs/>
          <w:kern w:val="2"/>
          <w:sz w:val="20"/>
          <w:szCs w:val="20"/>
          <w:lang w:eastAsia="en-US"/>
          <w14:ligatures w14:val="standardContextual"/>
        </w:rPr>
        <w:t xml:space="preserve"> </w:t>
      </w:r>
    </w:p>
    <w:p w14:paraId="63DB4D48" w14:textId="3F6F25C2" w:rsidR="00043AAC" w:rsidRPr="00054889" w:rsidRDefault="009238C7"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Dobrą praktyką zwiększającą szansę na udział komponentu krajowego przy realizacji określonego zamówienia w ramach kluczowego procesu inwestycyjnego jest s</w:t>
      </w:r>
      <w:r w:rsidR="003D1E50" w:rsidRPr="00054889">
        <w:rPr>
          <w:rFonts w:ascii="Lato" w:eastAsiaTheme="minorHAnsi" w:hAnsi="Lato" w:cstheme="minorBidi"/>
          <w:kern w:val="2"/>
          <w:sz w:val="20"/>
          <w:szCs w:val="20"/>
          <w:lang w:eastAsia="en-US"/>
          <w14:ligatures w14:val="standardContextual"/>
        </w:rPr>
        <w:t>porządzanie kluczowych elementów dokumentacji technicznej i projektowej w języku polskim, w</w:t>
      </w:r>
      <w:r w:rsidR="0000335F">
        <w:rPr>
          <w:rFonts w:ascii="Lato" w:eastAsiaTheme="minorHAnsi" w:hAnsi="Lato" w:cstheme="minorBidi"/>
          <w:kern w:val="2"/>
          <w:sz w:val="20"/>
          <w:szCs w:val="20"/>
          <w:lang w:eastAsia="en-US"/>
          <w14:ligatures w14:val="standardContextual"/>
        </w:rPr>
        <w:t> </w:t>
      </w:r>
      <w:r w:rsidR="003D1E50" w:rsidRPr="00054889">
        <w:rPr>
          <w:rFonts w:ascii="Lato" w:eastAsiaTheme="minorHAnsi" w:hAnsi="Lato" w:cstheme="minorBidi"/>
          <w:kern w:val="2"/>
          <w:sz w:val="20"/>
          <w:szCs w:val="20"/>
          <w:lang w:eastAsia="en-US"/>
          <w14:ligatures w14:val="standardContextual"/>
        </w:rPr>
        <w:t>szczególności w zakresie mającym znaczenie dla realizacji, nadzoru i eksploatacji. Ułatwia to komunikację operacyjną, ogranicza ryzyko niejednoznaczności oraz zwiększa dostępność postępowania dla podmiotów działających na rynku krajowym.</w:t>
      </w:r>
    </w:p>
    <w:p w14:paraId="1E04C894" w14:textId="77777777" w:rsidR="00F330B9" w:rsidRPr="00054889" w:rsidRDefault="003D1E50" w:rsidP="00FD2F03">
      <w:pPr>
        <w:pStyle w:val="NormalnyWeb"/>
        <w:widowControl w:val="0"/>
        <w:numPr>
          <w:ilvl w:val="1"/>
          <w:numId w:val="12"/>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C35489">
        <w:rPr>
          <w:rFonts w:ascii="Lato" w:eastAsiaTheme="minorHAnsi" w:hAnsi="Lato" w:cstheme="minorBidi"/>
          <w:b/>
          <w:bCs/>
          <w:kern w:val="2"/>
          <w:sz w:val="20"/>
          <w:szCs w:val="20"/>
          <w:lang w:eastAsia="en-US"/>
          <w14:ligatures w14:val="standardContextual"/>
        </w:rPr>
        <w:t>Standaryzację d</w:t>
      </w:r>
      <w:r w:rsidRPr="00054889">
        <w:rPr>
          <w:rFonts w:ascii="Lato" w:eastAsiaTheme="minorHAnsi" w:hAnsi="Lato" w:cstheme="minorBidi"/>
          <w:b/>
          <w:bCs/>
          <w:kern w:val="2"/>
          <w:sz w:val="20"/>
          <w:szCs w:val="20"/>
          <w:lang w:eastAsia="en-US"/>
          <w14:ligatures w14:val="standardContextual"/>
        </w:rPr>
        <w:t>okumentów przetargowych</w:t>
      </w:r>
    </w:p>
    <w:p w14:paraId="3281C6F7" w14:textId="3B393DCE" w:rsidR="003C043E"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Stosowanie powtarzalnych wzorów formularzy, projektów umów i oświadczeń, co podnosi czytelność postępowań oraz ułatwia wykonawcom przygotowanie ofert. Standaryzacja sprzyja także ograniczeniu błędów formalnych i przyspieszeniu procesu oceny.</w:t>
      </w:r>
    </w:p>
    <w:p w14:paraId="550A1026" w14:textId="77777777" w:rsidR="003C043E" w:rsidRPr="00054889" w:rsidRDefault="003D1E50" w:rsidP="00FD2F03">
      <w:pPr>
        <w:pStyle w:val="NormalnyWeb"/>
        <w:widowControl w:val="0"/>
        <w:numPr>
          <w:ilvl w:val="1"/>
          <w:numId w:val="12"/>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C35489">
        <w:rPr>
          <w:rFonts w:ascii="Lato" w:eastAsiaTheme="minorHAnsi" w:hAnsi="Lato" w:cstheme="minorBidi"/>
          <w:b/>
          <w:bCs/>
          <w:kern w:val="2"/>
          <w:sz w:val="20"/>
          <w:szCs w:val="20"/>
          <w:lang w:eastAsia="en-US"/>
          <w14:ligatures w14:val="standardContextual"/>
        </w:rPr>
        <w:t>Formułowanie wymagań</w:t>
      </w:r>
      <w:r w:rsidRPr="00054889">
        <w:rPr>
          <w:rFonts w:ascii="Lato" w:eastAsiaTheme="minorHAnsi" w:hAnsi="Lato" w:cstheme="minorBidi"/>
          <w:b/>
          <w:bCs/>
          <w:kern w:val="2"/>
          <w:sz w:val="20"/>
          <w:szCs w:val="20"/>
          <w:lang w:eastAsia="en-US"/>
          <w14:ligatures w14:val="standardContextual"/>
        </w:rPr>
        <w:t xml:space="preserve"> technicznych w sposób funkcjonalny</w:t>
      </w:r>
    </w:p>
    <w:p w14:paraId="5D57F628" w14:textId="5B816826" w:rsidR="003C043E" w:rsidRPr="00054889" w:rsidRDefault="003D1E50"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eastAsiaTheme="minorHAnsi" w:hAnsi="Lato" w:cstheme="minorBidi"/>
          <w:kern w:val="2"/>
          <w:sz w:val="20"/>
          <w:szCs w:val="20"/>
          <w:lang w:eastAsia="en-US"/>
          <w14:ligatures w14:val="standardContextual"/>
        </w:rPr>
        <w:t>Określanie parametrów i oczekiwań w sposób umożliwiający oferowanie rozwiązań równoważnych, adekwatnych do przedmiotu zamówienia. Takie podejście wspiera konkurenc</w:t>
      </w:r>
      <w:r w:rsidR="002D4D43" w:rsidRPr="00054889">
        <w:rPr>
          <w:rFonts w:ascii="Lato" w:eastAsiaTheme="minorHAnsi" w:hAnsi="Lato" w:cstheme="minorBidi"/>
          <w:kern w:val="2"/>
          <w:sz w:val="20"/>
          <w:szCs w:val="20"/>
          <w:lang w:eastAsia="en-US"/>
          <w14:ligatures w14:val="standardContextual"/>
        </w:rPr>
        <w:t>yjność</w:t>
      </w:r>
      <w:r w:rsidRPr="00054889">
        <w:rPr>
          <w:rFonts w:ascii="Lato" w:eastAsiaTheme="minorHAnsi" w:hAnsi="Lato" w:cstheme="minorBidi"/>
          <w:kern w:val="2"/>
          <w:sz w:val="20"/>
          <w:szCs w:val="20"/>
          <w:lang w:eastAsia="en-US"/>
          <w14:ligatures w14:val="standardContextual"/>
        </w:rPr>
        <w:t>, umożliwia zastosowanie innowacyjnych rozwiązań oraz zwiększa szanse udziału wyspecjalizowanych podmiotów.</w:t>
      </w:r>
    </w:p>
    <w:p w14:paraId="6A175F54" w14:textId="77777777" w:rsidR="003C043E" w:rsidRPr="00054889" w:rsidRDefault="003D1E50" w:rsidP="00FD2F03">
      <w:pPr>
        <w:pStyle w:val="NormalnyWeb"/>
        <w:widowControl w:val="0"/>
        <w:numPr>
          <w:ilvl w:val="1"/>
          <w:numId w:val="12"/>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Uznawanie równoważności norm i certyfikatów</w:t>
      </w:r>
    </w:p>
    <w:p w14:paraId="5DF93597" w14:textId="387CBE5C" w:rsidR="003C043E"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lastRenderedPageBreak/>
        <w:t>Stosowanie zasady równoważności w odniesieniu do norm i standardów technicznych, przy jednoczesnym unikaniu nieuzasadnionego wskazywania konkretnych rozwiązań, o ile nie wynika to z obiektywnych potrzeb technicznych lub bezpieczeństwa.</w:t>
      </w:r>
      <w:r w:rsidR="00F70E97" w:rsidRPr="00054889">
        <w:rPr>
          <w:rFonts w:ascii="Lato" w:eastAsiaTheme="minorHAnsi" w:hAnsi="Lato" w:cstheme="minorBidi"/>
          <w:kern w:val="2"/>
          <w:sz w:val="20"/>
          <w:szCs w:val="20"/>
          <w:lang w:eastAsia="en-US"/>
          <w14:ligatures w14:val="standardContextual"/>
        </w:rPr>
        <w:t xml:space="preserve"> Równocześnie</w:t>
      </w:r>
      <w:r w:rsidR="00BB7C0D" w:rsidRPr="00054889">
        <w:rPr>
          <w:rFonts w:ascii="Lato" w:eastAsiaTheme="minorHAnsi" w:hAnsi="Lato" w:cstheme="minorBidi"/>
          <w:kern w:val="2"/>
          <w:sz w:val="20"/>
          <w:szCs w:val="20"/>
          <w:lang w:eastAsia="en-US"/>
          <w14:ligatures w14:val="standardContextual"/>
        </w:rPr>
        <w:t xml:space="preserve"> warto</w:t>
      </w:r>
      <w:r w:rsidR="00F70E97" w:rsidRPr="00054889">
        <w:rPr>
          <w:rFonts w:ascii="Lato" w:eastAsiaTheme="minorHAnsi" w:hAnsi="Lato" w:cstheme="minorBidi"/>
          <w:kern w:val="2"/>
          <w:sz w:val="20"/>
          <w:szCs w:val="20"/>
          <w:lang w:eastAsia="en-US"/>
          <w14:ligatures w14:val="standardContextual"/>
        </w:rPr>
        <w:t xml:space="preserve"> uwzględnia</w:t>
      </w:r>
      <w:r w:rsidR="00FD79EE" w:rsidRPr="00054889">
        <w:rPr>
          <w:rFonts w:ascii="Lato" w:eastAsiaTheme="minorHAnsi" w:hAnsi="Lato" w:cstheme="minorBidi"/>
          <w:kern w:val="2"/>
          <w:sz w:val="20"/>
          <w:szCs w:val="20"/>
          <w:lang w:eastAsia="en-US"/>
          <w14:ligatures w14:val="standardContextual"/>
        </w:rPr>
        <w:t>ć</w:t>
      </w:r>
      <w:r w:rsidR="00F70E97" w:rsidRPr="00054889">
        <w:rPr>
          <w:rFonts w:ascii="Lato" w:eastAsiaTheme="minorHAnsi" w:hAnsi="Lato" w:cstheme="minorBidi"/>
          <w:kern w:val="2"/>
          <w:sz w:val="20"/>
          <w:szCs w:val="20"/>
          <w:lang w:eastAsia="en-US"/>
          <w14:ligatures w14:val="standardContextual"/>
        </w:rPr>
        <w:t xml:space="preserve"> krajow</w:t>
      </w:r>
      <w:r w:rsidR="00FD79EE" w:rsidRPr="00054889">
        <w:rPr>
          <w:rFonts w:ascii="Lato" w:eastAsiaTheme="minorHAnsi" w:hAnsi="Lato" w:cstheme="minorBidi"/>
          <w:kern w:val="2"/>
          <w:sz w:val="20"/>
          <w:szCs w:val="20"/>
          <w:lang w:eastAsia="en-US"/>
          <w14:ligatures w14:val="standardContextual"/>
        </w:rPr>
        <w:t>ą</w:t>
      </w:r>
      <w:r w:rsidR="00F70E97" w:rsidRPr="00054889">
        <w:rPr>
          <w:rFonts w:ascii="Lato" w:eastAsiaTheme="minorHAnsi" w:hAnsi="Lato" w:cstheme="minorBidi"/>
          <w:kern w:val="2"/>
          <w:sz w:val="20"/>
          <w:szCs w:val="20"/>
          <w:lang w:eastAsia="en-US"/>
          <w14:ligatures w14:val="standardContextual"/>
        </w:rPr>
        <w:t xml:space="preserve"> specyfik</w:t>
      </w:r>
      <w:r w:rsidR="00FD79EE" w:rsidRPr="00054889">
        <w:rPr>
          <w:rFonts w:ascii="Lato" w:eastAsiaTheme="minorHAnsi" w:hAnsi="Lato" w:cstheme="minorBidi"/>
          <w:kern w:val="2"/>
          <w:sz w:val="20"/>
          <w:szCs w:val="20"/>
          <w:lang w:eastAsia="en-US"/>
          <w14:ligatures w14:val="standardContextual"/>
        </w:rPr>
        <w:t>ę</w:t>
      </w:r>
      <w:r w:rsidR="00F70E97" w:rsidRPr="00054889">
        <w:rPr>
          <w:rFonts w:ascii="Lato" w:eastAsiaTheme="minorHAnsi" w:hAnsi="Lato" w:cstheme="minorBidi"/>
          <w:kern w:val="2"/>
          <w:sz w:val="20"/>
          <w:szCs w:val="20"/>
          <w:lang w:eastAsia="en-US"/>
          <w14:ligatures w14:val="standardContextual"/>
        </w:rPr>
        <w:t xml:space="preserve"> i otoczeni</w:t>
      </w:r>
      <w:r w:rsidR="00FD79EE" w:rsidRPr="00054889">
        <w:rPr>
          <w:rFonts w:ascii="Lato" w:eastAsiaTheme="minorHAnsi" w:hAnsi="Lato" w:cstheme="minorBidi"/>
          <w:kern w:val="2"/>
          <w:sz w:val="20"/>
          <w:szCs w:val="20"/>
          <w:lang w:eastAsia="en-US"/>
          <w14:ligatures w14:val="standardContextual"/>
        </w:rPr>
        <w:t>e</w:t>
      </w:r>
      <w:r w:rsidR="00F70E97" w:rsidRPr="00054889">
        <w:rPr>
          <w:rFonts w:ascii="Lato" w:eastAsiaTheme="minorHAnsi" w:hAnsi="Lato" w:cstheme="minorBidi"/>
          <w:kern w:val="2"/>
          <w:sz w:val="20"/>
          <w:szCs w:val="20"/>
          <w:lang w:eastAsia="en-US"/>
          <w14:ligatures w14:val="standardContextual"/>
        </w:rPr>
        <w:t xml:space="preserve"> prawne w zakresie obowiązujących norm i</w:t>
      </w:r>
      <w:r w:rsidR="009238C7">
        <w:rPr>
          <w:rFonts w:ascii="Lato" w:eastAsiaTheme="minorHAnsi" w:hAnsi="Lato" w:cstheme="minorBidi"/>
          <w:kern w:val="2"/>
          <w:sz w:val="20"/>
          <w:szCs w:val="20"/>
          <w:lang w:eastAsia="en-US"/>
          <w14:ligatures w14:val="standardContextual"/>
        </w:rPr>
        <w:t> </w:t>
      </w:r>
      <w:r w:rsidR="00F70E97" w:rsidRPr="00054889">
        <w:rPr>
          <w:rFonts w:ascii="Lato" w:eastAsiaTheme="minorHAnsi" w:hAnsi="Lato" w:cstheme="minorBidi"/>
          <w:kern w:val="2"/>
          <w:sz w:val="20"/>
          <w:szCs w:val="20"/>
          <w:lang w:eastAsia="en-US"/>
          <w14:ligatures w14:val="standardContextual"/>
        </w:rPr>
        <w:t>uprawnień technicznych wymaganych do realizacji określonych zadań na potrzeby inwestycji</w:t>
      </w:r>
      <w:r w:rsidR="00FD79EE" w:rsidRPr="00054889">
        <w:rPr>
          <w:rFonts w:ascii="Lato" w:eastAsiaTheme="minorHAnsi" w:hAnsi="Lato" w:cstheme="minorBidi"/>
          <w:kern w:val="2"/>
          <w:sz w:val="20"/>
          <w:szCs w:val="20"/>
          <w:lang w:eastAsia="en-US"/>
          <w14:ligatures w14:val="standardContextual"/>
        </w:rPr>
        <w:t>, bo to może sprzyjać zwiększaniu komponentu krajowego</w:t>
      </w:r>
      <w:r w:rsidR="00F70E97" w:rsidRPr="00054889">
        <w:rPr>
          <w:rFonts w:ascii="Lato" w:eastAsiaTheme="minorHAnsi" w:hAnsi="Lato" w:cstheme="minorBidi"/>
          <w:kern w:val="2"/>
          <w:sz w:val="20"/>
          <w:szCs w:val="20"/>
          <w:lang w:eastAsia="en-US"/>
          <w14:ligatures w14:val="standardContextual"/>
        </w:rPr>
        <w:t xml:space="preserve">. </w:t>
      </w:r>
      <w:r w:rsidR="0000335F">
        <w:rPr>
          <w:rFonts w:ascii="Lato" w:eastAsiaTheme="minorHAnsi" w:hAnsi="Lato" w:cstheme="minorBidi"/>
          <w:kern w:val="2"/>
          <w:sz w:val="20"/>
          <w:szCs w:val="20"/>
          <w:lang w:eastAsia="en-US"/>
          <w14:ligatures w14:val="standardContextual"/>
        </w:rPr>
        <w:t xml:space="preserve">W tym zakresie istotna jest działalność Polskiego Komitetu Normalizacyjnego. </w:t>
      </w:r>
    </w:p>
    <w:p w14:paraId="5D161354" w14:textId="1CE15370" w:rsidR="00C97866" w:rsidRPr="00054889" w:rsidRDefault="00C97866"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Wymaganie spełnienia konkretnej normy (na przykład PN-EN) powinno być zastępowane, w</w:t>
      </w:r>
      <w:r w:rsidR="0000335F">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 xml:space="preserve">miarę możliwości, sformułowaniem otwartym na normy krajowe lub międzynarodowe, o ile spełniają ten sam standard bezpieczeństwa, funkcjonalności lub wydajności. Takie podejście zwiększa liczbę dostępnych dla oferentów opcji i ułatwia zaangażowanie dostawców, którzy mogą pracować z normami innymi niż te bezpośrednio wskazane, ale równoważnymi pod względem poziomu bezpieczeństwa. Jednocześnie </w:t>
      </w:r>
      <w:r w:rsidR="009238C7" w:rsidRPr="009238C7">
        <w:rPr>
          <w:rFonts w:ascii="Lato" w:eastAsiaTheme="minorHAnsi" w:hAnsi="Lato" w:cstheme="minorBidi"/>
          <w:kern w:val="2"/>
          <w:sz w:val="20"/>
          <w:szCs w:val="20"/>
          <w:lang w:eastAsia="en-US"/>
          <w14:ligatures w14:val="standardContextual"/>
        </w:rPr>
        <w:t xml:space="preserve">spółki z udziałem Skarbu Państwa </w:t>
      </w:r>
      <w:r w:rsidRPr="00054889">
        <w:rPr>
          <w:rFonts w:ascii="Lato" w:eastAsiaTheme="minorHAnsi" w:hAnsi="Lato" w:cstheme="minorBidi"/>
          <w:kern w:val="2"/>
          <w:sz w:val="20"/>
          <w:szCs w:val="20"/>
          <w:lang w:eastAsia="en-US"/>
          <w14:ligatures w14:val="standardContextual"/>
        </w:rPr>
        <w:t>powinn</w:t>
      </w:r>
      <w:r w:rsidR="009238C7">
        <w:rPr>
          <w:rFonts w:ascii="Lato" w:eastAsiaTheme="minorHAnsi" w:hAnsi="Lato" w:cstheme="minorBidi"/>
          <w:kern w:val="2"/>
          <w:sz w:val="20"/>
          <w:szCs w:val="20"/>
          <w:lang w:eastAsia="en-US"/>
          <w14:ligatures w14:val="standardContextual"/>
        </w:rPr>
        <w:t>y</w:t>
      </w:r>
      <w:r w:rsidRPr="00054889">
        <w:rPr>
          <w:rFonts w:ascii="Lato" w:eastAsiaTheme="minorHAnsi" w:hAnsi="Lato" w:cstheme="minorBidi"/>
          <w:kern w:val="2"/>
          <w:sz w:val="20"/>
          <w:szCs w:val="20"/>
          <w:lang w:eastAsia="en-US"/>
          <w14:ligatures w14:val="standardContextual"/>
        </w:rPr>
        <w:t xml:space="preserve"> uwzględniać krajową specyfikę oraz obowiązujące na terytorium </w:t>
      </w:r>
      <w:r w:rsidR="0000335F">
        <w:rPr>
          <w:rFonts w:ascii="Lato" w:eastAsiaTheme="minorHAnsi" w:hAnsi="Lato" w:cstheme="minorBidi"/>
          <w:kern w:val="2"/>
          <w:sz w:val="20"/>
          <w:szCs w:val="20"/>
          <w:lang w:eastAsia="en-US"/>
          <w14:ligatures w14:val="standardContextual"/>
        </w:rPr>
        <w:t>Polski</w:t>
      </w:r>
      <w:r w:rsidRPr="00054889">
        <w:rPr>
          <w:rFonts w:ascii="Lato" w:eastAsiaTheme="minorHAnsi" w:hAnsi="Lato" w:cstheme="minorBidi"/>
          <w:kern w:val="2"/>
          <w:sz w:val="20"/>
          <w:szCs w:val="20"/>
          <w:lang w:eastAsia="en-US"/>
          <w14:ligatures w14:val="standardContextual"/>
        </w:rPr>
        <w:t xml:space="preserve"> normy, uprawnienia techniczne i wymogi prawne wymagane do realizacji określonych zadań, gdyż może to</w:t>
      </w:r>
      <w:r w:rsidR="009238C7">
        <w:rPr>
          <w:rFonts w:ascii="Lato" w:eastAsiaTheme="minorHAnsi" w:hAnsi="Lato" w:cstheme="minorBidi"/>
          <w:kern w:val="2"/>
          <w:sz w:val="20"/>
          <w:szCs w:val="20"/>
          <w:lang w:eastAsia="en-US"/>
          <w14:ligatures w14:val="standardContextual"/>
        </w:rPr>
        <w:t xml:space="preserve"> ułatwiać egzekwowanie odpowiedzialności osób o określonych uprawnieniach oraz </w:t>
      </w:r>
      <w:r w:rsidRPr="00054889">
        <w:rPr>
          <w:rFonts w:ascii="Lato" w:eastAsiaTheme="minorHAnsi" w:hAnsi="Lato" w:cstheme="minorBidi"/>
          <w:kern w:val="2"/>
          <w:sz w:val="20"/>
          <w:szCs w:val="20"/>
          <w:lang w:eastAsia="en-US"/>
          <w14:ligatures w14:val="standardContextual"/>
        </w:rPr>
        <w:t>sprzyjać zwiększaniu komponentu krajowego.</w:t>
      </w:r>
    </w:p>
    <w:p w14:paraId="0907F2F1" w14:textId="77777777" w:rsidR="003C043E" w:rsidRPr="00054889" w:rsidRDefault="003D1E50" w:rsidP="00FD2F03">
      <w:pPr>
        <w:pStyle w:val="NormalnyWeb"/>
        <w:widowControl w:val="0"/>
        <w:numPr>
          <w:ilvl w:val="1"/>
          <w:numId w:val="12"/>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Ograniczanie nadmiernych wymogów formalnych</w:t>
      </w:r>
    </w:p>
    <w:p w14:paraId="3ED96AB8" w14:textId="249F99C1" w:rsidR="003C043E" w:rsidRPr="0081437C" w:rsidRDefault="003D1E50" w:rsidP="0081437C">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eastAsiaTheme="minorHAnsi" w:hAnsi="Lato" w:cstheme="minorBidi"/>
          <w:kern w:val="2"/>
          <w:sz w:val="20"/>
          <w:szCs w:val="20"/>
          <w:lang w:eastAsia="en-US"/>
          <w14:ligatures w14:val="standardContextual"/>
        </w:rPr>
        <w:t xml:space="preserve">Dostosowanie zakresu wymaganych dokumentów i oświadczeń do skali i poziomu ryzyka zamówienia. Racjonalizacja wymogów formalnych może zwiększać liczbę </w:t>
      </w:r>
      <w:r w:rsidR="003C043E" w:rsidRPr="00054889">
        <w:rPr>
          <w:rFonts w:ascii="Lato" w:eastAsiaTheme="minorHAnsi" w:hAnsi="Lato" w:cstheme="minorBidi"/>
          <w:kern w:val="2"/>
          <w:sz w:val="20"/>
          <w:szCs w:val="20"/>
          <w:lang w:eastAsia="en-US"/>
          <w14:ligatures w14:val="standardContextual"/>
        </w:rPr>
        <w:br/>
      </w:r>
      <w:r w:rsidR="002D4D43" w:rsidRPr="00054889">
        <w:rPr>
          <w:rFonts w:ascii="Lato" w:eastAsiaTheme="minorHAnsi" w:hAnsi="Lato" w:cstheme="minorBidi"/>
          <w:kern w:val="2"/>
          <w:sz w:val="20"/>
          <w:szCs w:val="20"/>
          <w:lang w:eastAsia="en-US"/>
          <w14:ligatures w14:val="standardContextual"/>
        </w:rPr>
        <w:t xml:space="preserve">i jakość </w:t>
      </w:r>
      <w:r w:rsidRPr="00054889">
        <w:rPr>
          <w:rFonts w:ascii="Lato" w:eastAsiaTheme="minorHAnsi" w:hAnsi="Lato" w:cstheme="minorBidi"/>
          <w:kern w:val="2"/>
          <w:sz w:val="20"/>
          <w:szCs w:val="20"/>
          <w:lang w:eastAsia="en-US"/>
          <w14:ligatures w14:val="standardContextual"/>
        </w:rPr>
        <w:t>ofert oraz obniżać bariery administracyjne dla przedsiębiorstw funkcjonujących lokalnie.</w:t>
      </w:r>
      <w:r w:rsidR="00E64707" w:rsidRPr="00054889">
        <w:rPr>
          <w:rFonts w:ascii="Lato" w:eastAsiaTheme="minorHAnsi" w:hAnsi="Lato" w:cstheme="minorBidi"/>
          <w:kern w:val="2"/>
          <w:sz w:val="20"/>
          <w:szCs w:val="20"/>
          <w:lang w:eastAsia="en-US"/>
          <w14:ligatures w14:val="standardContextual"/>
        </w:rPr>
        <w:t xml:space="preserve"> </w:t>
      </w:r>
      <w:r w:rsidR="00E64707" w:rsidRPr="00054889">
        <w:rPr>
          <w:rFonts w:ascii="Lato" w:hAnsi="Lato"/>
          <w:sz w:val="20"/>
          <w:szCs w:val="20"/>
        </w:rPr>
        <w:t xml:space="preserve">Racjonalizacja wymogów formalnych powinna być przeprowadzana poprzez merytoryczną analizę, które dokumenty, oświadczenia i certyfikaty są rzeczywiście niezbędne dla oceny zdolności wykonawcy do realizacji zamówienia i oceny ryzyka jego realizacji. </w:t>
      </w:r>
      <w:r w:rsidR="009238C7">
        <w:rPr>
          <w:rFonts w:ascii="Lato" w:hAnsi="Lato"/>
          <w:sz w:val="20"/>
          <w:szCs w:val="20"/>
        </w:rPr>
        <w:t>S</w:t>
      </w:r>
      <w:r w:rsidR="009238C7" w:rsidRPr="009238C7">
        <w:rPr>
          <w:rFonts w:ascii="Lato" w:hAnsi="Lato"/>
          <w:sz w:val="20"/>
          <w:szCs w:val="20"/>
        </w:rPr>
        <w:t xml:space="preserve">półki z udziałem Skarbu Państwa </w:t>
      </w:r>
      <w:r w:rsidR="00E64707" w:rsidRPr="00054889">
        <w:rPr>
          <w:rFonts w:ascii="Lato" w:hAnsi="Lato"/>
          <w:sz w:val="20"/>
          <w:szCs w:val="20"/>
        </w:rPr>
        <w:t>powinn</w:t>
      </w:r>
      <w:r w:rsidR="009238C7">
        <w:rPr>
          <w:rFonts w:ascii="Lato" w:hAnsi="Lato"/>
          <w:sz w:val="20"/>
          <w:szCs w:val="20"/>
        </w:rPr>
        <w:t>y</w:t>
      </w:r>
      <w:r w:rsidR="00E64707" w:rsidRPr="00054889">
        <w:rPr>
          <w:rFonts w:ascii="Lato" w:hAnsi="Lato"/>
          <w:sz w:val="20"/>
          <w:szCs w:val="20"/>
        </w:rPr>
        <w:t xml:space="preserve"> stosować zasadę proporcjonalności, gdzie wymogi powinny być dostosowane do charakteru zamówienia, jego wartości oraz poziomu ryzyka. Dla zamówień o małej wartości lub niskim ryzyku wymogi mogą być minimalne – na przykład zamiast pełnych sprawozdań finansowych za </w:t>
      </w:r>
      <w:r w:rsidR="00CA4152">
        <w:rPr>
          <w:rFonts w:ascii="Lato" w:hAnsi="Lato"/>
          <w:sz w:val="20"/>
          <w:szCs w:val="20"/>
        </w:rPr>
        <w:t xml:space="preserve">okres </w:t>
      </w:r>
      <w:r w:rsidR="00E64707" w:rsidRPr="00054889">
        <w:rPr>
          <w:rFonts w:ascii="Lato" w:hAnsi="Lato"/>
          <w:sz w:val="20"/>
          <w:szCs w:val="20"/>
        </w:rPr>
        <w:t>kilk</w:t>
      </w:r>
      <w:r w:rsidR="00CA4152">
        <w:rPr>
          <w:rFonts w:ascii="Lato" w:hAnsi="Lato"/>
          <w:sz w:val="20"/>
          <w:szCs w:val="20"/>
        </w:rPr>
        <w:t>u</w:t>
      </w:r>
      <w:r w:rsidR="00E64707" w:rsidRPr="00054889">
        <w:rPr>
          <w:rFonts w:ascii="Lato" w:hAnsi="Lato"/>
          <w:sz w:val="20"/>
          <w:szCs w:val="20"/>
        </w:rPr>
        <w:t xml:space="preserve"> lat, wystarczające może być proste oświadczenie oferenta potwierdzające przychody z ostatniego roku. Dla zamówień średniej skali wymogi mogą być umiarkowane – na przykład uproszczone sprawozdania finansowe plus dokumenty potwierdzające referencje. Dla dużych lub wysokiego ryzyka zamówień wymogi mogą być bardziej rozbudowane. Zmniejszenie liczby wymaganych załączników, uproszczenie formularzy, wyeliminowanie </w:t>
      </w:r>
      <w:r w:rsidR="00EF2A45">
        <w:rPr>
          <w:rFonts w:ascii="Lato" w:hAnsi="Lato"/>
          <w:sz w:val="20"/>
          <w:szCs w:val="20"/>
        </w:rPr>
        <w:t>wymogu powielania</w:t>
      </w:r>
      <w:r w:rsidR="00E64707" w:rsidRPr="00054889">
        <w:rPr>
          <w:rFonts w:ascii="Lato" w:hAnsi="Lato"/>
          <w:sz w:val="20"/>
          <w:szCs w:val="20"/>
        </w:rPr>
        <w:t xml:space="preserve"> dokument</w:t>
      </w:r>
      <w:r w:rsidR="00EF2A45">
        <w:rPr>
          <w:rFonts w:ascii="Lato" w:hAnsi="Lato"/>
          <w:sz w:val="20"/>
          <w:szCs w:val="20"/>
        </w:rPr>
        <w:t>ów na potrzeby kilku załączników</w:t>
      </w:r>
      <w:r w:rsidR="00E64707" w:rsidRPr="00054889">
        <w:rPr>
          <w:rFonts w:ascii="Lato" w:hAnsi="Lato"/>
          <w:sz w:val="20"/>
          <w:szCs w:val="20"/>
        </w:rPr>
        <w:t xml:space="preserve"> zwiększa</w:t>
      </w:r>
      <w:r w:rsidR="00EF2A45">
        <w:rPr>
          <w:rFonts w:ascii="Lato" w:hAnsi="Lato"/>
          <w:sz w:val="20"/>
          <w:szCs w:val="20"/>
        </w:rPr>
        <w:t xml:space="preserve"> szansę na pozyskanie większej</w:t>
      </w:r>
      <w:r w:rsidR="00E64707" w:rsidRPr="00054889">
        <w:rPr>
          <w:rFonts w:ascii="Lato" w:hAnsi="Lato"/>
          <w:sz w:val="20"/>
          <w:szCs w:val="20"/>
        </w:rPr>
        <w:t xml:space="preserve"> liczb</w:t>
      </w:r>
      <w:r w:rsidR="00EF2A45">
        <w:rPr>
          <w:rFonts w:ascii="Lato" w:hAnsi="Lato"/>
          <w:sz w:val="20"/>
          <w:szCs w:val="20"/>
        </w:rPr>
        <w:t>y</w:t>
      </w:r>
      <w:r w:rsidR="00E64707" w:rsidRPr="00054889">
        <w:rPr>
          <w:rFonts w:ascii="Lato" w:hAnsi="Lato"/>
          <w:sz w:val="20"/>
          <w:szCs w:val="20"/>
        </w:rPr>
        <w:t xml:space="preserve"> ofert</w:t>
      </w:r>
      <w:r w:rsidR="00EF2A45">
        <w:rPr>
          <w:rFonts w:ascii="Lato" w:hAnsi="Lato"/>
          <w:sz w:val="20"/>
          <w:szCs w:val="20"/>
        </w:rPr>
        <w:t xml:space="preserve"> o potencjalnie wyższej jakości merytorycznej</w:t>
      </w:r>
      <w:r w:rsidR="00E64707" w:rsidRPr="00054889">
        <w:rPr>
          <w:rFonts w:ascii="Lato" w:hAnsi="Lato"/>
          <w:sz w:val="20"/>
          <w:szCs w:val="20"/>
        </w:rPr>
        <w:t>, szczególnie od mniejszych przedsiębiorstw działających lokalnie lub o charakterze specjalistycznym, które mogą nie dysponować zasobami do przygotowania odpowiedniej dokumentacji.</w:t>
      </w:r>
      <w:r w:rsidR="00E85CA3">
        <w:rPr>
          <w:rFonts w:ascii="Lato" w:hAnsi="Lato"/>
          <w:sz w:val="20"/>
          <w:szCs w:val="20"/>
        </w:rPr>
        <w:t xml:space="preserve"> Wskazane jest żądanie w pierwszej kolejności oświadczeń dotyczących spełnienia określonych warunków, z zastrzeżeniem obowiązku przedstawienia dokumentów potwierdzających ich zgodność ze stanem rzeczywistym.</w:t>
      </w:r>
      <w:r w:rsidR="00E64707" w:rsidRPr="00054889">
        <w:rPr>
          <w:rFonts w:ascii="Lato" w:hAnsi="Lato"/>
          <w:sz w:val="20"/>
          <w:szCs w:val="20"/>
        </w:rPr>
        <w:t xml:space="preserve"> </w:t>
      </w:r>
      <w:r w:rsidR="00EF2A45">
        <w:rPr>
          <w:rFonts w:ascii="Lato" w:hAnsi="Lato"/>
          <w:sz w:val="20"/>
          <w:szCs w:val="20"/>
        </w:rPr>
        <w:t>S</w:t>
      </w:r>
      <w:r w:rsidR="00EF2A45" w:rsidRPr="00EF2A45">
        <w:rPr>
          <w:rFonts w:ascii="Lato" w:hAnsi="Lato"/>
          <w:sz w:val="20"/>
          <w:szCs w:val="20"/>
        </w:rPr>
        <w:t xml:space="preserve">półki z udziałem </w:t>
      </w:r>
      <w:r w:rsidR="00EF2A45" w:rsidRPr="00EF2A45">
        <w:rPr>
          <w:rFonts w:ascii="Lato" w:hAnsi="Lato"/>
          <w:sz w:val="20"/>
          <w:szCs w:val="20"/>
        </w:rPr>
        <w:lastRenderedPageBreak/>
        <w:t xml:space="preserve">Skarbu Państwa </w:t>
      </w:r>
      <w:r w:rsidR="00E64707" w:rsidRPr="00054889">
        <w:rPr>
          <w:rFonts w:ascii="Lato" w:hAnsi="Lato"/>
          <w:sz w:val="20"/>
          <w:szCs w:val="20"/>
        </w:rPr>
        <w:t>powinn</w:t>
      </w:r>
      <w:r w:rsidR="00EF2A45">
        <w:rPr>
          <w:rFonts w:ascii="Lato" w:hAnsi="Lato"/>
          <w:sz w:val="20"/>
          <w:szCs w:val="20"/>
        </w:rPr>
        <w:t>y</w:t>
      </w:r>
      <w:r w:rsidR="00E64707" w:rsidRPr="00054889">
        <w:rPr>
          <w:rFonts w:ascii="Lato" w:hAnsi="Lato"/>
          <w:sz w:val="20"/>
          <w:szCs w:val="20"/>
        </w:rPr>
        <w:t xml:space="preserve"> również rozważyć wprowadzenie procedury, w ramach której tylko wybrany wykonawca</w:t>
      </w:r>
      <w:r w:rsidR="003A3C97">
        <w:rPr>
          <w:rFonts w:ascii="Lato" w:hAnsi="Lato"/>
          <w:sz w:val="20"/>
          <w:szCs w:val="20"/>
        </w:rPr>
        <w:t xml:space="preserve"> </w:t>
      </w:r>
      <w:r w:rsidR="00E64707" w:rsidRPr="00054889">
        <w:rPr>
          <w:rFonts w:ascii="Lato" w:hAnsi="Lato"/>
          <w:sz w:val="20"/>
          <w:szCs w:val="20"/>
        </w:rPr>
        <w:t>jest zobowiązany do dostarczenia pełnej dokumentacji, zamiast wymagania tego od wszystkich oferentów już na etapie składania ofert.</w:t>
      </w:r>
    </w:p>
    <w:p w14:paraId="4154B2A2" w14:textId="77777777" w:rsidR="00F330B9" w:rsidRPr="00054889" w:rsidRDefault="003D1E50" w:rsidP="00FD2F03">
      <w:pPr>
        <w:pStyle w:val="NormalnyWeb"/>
        <w:widowControl w:val="0"/>
        <w:numPr>
          <w:ilvl w:val="1"/>
          <w:numId w:val="12"/>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Ujednolicone zasady potwierdzania doświadczenia i referencji</w:t>
      </w:r>
    </w:p>
    <w:p w14:paraId="2C6E3331" w14:textId="74B0E52C" w:rsidR="00A63F27"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Stosowanie spójnych i przewidywalnych zasad wydawania oraz przyjmowania referencji, co zwiększa transparentność oceny doświadczenia oraz ogranicza rozbieżności interpretacyjne.</w:t>
      </w:r>
    </w:p>
    <w:p w14:paraId="720B78CD" w14:textId="77777777" w:rsidR="00677E84" w:rsidRPr="00054889" w:rsidRDefault="00677E84"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p>
    <w:p w14:paraId="3F6B86A5" w14:textId="57523C4F" w:rsidR="00A63F27" w:rsidRPr="00677E84" w:rsidRDefault="00A63F27" w:rsidP="00241EEF">
      <w:pPr>
        <w:pStyle w:val="podrozdzial"/>
      </w:pPr>
      <w:bookmarkStart w:id="8" w:name="_Toc228873232"/>
      <w:r w:rsidRPr="00054889">
        <w:t>REFERENCJE I WIARYGODNOŚĆ WYKONAWCÓW</w:t>
      </w:r>
      <w:bookmarkEnd w:id="8"/>
    </w:p>
    <w:p w14:paraId="3A56BD8D" w14:textId="77777777" w:rsidR="00677E84" w:rsidRPr="00677E84" w:rsidRDefault="00677E84" w:rsidP="00677E84">
      <w:pPr>
        <w:widowControl w:val="0"/>
        <w:spacing w:after="120" w:line="360" w:lineRule="auto"/>
        <w:rPr>
          <w:rFonts w:ascii="Lato" w:hAnsi="Lato"/>
          <w:sz w:val="20"/>
          <w:szCs w:val="20"/>
        </w:rPr>
      </w:pPr>
    </w:p>
    <w:p w14:paraId="038A497F" w14:textId="11844F00" w:rsidR="00A069DB" w:rsidRPr="00054889" w:rsidRDefault="00A63F27" w:rsidP="007D0DA7">
      <w:pPr>
        <w:pStyle w:val="NormalnyWeb"/>
        <w:widowControl w:val="0"/>
        <w:numPr>
          <w:ilvl w:val="1"/>
          <w:numId w:val="31"/>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Wypracowanie</w:t>
      </w:r>
      <w:r w:rsidR="00FD79EE" w:rsidRPr="00054889">
        <w:rPr>
          <w:rFonts w:ascii="Lato" w:eastAsiaTheme="minorHAnsi" w:hAnsi="Lato" w:cstheme="minorBidi"/>
          <w:kern w:val="2"/>
          <w:sz w:val="20"/>
          <w:szCs w:val="20"/>
          <w:lang w:eastAsia="en-US"/>
          <w14:ligatures w14:val="standardContextual"/>
        </w:rPr>
        <w:t xml:space="preserve"> i wprowadzenie do wewnętrznych regulacji korporacyjnych dotyczących procedur zakupowych</w:t>
      </w:r>
      <w:r w:rsidR="002621DD" w:rsidRPr="00054889">
        <w:rPr>
          <w:rFonts w:ascii="Lato" w:eastAsiaTheme="minorHAnsi" w:hAnsi="Lato" w:cstheme="minorBidi"/>
          <w:kern w:val="2"/>
          <w:sz w:val="20"/>
          <w:szCs w:val="20"/>
          <w:lang w:eastAsia="en-US"/>
          <w14:ligatures w14:val="standardContextual"/>
        </w:rPr>
        <w:t xml:space="preserve"> na potrzeby kluczowych procesów inwestycyjnych</w:t>
      </w:r>
      <w:r w:rsidRPr="00054889">
        <w:rPr>
          <w:rFonts w:ascii="Lato" w:eastAsiaTheme="minorHAnsi" w:hAnsi="Lato" w:cstheme="minorBidi"/>
          <w:kern w:val="2"/>
          <w:sz w:val="20"/>
          <w:szCs w:val="20"/>
          <w:lang w:eastAsia="en-US"/>
          <w14:ligatures w14:val="standardContextual"/>
        </w:rPr>
        <w:t xml:space="preserve"> zasad weryfikacji doświadczenia i</w:t>
      </w:r>
      <w:r w:rsidR="00C859A0">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rzetelności wykonawców</w:t>
      </w:r>
      <w:r w:rsidR="00FD79EE" w:rsidRPr="00054889">
        <w:rPr>
          <w:rFonts w:ascii="Lato" w:eastAsiaTheme="minorHAnsi" w:hAnsi="Lato" w:cstheme="minorBidi"/>
          <w:kern w:val="2"/>
          <w:sz w:val="20"/>
          <w:szCs w:val="20"/>
          <w:lang w:eastAsia="en-US"/>
          <w14:ligatures w14:val="standardContextual"/>
        </w:rPr>
        <w:t>, które</w:t>
      </w:r>
      <w:r w:rsidRPr="00054889">
        <w:rPr>
          <w:rFonts w:ascii="Lato" w:eastAsiaTheme="minorHAnsi" w:hAnsi="Lato" w:cstheme="minorBidi"/>
          <w:kern w:val="2"/>
          <w:sz w:val="20"/>
          <w:szCs w:val="20"/>
          <w:lang w:eastAsia="en-US"/>
          <w14:ligatures w14:val="standardContextual"/>
        </w:rPr>
        <w:t xml:space="preserve"> powinn</w:t>
      </w:r>
      <w:r w:rsidR="00FD79EE" w:rsidRPr="00054889">
        <w:rPr>
          <w:rFonts w:ascii="Lato" w:eastAsiaTheme="minorHAnsi" w:hAnsi="Lato" w:cstheme="minorBidi"/>
          <w:kern w:val="2"/>
          <w:sz w:val="20"/>
          <w:szCs w:val="20"/>
          <w:lang w:eastAsia="en-US"/>
          <w14:ligatures w14:val="standardContextual"/>
        </w:rPr>
        <w:t>y</w:t>
      </w:r>
      <w:r w:rsidRPr="00054889">
        <w:rPr>
          <w:rFonts w:ascii="Lato" w:eastAsiaTheme="minorHAnsi" w:hAnsi="Lato" w:cstheme="minorBidi"/>
          <w:kern w:val="2"/>
          <w:sz w:val="20"/>
          <w:szCs w:val="20"/>
          <w:lang w:eastAsia="en-US"/>
          <w14:ligatures w14:val="standardContextual"/>
        </w:rPr>
        <w:t xml:space="preserve"> umożliwiać ocenę ich rzeczywistych zdolności realizacyjnych, a jednocześnie nie prowadzić do nadmiernego ograniczenia dostępu do rynku. Wymogi dotyczące referencji powinny być skonstruowane w sposób pozwalający na potwierdzenie kompetencji technicznych i</w:t>
      </w:r>
      <w:r w:rsidR="003136D0" w:rsidRPr="00054889">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organizacyjnych adekwatnych do skali oraz charakteru zamówienia</w:t>
      </w:r>
      <w:r w:rsidR="00FD79EE" w:rsidRPr="00054889">
        <w:rPr>
          <w:rFonts w:ascii="Lato" w:eastAsiaTheme="minorHAnsi" w:hAnsi="Lato" w:cstheme="minorBidi"/>
          <w:kern w:val="2"/>
          <w:sz w:val="20"/>
          <w:szCs w:val="20"/>
          <w:lang w:eastAsia="en-US"/>
          <w14:ligatures w14:val="standardContextual"/>
        </w:rPr>
        <w:t xml:space="preserve"> </w:t>
      </w:r>
      <w:r w:rsidR="002621DD" w:rsidRPr="00054889">
        <w:rPr>
          <w:rFonts w:ascii="Lato" w:eastAsiaTheme="minorHAnsi" w:hAnsi="Lato" w:cstheme="minorBidi"/>
          <w:kern w:val="2"/>
          <w:sz w:val="20"/>
          <w:szCs w:val="20"/>
          <w:lang w:eastAsia="en-US"/>
          <w14:ligatures w14:val="standardContextual"/>
        </w:rPr>
        <w:t xml:space="preserve">udzielanego </w:t>
      </w:r>
      <w:r w:rsidR="00FD79EE" w:rsidRPr="00054889">
        <w:rPr>
          <w:rFonts w:ascii="Lato" w:eastAsiaTheme="minorHAnsi" w:hAnsi="Lato" w:cstheme="minorBidi"/>
          <w:kern w:val="2"/>
          <w:sz w:val="20"/>
          <w:szCs w:val="20"/>
          <w:lang w:eastAsia="en-US"/>
          <w14:ligatures w14:val="standardContextual"/>
        </w:rPr>
        <w:t>na potrzeby kluczow</w:t>
      </w:r>
      <w:r w:rsidR="002621DD" w:rsidRPr="00054889">
        <w:rPr>
          <w:rFonts w:ascii="Lato" w:eastAsiaTheme="minorHAnsi" w:hAnsi="Lato" w:cstheme="minorBidi"/>
          <w:kern w:val="2"/>
          <w:sz w:val="20"/>
          <w:szCs w:val="20"/>
          <w:lang w:eastAsia="en-US"/>
          <w14:ligatures w14:val="standardContextual"/>
        </w:rPr>
        <w:t>ego</w:t>
      </w:r>
      <w:r w:rsidR="00FD79EE" w:rsidRPr="00054889">
        <w:rPr>
          <w:rFonts w:ascii="Lato" w:eastAsiaTheme="minorHAnsi" w:hAnsi="Lato" w:cstheme="minorBidi"/>
          <w:kern w:val="2"/>
          <w:sz w:val="20"/>
          <w:szCs w:val="20"/>
          <w:lang w:eastAsia="en-US"/>
          <w14:ligatures w14:val="standardContextual"/>
        </w:rPr>
        <w:t xml:space="preserve"> proces</w:t>
      </w:r>
      <w:r w:rsidR="002621DD" w:rsidRPr="00054889">
        <w:rPr>
          <w:rFonts w:ascii="Lato" w:eastAsiaTheme="minorHAnsi" w:hAnsi="Lato" w:cstheme="minorBidi"/>
          <w:kern w:val="2"/>
          <w:sz w:val="20"/>
          <w:szCs w:val="20"/>
          <w:lang w:eastAsia="en-US"/>
          <w14:ligatures w14:val="standardContextual"/>
        </w:rPr>
        <w:t>u</w:t>
      </w:r>
      <w:r w:rsidR="00FD79EE" w:rsidRPr="00054889">
        <w:rPr>
          <w:rFonts w:ascii="Lato" w:eastAsiaTheme="minorHAnsi" w:hAnsi="Lato" w:cstheme="minorBidi"/>
          <w:kern w:val="2"/>
          <w:sz w:val="20"/>
          <w:szCs w:val="20"/>
          <w:lang w:eastAsia="en-US"/>
          <w14:ligatures w14:val="standardContextual"/>
        </w:rPr>
        <w:t xml:space="preserve"> inwestycyjn</w:t>
      </w:r>
      <w:r w:rsidR="002621DD" w:rsidRPr="00054889">
        <w:rPr>
          <w:rFonts w:ascii="Lato" w:eastAsiaTheme="minorHAnsi" w:hAnsi="Lato" w:cstheme="minorBidi"/>
          <w:kern w:val="2"/>
          <w:sz w:val="20"/>
          <w:szCs w:val="20"/>
          <w:lang w:eastAsia="en-US"/>
          <w14:ligatures w14:val="standardContextual"/>
        </w:rPr>
        <w:t>ego</w:t>
      </w:r>
      <w:r w:rsidRPr="00054889">
        <w:rPr>
          <w:rFonts w:ascii="Lato" w:eastAsiaTheme="minorHAnsi" w:hAnsi="Lato" w:cstheme="minorBidi"/>
          <w:kern w:val="2"/>
          <w:sz w:val="20"/>
          <w:szCs w:val="20"/>
          <w:lang w:eastAsia="en-US"/>
          <w14:ligatures w14:val="standardContextual"/>
        </w:rPr>
        <w:t>.</w:t>
      </w:r>
    </w:p>
    <w:p w14:paraId="4D604225" w14:textId="19DA3BC9" w:rsidR="00A069DB" w:rsidRPr="00054889" w:rsidRDefault="00A63F27" w:rsidP="00C859A0">
      <w:pPr>
        <w:pStyle w:val="NormalnyWeb"/>
        <w:widowControl w:val="0"/>
        <w:numPr>
          <w:ilvl w:val="1"/>
          <w:numId w:val="31"/>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Zbyt sztywne lub formalistyczne podejście do oceny doświadczenia może utrwalać dominację wąskiej grupy wykonawców i ograniczać rozwój nowych podmiotów. Precyzyjnie określone, proporcjonalne i elastyczne zasady potwierdzania realizacji projektów sprzyjają szerszemu udziałowi przedsiębiorstw działających w kraju, umożliwiają stopniowe budowanie historii wykonawczej oraz wzmacniają relacje</w:t>
      </w:r>
      <w:r w:rsidR="003136D0"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 xml:space="preserve">w ramach krajowych łańcuchów dostaw. </w:t>
      </w:r>
      <w:r w:rsidR="00D256C7">
        <w:rPr>
          <w:rFonts w:ascii="Lato" w:eastAsiaTheme="minorHAnsi" w:hAnsi="Lato" w:cstheme="minorBidi"/>
          <w:kern w:val="2"/>
          <w:sz w:val="20"/>
          <w:szCs w:val="20"/>
          <w:lang w:eastAsia="en-US"/>
          <w14:ligatures w14:val="standardContextual"/>
        </w:rPr>
        <w:t>P</w:t>
      </w:r>
      <w:r w:rsidR="00D256C7" w:rsidRPr="00054889">
        <w:rPr>
          <w:rFonts w:ascii="Lato" w:eastAsiaTheme="minorHAnsi" w:hAnsi="Lato" w:cstheme="minorBidi"/>
          <w:kern w:val="2"/>
          <w:sz w:val="20"/>
          <w:szCs w:val="20"/>
          <w:lang w:eastAsia="en-US"/>
          <w14:ligatures w14:val="standardContextual"/>
        </w:rPr>
        <w:t xml:space="preserve">rowadzi </w:t>
      </w:r>
      <w:r w:rsidR="00D256C7">
        <w:rPr>
          <w:rFonts w:ascii="Lato" w:eastAsiaTheme="minorHAnsi" w:hAnsi="Lato" w:cstheme="minorBidi"/>
          <w:kern w:val="2"/>
          <w:sz w:val="20"/>
          <w:szCs w:val="20"/>
          <w:lang w:eastAsia="en-US"/>
          <w14:ligatures w14:val="standardContextual"/>
        </w:rPr>
        <w:t xml:space="preserve">to </w:t>
      </w:r>
      <w:r w:rsidRPr="00054889">
        <w:rPr>
          <w:rFonts w:ascii="Lato" w:eastAsiaTheme="minorHAnsi" w:hAnsi="Lato" w:cstheme="minorBidi"/>
          <w:kern w:val="2"/>
          <w:sz w:val="20"/>
          <w:szCs w:val="20"/>
          <w:lang w:eastAsia="en-US"/>
          <w14:ligatures w14:val="standardContextual"/>
        </w:rPr>
        <w:t>do zwiększenia dynamiki konkurencji, ułatwia rozwój firm wchodzących do łańcuchów dostaw oraz sprzyja utrwalaniu kompetencji wykonawczych w krajowym obrocie gospodarczym.</w:t>
      </w:r>
    </w:p>
    <w:p w14:paraId="2C19E8A4" w14:textId="48127FF8" w:rsidR="00B149FF" w:rsidRPr="00054889" w:rsidRDefault="00A63F27"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Rekomenduje się w szczególności:</w:t>
      </w:r>
    </w:p>
    <w:p w14:paraId="0CF51722" w14:textId="77777777" w:rsidR="00F330B9" w:rsidRPr="00054889" w:rsidRDefault="00A63F27" w:rsidP="00FD2F03">
      <w:pPr>
        <w:pStyle w:val="NormalnyWeb"/>
        <w:widowControl w:val="0"/>
        <w:numPr>
          <w:ilvl w:val="1"/>
          <w:numId w:val="13"/>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Określanie wymaganego doświadczenia w powiązaniu z rzeczywistym zakresem zamówienia</w:t>
      </w:r>
    </w:p>
    <w:p w14:paraId="476CD5D0" w14:textId="7FEC9246" w:rsidR="004F75D4" w:rsidRPr="00054889" w:rsidRDefault="00A63F27"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Dostosowywanie </w:t>
      </w:r>
      <w:r w:rsidR="00EF2A45">
        <w:rPr>
          <w:rFonts w:ascii="Lato" w:eastAsiaTheme="minorHAnsi" w:hAnsi="Lato" w:cstheme="minorBidi"/>
          <w:kern w:val="2"/>
          <w:sz w:val="20"/>
          <w:szCs w:val="20"/>
          <w:lang w:eastAsia="en-US"/>
          <w14:ligatures w14:val="standardContextual"/>
        </w:rPr>
        <w:t xml:space="preserve">przez </w:t>
      </w:r>
      <w:r w:rsidR="00EF2A45">
        <w:rPr>
          <w:rFonts w:ascii="Lato" w:eastAsiaTheme="minorHAnsi" w:hAnsi="Lato" w:cstheme="minorBidi"/>
          <w:bCs/>
          <w:kern w:val="2"/>
          <w:sz w:val="20"/>
          <w:szCs w:val="20"/>
          <w:lang w:eastAsia="en-US"/>
          <w14:ligatures w14:val="standardContextual"/>
        </w:rPr>
        <w:t>s</w:t>
      </w:r>
      <w:r w:rsidR="00EF2A45" w:rsidRPr="00054889">
        <w:rPr>
          <w:rFonts w:ascii="Lato" w:eastAsiaTheme="minorHAnsi" w:hAnsi="Lato" w:cstheme="minorBidi"/>
          <w:bCs/>
          <w:kern w:val="2"/>
          <w:sz w:val="20"/>
          <w:szCs w:val="20"/>
          <w:lang w:eastAsia="en-US"/>
          <w14:ligatures w14:val="standardContextual"/>
        </w:rPr>
        <w:t xml:space="preserve">półki </w:t>
      </w:r>
      <w:r w:rsidR="00EF2A45">
        <w:rPr>
          <w:rFonts w:ascii="Lato" w:eastAsiaTheme="minorHAnsi" w:hAnsi="Lato" w:cstheme="minorBidi"/>
          <w:bCs/>
          <w:kern w:val="2"/>
          <w:sz w:val="20"/>
          <w:szCs w:val="20"/>
          <w:lang w:eastAsia="en-US"/>
          <w14:ligatures w14:val="standardContextual"/>
        </w:rPr>
        <w:t>z udziałem Skarbu Państwa</w:t>
      </w:r>
      <w:r w:rsidR="00EF2A45" w:rsidRPr="00054889">
        <w:rPr>
          <w:rFonts w:ascii="Lato" w:eastAsiaTheme="minorHAnsi" w:hAnsi="Lato" w:cstheme="minorBidi"/>
          <w:bCs/>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poziomu i rodzaju wymaganych referencji do przedmiotu zamówienia oraz poziomu ryzyka związanego z jego realizacją. Zakres doświadczenia powinien odpowiadać istotnym elementom zamówienia, a nie wykraczać poza to, co niezbędne do potwierdzenia zdolności wykonawcy.</w:t>
      </w:r>
      <w:r w:rsidR="00D82EF2" w:rsidRPr="00054889">
        <w:rPr>
          <w:rFonts w:asciiTheme="minorHAnsi" w:eastAsiaTheme="minorHAnsi" w:hAnsiTheme="minorHAnsi" w:cstheme="minorBidi"/>
          <w:kern w:val="2"/>
          <w:lang w:eastAsia="en-US"/>
          <w14:ligatures w14:val="standardContextual"/>
        </w:rPr>
        <w:t xml:space="preserve"> </w:t>
      </w:r>
      <w:r w:rsidR="00EF2A45">
        <w:rPr>
          <w:rFonts w:ascii="Lato" w:eastAsiaTheme="minorHAnsi" w:hAnsi="Lato" w:cstheme="minorBidi"/>
          <w:kern w:val="2"/>
          <w:sz w:val="20"/>
          <w:szCs w:val="20"/>
          <w:lang w:eastAsia="en-US"/>
          <w14:ligatures w14:val="standardContextual"/>
        </w:rPr>
        <w:t>S</w:t>
      </w:r>
      <w:r w:rsidR="00EF2A45" w:rsidRPr="00EF2A45">
        <w:rPr>
          <w:rFonts w:ascii="Lato" w:eastAsiaTheme="minorHAnsi" w:hAnsi="Lato" w:cstheme="minorBidi"/>
          <w:kern w:val="2"/>
          <w:sz w:val="20"/>
          <w:szCs w:val="20"/>
          <w:lang w:eastAsia="en-US"/>
          <w14:ligatures w14:val="standardContextual"/>
        </w:rPr>
        <w:t xml:space="preserve">półki z udziałem Skarbu Państwa </w:t>
      </w:r>
      <w:r w:rsidR="00D82EF2" w:rsidRPr="00054889">
        <w:rPr>
          <w:rFonts w:ascii="Lato" w:eastAsiaTheme="minorHAnsi" w:hAnsi="Lato" w:cstheme="minorBidi"/>
          <w:kern w:val="2"/>
          <w:sz w:val="20"/>
          <w:szCs w:val="20"/>
          <w:lang w:eastAsia="en-US"/>
          <w14:ligatures w14:val="standardContextual"/>
        </w:rPr>
        <w:t>powinn</w:t>
      </w:r>
      <w:r w:rsidR="00EF2A45">
        <w:rPr>
          <w:rFonts w:ascii="Lato" w:eastAsiaTheme="minorHAnsi" w:hAnsi="Lato" w:cstheme="minorBidi"/>
          <w:kern w:val="2"/>
          <w:sz w:val="20"/>
          <w:szCs w:val="20"/>
          <w:lang w:eastAsia="en-US"/>
          <w14:ligatures w14:val="standardContextual"/>
        </w:rPr>
        <w:t>y</w:t>
      </w:r>
      <w:r w:rsidR="00D82EF2" w:rsidRPr="00054889">
        <w:rPr>
          <w:rFonts w:ascii="Lato" w:eastAsiaTheme="minorHAnsi" w:hAnsi="Lato" w:cstheme="minorBidi"/>
          <w:kern w:val="2"/>
          <w:sz w:val="20"/>
          <w:szCs w:val="20"/>
          <w:lang w:eastAsia="en-US"/>
          <w14:ligatures w14:val="standardContextual"/>
        </w:rPr>
        <w:t xml:space="preserve"> przeprowadzać dla każdego zamówienia analizę, jakie elementy lub komponenty danego zamówienia niosą ze sobą największe ryzyko realizacyjne i które elementy wymagają udowodnienia doświadczenia. Wymagania dotyczące referencji powinny być sformułowane w sposób bezpośrednio powiązany z tymi elementami o wysokim ryzyku, a nie z całym zakresem zamówienia.</w:t>
      </w:r>
      <w:r w:rsidR="00B13A9D">
        <w:rPr>
          <w:rFonts w:ascii="Lato" w:eastAsiaTheme="minorHAnsi" w:hAnsi="Lato" w:cstheme="minorBidi"/>
          <w:kern w:val="2"/>
          <w:sz w:val="20"/>
          <w:szCs w:val="20"/>
          <w:lang w:eastAsia="en-US"/>
          <w14:ligatures w14:val="standardContextual"/>
        </w:rPr>
        <w:t xml:space="preserve"> Nie zawsze konieczne jest stawianie wymogów w</w:t>
      </w:r>
      <w:r w:rsidR="0000335F">
        <w:rPr>
          <w:rFonts w:ascii="Lato" w:eastAsiaTheme="minorHAnsi" w:hAnsi="Lato" w:cstheme="minorBidi"/>
          <w:kern w:val="2"/>
          <w:sz w:val="20"/>
          <w:szCs w:val="20"/>
          <w:lang w:eastAsia="en-US"/>
          <w14:ligatures w14:val="standardContextual"/>
        </w:rPr>
        <w:t> </w:t>
      </w:r>
      <w:r w:rsidR="00B13A9D">
        <w:rPr>
          <w:rFonts w:ascii="Lato" w:eastAsiaTheme="minorHAnsi" w:hAnsi="Lato" w:cstheme="minorBidi"/>
          <w:kern w:val="2"/>
          <w:sz w:val="20"/>
          <w:szCs w:val="20"/>
          <w:lang w:eastAsia="en-US"/>
          <w14:ligatures w14:val="standardContextual"/>
        </w:rPr>
        <w:t>zakresie doświadczenia w realizacji projektów za granicą</w:t>
      </w:r>
      <w:r w:rsidR="00E9073A">
        <w:rPr>
          <w:rFonts w:ascii="Lato" w:eastAsiaTheme="minorHAnsi" w:hAnsi="Lato" w:cstheme="minorBidi"/>
          <w:kern w:val="2"/>
          <w:sz w:val="20"/>
          <w:szCs w:val="20"/>
          <w:lang w:eastAsia="en-US"/>
          <w14:ligatures w14:val="standardContextual"/>
        </w:rPr>
        <w:t xml:space="preserve">, bo to może mieć charakter wykluczający. </w:t>
      </w:r>
    </w:p>
    <w:p w14:paraId="68E6B27B" w14:textId="77777777" w:rsidR="00F330B9" w:rsidRPr="00054889" w:rsidRDefault="00A63F27" w:rsidP="00FD2F03">
      <w:pPr>
        <w:pStyle w:val="NormalnyWeb"/>
        <w:widowControl w:val="0"/>
        <w:numPr>
          <w:ilvl w:val="1"/>
          <w:numId w:val="13"/>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lastRenderedPageBreak/>
        <w:t xml:space="preserve">Uwzględnianie </w:t>
      </w:r>
      <w:r w:rsidR="00AF5E00" w:rsidRPr="00054889">
        <w:rPr>
          <w:rFonts w:ascii="Lato" w:eastAsiaTheme="minorHAnsi" w:hAnsi="Lato" w:cstheme="minorBidi"/>
          <w:b/>
          <w:bCs/>
          <w:kern w:val="2"/>
          <w:sz w:val="20"/>
          <w:szCs w:val="20"/>
          <w:lang w:eastAsia="en-US"/>
          <w14:ligatures w14:val="standardContextual"/>
        </w:rPr>
        <w:t xml:space="preserve">doświadczenia </w:t>
      </w:r>
      <w:r w:rsidRPr="00054889">
        <w:rPr>
          <w:rFonts w:ascii="Lato" w:eastAsiaTheme="minorHAnsi" w:hAnsi="Lato" w:cstheme="minorBidi"/>
          <w:b/>
          <w:bCs/>
          <w:kern w:val="2"/>
          <w:sz w:val="20"/>
          <w:szCs w:val="20"/>
          <w:lang w:eastAsia="en-US"/>
          <w14:ligatures w14:val="standardContextual"/>
        </w:rPr>
        <w:t>w zbliżonych warunkach technicznych lub regulacyjnych</w:t>
      </w:r>
    </w:p>
    <w:p w14:paraId="2266887A" w14:textId="671388EF" w:rsidR="004F75D4" w:rsidRPr="00054889" w:rsidRDefault="00A63F27"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Dopuszczanie </w:t>
      </w:r>
      <w:r w:rsidR="00EF2A45">
        <w:rPr>
          <w:rFonts w:ascii="Lato" w:eastAsiaTheme="minorHAnsi" w:hAnsi="Lato" w:cstheme="minorBidi"/>
          <w:kern w:val="2"/>
          <w:sz w:val="20"/>
          <w:szCs w:val="20"/>
          <w:lang w:eastAsia="en-US"/>
          <w14:ligatures w14:val="standardContextual"/>
        </w:rPr>
        <w:t xml:space="preserve">przez </w:t>
      </w:r>
      <w:r w:rsidR="00EF2A45">
        <w:rPr>
          <w:rFonts w:ascii="Lato" w:eastAsiaTheme="minorHAnsi" w:hAnsi="Lato" w:cstheme="minorBidi"/>
          <w:bCs/>
          <w:kern w:val="2"/>
          <w:sz w:val="20"/>
          <w:szCs w:val="20"/>
          <w:lang w:eastAsia="en-US"/>
          <w14:ligatures w14:val="standardContextual"/>
        </w:rPr>
        <w:t>s</w:t>
      </w:r>
      <w:r w:rsidR="00EF2A45" w:rsidRPr="00054889">
        <w:rPr>
          <w:rFonts w:ascii="Lato" w:eastAsiaTheme="minorHAnsi" w:hAnsi="Lato" w:cstheme="minorBidi"/>
          <w:bCs/>
          <w:kern w:val="2"/>
          <w:sz w:val="20"/>
          <w:szCs w:val="20"/>
          <w:lang w:eastAsia="en-US"/>
          <w14:ligatures w14:val="standardContextual"/>
        </w:rPr>
        <w:t xml:space="preserve">półki </w:t>
      </w:r>
      <w:r w:rsidR="00EF2A45">
        <w:rPr>
          <w:rFonts w:ascii="Lato" w:eastAsiaTheme="minorHAnsi" w:hAnsi="Lato" w:cstheme="minorBidi"/>
          <w:bCs/>
          <w:kern w:val="2"/>
          <w:sz w:val="20"/>
          <w:szCs w:val="20"/>
          <w:lang w:eastAsia="en-US"/>
          <w14:ligatures w14:val="standardContextual"/>
        </w:rPr>
        <w:t>z udziałem Skarbu Państwa</w:t>
      </w:r>
      <w:r w:rsidR="00EF2A45" w:rsidRPr="00054889">
        <w:rPr>
          <w:rFonts w:ascii="Lato" w:eastAsiaTheme="minorHAnsi" w:hAnsi="Lato" w:cstheme="minorBidi"/>
          <w:bCs/>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doświadczenia zdobytego przy realizacji projektów o podobnym charakterze technologicznym, organizacyjnym lub prawnym, jeżeli ma to znaczenie dla jakości i bezpieczeństwa wykonania zamówienia.</w:t>
      </w:r>
      <w:r w:rsidR="00C431DA" w:rsidRPr="00054889">
        <w:rPr>
          <w:rFonts w:ascii="Lato" w:eastAsiaTheme="minorHAnsi" w:hAnsi="Lato" w:cstheme="minorBidi"/>
          <w:kern w:val="2"/>
          <w:sz w:val="20"/>
          <w:szCs w:val="20"/>
          <w:lang w:eastAsia="en-US"/>
          <w14:ligatures w14:val="standardContextual"/>
        </w:rPr>
        <w:t xml:space="preserve"> Wymóg wykazania doświadczenia w dokładnie tej samej branży lub sektorze może być nieuzasadniony, jeśli elementy techniczne są podobne lub transferowalne między branżami. </w:t>
      </w:r>
      <w:r w:rsidR="00EF2A45">
        <w:rPr>
          <w:rFonts w:ascii="Lato" w:eastAsiaTheme="minorHAnsi" w:hAnsi="Lato" w:cstheme="minorBidi"/>
          <w:kern w:val="2"/>
          <w:sz w:val="20"/>
          <w:szCs w:val="20"/>
          <w:lang w:eastAsia="en-US"/>
          <w14:ligatures w14:val="standardContextual"/>
        </w:rPr>
        <w:t>S</w:t>
      </w:r>
      <w:r w:rsidR="00EF2A45" w:rsidRPr="00EF2A45">
        <w:rPr>
          <w:rFonts w:ascii="Lato" w:eastAsiaTheme="minorHAnsi" w:hAnsi="Lato" w:cstheme="minorBidi"/>
          <w:kern w:val="2"/>
          <w:sz w:val="20"/>
          <w:szCs w:val="20"/>
          <w:lang w:eastAsia="en-US"/>
          <w14:ligatures w14:val="standardContextual"/>
        </w:rPr>
        <w:t xml:space="preserve">półki z udziałem Skarbu Państwa </w:t>
      </w:r>
      <w:r w:rsidR="00C431DA" w:rsidRPr="00054889">
        <w:rPr>
          <w:rFonts w:ascii="Lato" w:eastAsiaTheme="minorHAnsi" w:hAnsi="Lato" w:cstheme="minorBidi"/>
          <w:kern w:val="2"/>
          <w:sz w:val="20"/>
          <w:szCs w:val="20"/>
          <w:lang w:eastAsia="en-US"/>
          <w14:ligatures w14:val="standardContextual"/>
        </w:rPr>
        <w:t>powinn</w:t>
      </w:r>
      <w:r w:rsidR="00EF2A45">
        <w:rPr>
          <w:rFonts w:ascii="Lato" w:eastAsiaTheme="minorHAnsi" w:hAnsi="Lato" w:cstheme="minorBidi"/>
          <w:kern w:val="2"/>
          <w:sz w:val="20"/>
          <w:szCs w:val="20"/>
          <w:lang w:eastAsia="en-US"/>
          <w14:ligatures w14:val="standardContextual"/>
        </w:rPr>
        <w:t>y</w:t>
      </w:r>
      <w:r w:rsidR="00C431DA" w:rsidRPr="00054889">
        <w:rPr>
          <w:rFonts w:ascii="Lato" w:eastAsiaTheme="minorHAnsi" w:hAnsi="Lato" w:cstheme="minorBidi"/>
          <w:kern w:val="2"/>
          <w:sz w:val="20"/>
          <w:szCs w:val="20"/>
          <w:lang w:eastAsia="en-US"/>
          <w14:ligatures w14:val="standardContextual"/>
        </w:rPr>
        <w:t xml:space="preserve"> dopuszczać wykazanie doświadczenia w warunkach technicznych lub regulacyjnych zbliżonych do wymaganych, a nie wymagać wyłącznie doświadczenia w tej samej branży. Przy ocenie równoważności doświadczenia </w:t>
      </w:r>
      <w:r w:rsidR="00EF2A45" w:rsidRPr="00EF2A45">
        <w:rPr>
          <w:rFonts w:ascii="Lato" w:eastAsiaTheme="minorHAnsi" w:hAnsi="Lato" w:cstheme="minorBidi"/>
          <w:kern w:val="2"/>
          <w:sz w:val="20"/>
          <w:szCs w:val="20"/>
          <w:lang w:eastAsia="en-US"/>
          <w14:ligatures w14:val="standardContextual"/>
        </w:rPr>
        <w:t xml:space="preserve">spółki z udziałem Skarbu Państwa </w:t>
      </w:r>
      <w:r w:rsidR="00C431DA" w:rsidRPr="00054889">
        <w:rPr>
          <w:rFonts w:ascii="Lato" w:eastAsiaTheme="minorHAnsi" w:hAnsi="Lato" w:cstheme="minorBidi"/>
          <w:kern w:val="2"/>
          <w:sz w:val="20"/>
          <w:szCs w:val="20"/>
          <w:lang w:eastAsia="en-US"/>
          <w14:ligatures w14:val="standardContextual"/>
        </w:rPr>
        <w:t>powinn</w:t>
      </w:r>
      <w:r w:rsidR="00EF2A45">
        <w:rPr>
          <w:rFonts w:ascii="Lato" w:eastAsiaTheme="minorHAnsi" w:hAnsi="Lato" w:cstheme="minorBidi"/>
          <w:kern w:val="2"/>
          <w:sz w:val="20"/>
          <w:szCs w:val="20"/>
          <w:lang w:eastAsia="en-US"/>
          <w14:ligatures w14:val="standardContextual"/>
        </w:rPr>
        <w:t>y też</w:t>
      </w:r>
      <w:r w:rsidR="00C431DA" w:rsidRPr="00054889">
        <w:rPr>
          <w:rFonts w:ascii="Lato" w:eastAsiaTheme="minorHAnsi" w:hAnsi="Lato" w:cstheme="minorBidi"/>
          <w:kern w:val="2"/>
          <w:sz w:val="20"/>
          <w:szCs w:val="20"/>
          <w:lang w:eastAsia="en-US"/>
          <w14:ligatures w14:val="standardContextual"/>
        </w:rPr>
        <w:t xml:space="preserve"> brać pod uwagę transferowalne kompetencje, takie jak zdolności zarządcze, doświadczenie w zarządzaniu ryzykiem, czy doświadczenie w pracy w zbliżonych warunkach regulacyjnych (na przykład wymogi bezpieczeństwa, wymogi środowiskowe, wymogi dotyczące dokumentacji).</w:t>
      </w:r>
    </w:p>
    <w:p w14:paraId="4B016DC0" w14:textId="77777777" w:rsidR="00F330B9" w:rsidRPr="00054889" w:rsidRDefault="00A63F27" w:rsidP="00FD2F03">
      <w:pPr>
        <w:pStyle w:val="NormalnyWeb"/>
        <w:widowControl w:val="0"/>
        <w:numPr>
          <w:ilvl w:val="1"/>
          <w:numId w:val="13"/>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Zapewnienie przejrzystych zasad wystawiania referencji</w:t>
      </w:r>
    </w:p>
    <w:p w14:paraId="6DFCCD06" w14:textId="72E80B2B" w:rsidR="00B149FF" w:rsidRPr="00054889" w:rsidRDefault="00A63F27"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Konstruowanie jasnych reguł wydawania potwierdzeń należytego wykonania po zakończeniu projektu lub jego kluczowych etapów. Umożliwia to wykonawcom systematyczne budowanie wiarygodności oraz zwiększa przejrzystość rynku.</w:t>
      </w:r>
    </w:p>
    <w:p w14:paraId="606D2782" w14:textId="64344A1C" w:rsidR="00A35369" w:rsidRPr="0081437C" w:rsidRDefault="00EF2A45"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Wskazane jest</w:t>
      </w:r>
      <w:r w:rsidR="00A35369" w:rsidRPr="0081437C">
        <w:rPr>
          <w:rFonts w:ascii="Lato" w:eastAsiaTheme="minorHAnsi" w:hAnsi="Lato" w:cstheme="minorBidi"/>
          <w:kern w:val="2"/>
          <w:sz w:val="20"/>
          <w:szCs w:val="20"/>
          <w:lang w:eastAsia="en-US"/>
          <w14:ligatures w14:val="standardContextual"/>
        </w:rPr>
        <w:t xml:space="preserve"> opracowa</w:t>
      </w:r>
      <w:r>
        <w:rPr>
          <w:rFonts w:ascii="Lato" w:eastAsiaTheme="minorHAnsi" w:hAnsi="Lato" w:cstheme="minorBidi"/>
          <w:kern w:val="2"/>
          <w:sz w:val="20"/>
          <w:szCs w:val="20"/>
          <w:lang w:eastAsia="en-US"/>
          <w14:ligatures w14:val="standardContextual"/>
        </w:rPr>
        <w:t>nie</w:t>
      </w:r>
      <w:r w:rsidR="00A35369" w:rsidRPr="0081437C">
        <w:rPr>
          <w:rFonts w:ascii="Lato" w:eastAsiaTheme="minorHAnsi" w:hAnsi="Lato" w:cstheme="minorBidi"/>
          <w:kern w:val="2"/>
          <w:sz w:val="20"/>
          <w:szCs w:val="20"/>
          <w:lang w:eastAsia="en-US"/>
          <w14:ligatures w14:val="standardContextual"/>
        </w:rPr>
        <w:t xml:space="preserve"> i opublikowa</w:t>
      </w:r>
      <w:r>
        <w:rPr>
          <w:rFonts w:ascii="Lato" w:eastAsiaTheme="minorHAnsi" w:hAnsi="Lato" w:cstheme="minorBidi"/>
          <w:kern w:val="2"/>
          <w:sz w:val="20"/>
          <w:szCs w:val="20"/>
          <w:lang w:eastAsia="en-US"/>
          <w14:ligatures w14:val="standardContextual"/>
        </w:rPr>
        <w:t>nie</w:t>
      </w:r>
      <w:r w:rsidR="00A35369" w:rsidRPr="0081437C">
        <w:rPr>
          <w:rFonts w:ascii="Lato" w:eastAsiaTheme="minorHAnsi" w:hAnsi="Lato" w:cstheme="minorBidi"/>
          <w:kern w:val="2"/>
          <w:sz w:val="20"/>
          <w:szCs w:val="20"/>
          <w:lang w:eastAsia="en-US"/>
          <w14:ligatures w14:val="standardContextual"/>
        </w:rPr>
        <w:t xml:space="preserve"> jasn</w:t>
      </w:r>
      <w:r>
        <w:rPr>
          <w:rFonts w:ascii="Lato" w:eastAsiaTheme="minorHAnsi" w:hAnsi="Lato" w:cstheme="minorBidi"/>
          <w:kern w:val="2"/>
          <w:sz w:val="20"/>
          <w:szCs w:val="20"/>
          <w:lang w:eastAsia="en-US"/>
          <w14:ligatures w14:val="standardContextual"/>
        </w:rPr>
        <w:t>ych</w:t>
      </w:r>
      <w:r w:rsidR="00A35369" w:rsidRPr="0081437C">
        <w:rPr>
          <w:rFonts w:ascii="Lato" w:eastAsiaTheme="minorHAnsi" w:hAnsi="Lato" w:cstheme="minorBidi"/>
          <w:kern w:val="2"/>
          <w:sz w:val="20"/>
          <w:szCs w:val="20"/>
          <w:lang w:eastAsia="en-US"/>
          <w14:ligatures w14:val="standardContextual"/>
        </w:rPr>
        <w:t xml:space="preserve"> zasad, na podstawie których będ</w:t>
      </w:r>
      <w:r>
        <w:rPr>
          <w:rFonts w:ascii="Lato" w:eastAsiaTheme="minorHAnsi" w:hAnsi="Lato" w:cstheme="minorBidi"/>
          <w:kern w:val="2"/>
          <w:sz w:val="20"/>
          <w:szCs w:val="20"/>
          <w:lang w:eastAsia="en-US"/>
          <w14:ligatures w14:val="standardContextual"/>
        </w:rPr>
        <w:t>ą</w:t>
      </w:r>
      <w:r w:rsidR="00A35369" w:rsidRPr="0081437C">
        <w:rPr>
          <w:rFonts w:ascii="Lato" w:eastAsiaTheme="minorHAnsi" w:hAnsi="Lato" w:cstheme="minorBidi"/>
          <w:kern w:val="2"/>
          <w:sz w:val="20"/>
          <w:szCs w:val="20"/>
          <w:lang w:eastAsia="en-US"/>
          <w14:ligatures w14:val="standardContextual"/>
        </w:rPr>
        <w:t xml:space="preserve"> wystawia</w:t>
      </w:r>
      <w:r>
        <w:rPr>
          <w:rFonts w:ascii="Lato" w:eastAsiaTheme="minorHAnsi" w:hAnsi="Lato" w:cstheme="minorBidi"/>
          <w:kern w:val="2"/>
          <w:sz w:val="20"/>
          <w:szCs w:val="20"/>
          <w:lang w:eastAsia="en-US"/>
          <w14:ligatures w14:val="standardContextual"/>
        </w:rPr>
        <w:t>ne</w:t>
      </w:r>
      <w:r w:rsidR="00A35369" w:rsidRPr="0081437C">
        <w:rPr>
          <w:rFonts w:ascii="Lato" w:eastAsiaTheme="minorHAnsi" w:hAnsi="Lato" w:cstheme="minorBidi"/>
          <w:kern w:val="2"/>
          <w:sz w:val="20"/>
          <w:szCs w:val="20"/>
          <w:lang w:eastAsia="en-US"/>
          <w14:ligatures w14:val="standardContextual"/>
        </w:rPr>
        <w:t xml:space="preserve"> referencje dla wykonawców realizujących zamówienia</w:t>
      </w:r>
      <w:r>
        <w:rPr>
          <w:rFonts w:ascii="Lato" w:eastAsiaTheme="minorHAnsi" w:hAnsi="Lato" w:cstheme="minorBidi"/>
          <w:kern w:val="2"/>
          <w:sz w:val="20"/>
          <w:szCs w:val="20"/>
          <w:lang w:eastAsia="en-US"/>
          <w14:ligatures w14:val="standardContextual"/>
        </w:rPr>
        <w:t xml:space="preserve"> na potrzeby kluczowych procesów inwestycyjnych</w:t>
      </w:r>
      <w:r w:rsidR="00A35369" w:rsidRPr="0081437C">
        <w:rPr>
          <w:rFonts w:ascii="Lato" w:eastAsiaTheme="minorHAnsi" w:hAnsi="Lato" w:cstheme="minorBidi"/>
          <w:kern w:val="2"/>
          <w:sz w:val="20"/>
          <w:szCs w:val="20"/>
          <w:lang w:eastAsia="en-US"/>
          <w14:ligatures w14:val="standardContextual"/>
        </w:rPr>
        <w:t xml:space="preserve">. Zasady powinny określać, za jakie warunki realizacji (np. termin, jakość, bezpieczeństwo) </w:t>
      </w:r>
      <w:r>
        <w:rPr>
          <w:rFonts w:ascii="Lato" w:eastAsiaTheme="minorHAnsi" w:hAnsi="Lato" w:cstheme="minorBidi"/>
          <w:kern w:val="2"/>
          <w:sz w:val="20"/>
          <w:szCs w:val="20"/>
          <w:lang w:eastAsia="en-US"/>
          <w14:ligatures w14:val="standardContextual"/>
        </w:rPr>
        <w:t>dana s</w:t>
      </w:r>
      <w:r w:rsidR="00A35369" w:rsidRPr="0081437C">
        <w:rPr>
          <w:rFonts w:ascii="Lato" w:eastAsiaTheme="minorHAnsi" w:hAnsi="Lato" w:cstheme="minorBidi"/>
          <w:kern w:val="2"/>
          <w:sz w:val="20"/>
          <w:szCs w:val="20"/>
          <w:lang w:eastAsia="en-US"/>
          <w14:ligatures w14:val="standardContextual"/>
        </w:rPr>
        <w:t>półka wystawia referencję, czy referencja będzie wystawiona dla całego projektu czy dla poszczególnych etapów, oraz w jakim terminie po zakończeniu realizacji referencja będzie dostępna.</w:t>
      </w:r>
    </w:p>
    <w:p w14:paraId="34E19FE6" w14:textId="77777777" w:rsidR="00F330B9" w:rsidRPr="00054889" w:rsidRDefault="00A63F27" w:rsidP="00FD2F03">
      <w:pPr>
        <w:pStyle w:val="NormalnyWeb"/>
        <w:widowControl w:val="0"/>
        <w:numPr>
          <w:ilvl w:val="1"/>
          <w:numId w:val="13"/>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Stosowanie ujednoliconych wzorów dokumentów potwierdzających doświadczenie</w:t>
      </w:r>
    </w:p>
    <w:p w14:paraId="23CE275B" w14:textId="587F5F29" w:rsidR="00B149FF" w:rsidRPr="00054889" w:rsidRDefault="00A63F27"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Wprowadzanie spójnych formatów referencji, zawierających podstawowe informacje o</w:t>
      </w:r>
      <w:r w:rsidR="00C35489">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zakresie, wartości i terminowości realizacji. Standaryzacja ogranicza wątpliwości interpretacyjne oraz ułatwia porównywalność ofert</w:t>
      </w:r>
      <w:r w:rsidR="00EF2A45">
        <w:rPr>
          <w:rFonts w:ascii="Lato" w:eastAsiaTheme="minorHAnsi" w:hAnsi="Lato" w:cstheme="minorBidi"/>
          <w:kern w:val="2"/>
          <w:sz w:val="20"/>
          <w:szCs w:val="20"/>
          <w:lang w:eastAsia="en-US"/>
          <w14:ligatures w14:val="standardContextual"/>
        </w:rPr>
        <w:t>, co zachęca do ich składania</w:t>
      </w:r>
      <w:r w:rsidRPr="00054889">
        <w:rPr>
          <w:rFonts w:ascii="Lato" w:eastAsiaTheme="minorHAnsi" w:hAnsi="Lato" w:cstheme="minorBidi"/>
          <w:kern w:val="2"/>
          <w:sz w:val="20"/>
          <w:szCs w:val="20"/>
          <w:lang w:eastAsia="en-US"/>
          <w14:ligatures w14:val="standardContextual"/>
        </w:rPr>
        <w:t>.</w:t>
      </w:r>
    </w:p>
    <w:p w14:paraId="5582D36B" w14:textId="77777777" w:rsidR="00AF39CE" w:rsidRPr="00054889" w:rsidRDefault="00A63F27" w:rsidP="00FD2F03">
      <w:pPr>
        <w:pStyle w:val="NormalnyWeb"/>
        <w:widowControl w:val="0"/>
        <w:numPr>
          <w:ilvl w:val="1"/>
          <w:numId w:val="13"/>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Dopuszczanie łączenia potencjału wykonawczego</w:t>
      </w:r>
    </w:p>
    <w:p w14:paraId="72A161D4" w14:textId="389A1C26" w:rsidR="00A63F27" w:rsidRPr="00054889" w:rsidRDefault="00A63F27"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Umożliwianie wykazywania spełniania warunków udziału poprzez łączenie doświadczenia w</w:t>
      </w:r>
      <w:r w:rsidR="00C35489">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ramach konsorcjów lub przy wykorzystaniu potencjału podmiotów trzecich, zgodnie z</w:t>
      </w:r>
      <w:r w:rsidR="00C35489">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obowiązującymi przepisami. Rozwiązanie to sprzyja współpracy przedsiębiorstw i tworzeniu bardziej złożonych struktur realizacyjnych</w:t>
      </w:r>
      <w:r w:rsidR="00EF2A45">
        <w:rPr>
          <w:rFonts w:ascii="Lato" w:eastAsiaTheme="minorHAnsi" w:hAnsi="Lato" w:cstheme="minorBidi"/>
          <w:kern w:val="2"/>
          <w:sz w:val="20"/>
          <w:szCs w:val="20"/>
          <w:lang w:eastAsia="en-US"/>
          <w14:ligatures w14:val="standardContextual"/>
        </w:rPr>
        <w:t xml:space="preserve">, a w rezultacie może przyczynić się do zwiększenia udziału komponentu krajowego. </w:t>
      </w:r>
    </w:p>
    <w:p w14:paraId="1254AB25" w14:textId="5F8DE097" w:rsidR="00AD623F" w:rsidRDefault="00EF2A45"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S</w:t>
      </w:r>
      <w:r w:rsidRPr="00EF2A45">
        <w:rPr>
          <w:rFonts w:ascii="Lato" w:eastAsiaTheme="minorHAnsi" w:hAnsi="Lato" w:cstheme="minorBidi"/>
          <w:kern w:val="2"/>
          <w:sz w:val="20"/>
          <w:szCs w:val="20"/>
          <w:lang w:eastAsia="en-US"/>
          <w14:ligatures w14:val="standardContextual"/>
        </w:rPr>
        <w:t xml:space="preserve">półki z udziałem Skarbu Państwa </w:t>
      </w:r>
      <w:r w:rsidR="00AD623F" w:rsidRPr="0081437C">
        <w:rPr>
          <w:rFonts w:ascii="Lato" w:eastAsiaTheme="minorHAnsi" w:hAnsi="Lato" w:cstheme="minorBidi"/>
          <w:kern w:val="2"/>
          <w:sz w:val="20"/>
          <w:szCs w:val="20"/>
          <w:lang w:eastAsia="en-US"/>
          <w14:ligatures w14:val="standardContextual"/>
        </w:rPr>
        <w:t>powinn</w:t>
      </w:r>
      <w:r>
        <w:rPr>
          <w:rFonts w:ascii="Lato" w:eastAsiaTheme="minorHAnsi" w:hAnsi="Lato" w:cstheme="minorBidi"/>
          <w:kern w:val="2"/>
          <w:sz w:val="20"/>
          <w:szCs w:val="20"/>
          <w:lang w:eastAsia="en-US"/>
          <w14:ligatures w14:val="standardContextual"/>
        </w:rPr>
        <w:t>y</w:t>
      </w:r>
      <w:r w:rsidR="00AD623F" w:rsidRPr="0081437C">
        <w:rPr>
          <w:rFonts w:ascii="Lato" w:eastAsiaTheme="minorHAnsi" w:hAnsi="Lato" w:cstheme="minorBidi"/>
          <w:kern w:val="2"/>
          <w:sz w:val="20"/>
          <w:szCs w:val="20"/>
          <w:lang w:eastAsia="en-US"/>
          <w14:ligatures w14:val="standardContextual"/>
        </w:rPr>
        <w:t xml:space="preserve"> jasno określić w swoich</w:t>
      </w:r>
      <w:r>
        <w:rPr>
          <w:rFonts w:ascii="Lato" w:eastAsiaTheme="minorHAnsi" w:hAnsi="Lato" w:cstheme="minorBidi"/>
          <w:kern w:val="2"/>
          <w:sz w:val="20"/>
          <w:szCs w:val="20"/>
          <w:lang w:eastAsia="en-US"/>
          <w14:ligatures w14:val="standardContextual"/>
        </w:rPr>
        <w:t xml:space="preserve"> wewnętrznych</w:t>
      </w:r>
      <w:r w:rsidR="00AD623F" w:rsidRPr="0081437C">
        <w:rPr>
          <w:rFonts w:ascii="Lato" w:eastAsiaTheme="minorHAnsi" w:hAnsi="Lato" w:cstheme="minorBidi"/>
          <w:kern w:val="2"/>
          <w:sz w:val="20"/>
          <w:szCs w:val="20"/>
          <w:lang w:eastAsia="en-US"/>
          <w14:ligatures w14:val="standardContextual"/>
        </w:rPr>
        <w:t xml:space="preserve"> procedurach zakupowych, że wykonawca może wykazać doświadczenie wymagane dla danego zamówienia poprzez połączenie doświadczenia kilku podmiotów działających wspólnie w konsorcjum. Przykładem może być sytuacja, gdy żaden z członków konsorcjum nie posiada </w:t>
      </w:r>
      <w:r w:rsidR="00AD623F" w:rsidRPr="0081437C">
        <w:rPr>
          <w:rFonts w:ascii="Lato" w:eastAsiaTheme="minorHAnsi" w:hAnsi="Lato" w:cstheme="minorBidi"/>
          <w:kern w:val="2"/>
          <w:sz w:val="20"/>
          <w:szCs w:val="20"/>
          <w:lang w:eastAsia="en-US"/>
          <w14:ligatures w14:val="standardContextual"/>
        </w:rPr>
        <w:lastRenderedPageBreak/>
        <w:t xml:space="preserve">indywidualnie pełnego zakresu wymaganego doświadczenia, ale łącznie posiadają wszystkie wymagane kompetencje – takie konsorcjum powinno być akceptowalne. </w:t>
      </w:r>
      <w:r w:rsidR="00944A79" w:rsidRPr="00944A79">
        <w:rPr>
          <w:rFonts w:ascii="Lato" w:eastAsiaTheme="minorHAnsi" w:hAnsi="Lato" w:cstheme="minorBidi"/>
          <w:kern w:val="2"/>
          <w:sz w:val="20"/>
          <w:szCs w:val="20"/>
          <w:lang w:eastAsia="en-US"/>
          <w14:ligatures w14:val="standardContextual"/>
        </w:rPr>
        <w:t xml:space="preserve">Spółki z udziałem Skarbu Państwa </w:t>
      </w:r>
      <w:r w:rsidR="00AD623F" w:rsidRPr="0081437C">
        <w:rPr>
          <w:rFonts w:ascii="Lato" w:eastAsiaTheme="minorHAnsi" w:hAnsi="Lato" w:cstheme="minorBidi"/>
          <w:kern w:val="2"/>
          <w:sz w:val="20"/>
          <w:szCs w:val="20"/>
          <w:lang w:eastAsia="en-US"/>
          <w14:ligatures w14:val="standardContextual"/>
        </w:rPr>
        <w:t>powinn</w:t>
      </w:r>
      <w:r w:rsidR="00944A79">
        <w:rPr>
          <w:rFonts w:ascii="Lato" w:eastAsiaTheme="minorHAnsi" w:hAnsi="Lato" w:cstheme="minorBidi"/>
          <w:kern w:val="2"/>
          <w:sz w:val="20"/>
          <w:szCs w:val="20"/>
          <w:lang w:eastAsia="en-US"/>
          <w14:ligatures w14:val="standardContextual"/>
        </w:rPr>
        <w:t>y</w:t>
      </w:r>
      <w:r w:rsidR="00AD623F" w:rsidRPr="0081437C">
        <w:rPr>
          <w:rFonts w:ascii="Lato" w:eastAsiaTheme="minorHAnsi" w:hAnsi="Lato" w:cstheme="minorBidi"/>
          <w:kern w:val="2"/>
          <w:sz w:val="20"/>
          <w:szCs w:val="20"/>
          <w:lang w:eastAsia="en-US"/>
          <w14:ligatures w14:val="standardContextual"/>
        </w:rPr>
        <w:t xml:space="preserve"> również dopuszczać, aby główny wykonawca wykazał doświadczenie poprzez dokumentację doświadczenia swoich kluczowych pracowników, nawet jeśli pracownicy zmienili pracodawcę od czasu realizacji poprzednich projektów – doświadczenie pozostaje cenne niezależnie od tego, w jakim przedsiębiorstwie było zdobywane. </w:t>
      </w:r>
      <w:r w:rsidR="00944A79">
        <w:rPr>
          <w:rFonts w:ascii="Lato" w:eastAsiaTheme="minorHAnsi" w:hAnsi="Lato" w:cstheme="minorBidi"/>
          <w:kern w:val="2"/>
          <w:sz w:val="20"/>
          <w:szCs w:val="20"/>
          <w:lang w:eastAsia="en-US"/>
          <w14:ligatures w14:val="standardContextual"/>
        </w:rPr>
        <w:t>Mogą</w:t>
      </w:r>
      <w:r w:rsidR="00AD623F" w:rsidRPr="0081437C">
        <w:rPr>
          <w:rFonts w:ascii="Lato" w:eastAsiaTheme="minorHAnsi" w:hAnsi="Lato" w:cstheme="minorBidi"/>
          <w:kern w:val="2"/>
          <w:sz w:val="20"/>
          <w:szCs w:val="20"/>
          <w:lang w:eastAsia="en-US"/>
          <w14:ligatures w14:val="standardContextual"/>
        </w:rPr>
        <w:t xml:space="preserve"> również dopuszczać, aby wykonawca wykazał zdolność do realizacji określonych elementów zamówienia poprzez wskazanie </w:t>
      </w:r>
      <w:r w:rsidR="00944A79">
        <w:rPr>
          <w:rFonts w:ascii="Lato" w:eastAsiaTheme="minorHAnsi" w:hAnsi="Lato" w:cstheme="minorBidi"/>
          <w:kern w:val="2"/>
          <w:sz w:val="20"/>
          <w:szCs w:val="20"/>
          <w:lang w:eastAsia="en-US"/>
          <w14:ligatures w14:val="standardContextual"/>
        </w:rPr>
        <w:t>wy</w:t>
      </w:r>
      <w:r w:rsidR="00AD623F" w:rsidRPr="0081437C">
        <w:rPr>
          <w:rFonts w:ascii="Lato" w:eastAsiaTheme="minorHAnsi" w:hAnsi="Lato" w:cstheme="minorBidi"/>
          <w:kern w:val="2"/>
          <w:sz w:val="20"/>
          <w:szCs w:val="20"/>
          <w:lang w:eastAsia="en-US"/>
          <w14:ligatures w14:val="standardContextual"/>
        </w:rPr>
        <w:t>specjalizowanego podwykonawcy, który posiada wymagane doświadczenie</w:t>
      </w:r>
      <w:r w:rsidR="005F6DBD">
        <w:rPr>
          <w:rFonts w:ascii="Lato" w:eastAsiaTheme="minorHAnsi" w:hAnsi="Lato" w:cstheme="minorBidi"/>
          <w:kern w:val="2"/>
          <w:sz w:val="20"/>
          <w:szCs w:val="20"/>
          <w:lang w:eastAsia="en-US"/>
          <w14:ligatures w14:val="standardContextual"/>
        </w:rPr>
        <w:t>. To</w:t>
      </w:r>
      <w:r w:rsidR="00944A79">
        <w:rPr>
          <w:rFonts w:ascii="Lato" w:eastAsiaTheme="minorHAnsi" w:hAnsi="Lato" w:cstheme="minorBidi"/>
          <w:kern w:val="2"/>
          <w:sz w:val="20"/>
          <w:szCs w:val="20"/>
          <w:lang w:eastAsia="en-US"/>
          <w14:ligatures w14:val="standardContextual"/>
        </w:rPr>
        <w:t xml:space="preserve"> może przełożyć się</w:t>
      </w:r>
      <w:r w:rsidR="005F6DBD">
        <w:rPr>
          <w:rFonts w:ascii="Lato" w:eastAsiaTheme="minorHAnsi" w:hAnsi="Lato" w:cstheme="minorBidi"/>
          <w:kern w:val="2"/>
          <w:sz w:val="20"/>
          <w:szCs w:val="20"/>
          <w:lang w:eastAsia="en-US"/>
          <w14:ligatures w14:val="standardContextual"/>
        </w:rPr>
        <w:t xml:space="preserve"> z kolei</w:t>
      </w:r>
      <w:r w:rsidR="00944A79">
        <w:rPr>
          <w:rFonts w:ascii="Lato" w:eastAsiaTheme="minorHAnsi" w:hAnsi="Lato" w:cstheme="minorBidi"/>
          <w:kern w:val="2"/>
          <w:sz w:val="20"/>
          <w:szCs w:val="20"/>
          <w:lang w:eastAsia="en-US"/>
          <w14:ligatures w14:val="standardContextual"/>
        </w:rPr>
        <w:t xml:space="preserve"> na </w:t>
      </w:r>
      <w:r w:rsidR="00B04441">
        <w:rPr>
          <w:rFonts w:ascii="Lato" w:eastAsiaTheme="minorHAnsi" w:hAnsi="Lato" w:cstheme="minorBidi"/>
          <w:kern w:val="2"/>
          <w:sz w:val="20"/>
          <w:szCs w:val="20"/>
          <w:lang w:eastAsia="en-US"/>
          <w14:ligatures w14:val="standardContextual"/>
        </w:rPr>
        <w:t>zwiększenie udziału komponentu krajowego</w:t>
      </w:r>
      <w:r w:rsidR="005F6DBD">
        <w:rPr>
          <w:rFonts w:ascii="Lato" w:eastAsiaTheme="minorHAnsi" w:hAnsi="Lato" w:cstheme="minorBidi"/>
          <w:kern w:val="2"/>
          <w:sz w:val="20"/>
          <w:szCs w:val="20"/>
          <w:lang w:eastAsia="en-US"/>
          <w14:ligatures w14:val="standardContextual"/>
        </w:rPr>
        <w:t xml:space="preserve">, bo przedsiębiorcy działający na mniejszą skalę częściej sięgną po wsparcie lokalnego podwykonawcy. </w:t>
      </w:r>
    </w:p>
    <w:p w14:paraId="54678707" w14:textId="77777777" w:rsidR="00677E84" w:rsidRPr="0081437C" w:rsidRDefault="00677E84"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p>
    <w:p w14:paraId="22FEF091" w14:textId="77777777" w:rsidR="00685F78" w:rsidRDefault="00EC31EC" w:rsidP="00241EEF">
      <w:pPr>
        <w:pStyle w:val="podrozdzial"/>
      </w:pPr>
      <w:bookmarkStart w:id="9" w:name="_Toc228873233"/>
      <w:r w:rsidRPr="00054889">
        <w:t>KRYTERIA OCENY OFERT I KONKURENCYJNOŚĆ</w:t>
      </w:r>
      <w:bookmarkEnd w:id="9"/>
    </w:p>
    <w:p w14:paraId="5F44B93B" w14:textId="77777777" w:rsidR="00677E84" w:rsidRPr="00677E84" w:rsidRDefault="00677E84" w:rsidP="00677E84">
      <w:pPr>
        <w:widowControl w:val="0"/>
        <w:spacing w:after="120" w:line="360" w:lineRule="auto"/>
        <w:ind w:left="360"/>
        <w:rPr>
          <w:rFonts w:ascii="Lato" w:hAnsi="Lato"/>
          <w:b/>
          <w:bCs/>
          <w:sz w:val="20"/>
          <w:szCs w:val="20"/>
        </w:rPr>
      </w:pPr>
    </w:p>
    <w:p w14:paraId="35AAFFEF" w14:textId="29604992" w:rsidR="00B149FF" w:rsidRPr="00054889" w:rsidRDefault="00EB3FB5" w:rsidP="007D0DA7">
      <w:pPr>
        <w:pStyle w:val="NormalnyWeb"/>
        <w:widowControl w:val="0"/>
        <w:numPr>
          <w:ilvl w:val="1"/>
          <w:numId w:val="32"/>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Sposób konstruowania kryteriów oceny ofert ma bezpośredni wpływ na kierunek rozwoju rynku</w:t>
      </w:r>
      <w:r w:rsidR="002621DD" w:rsidRPr="00054889">
        <w:rPr>
          <w:rFonts w:ascii="Lato" w:eastAsiaTheme="minorHAnsi" w:hAnsi="Lato" w:cstheme="minorBidi"/>
          <w:kern w:val="2"/>
          <w:sz w:val="20"/>
          <w:szCs w:val="20"/>
          <w:lang w:eastAsia="en-US"/>
          <w14:ligatures w14:val="standardContextual"/>
        </w:rPr>
        <w:t xml:space="preserve"> oraz</w:t>
      </w:r>
      <w:r w:rsidR="005F6DBD">
        <w:rPr>
          <w:rFonts w:ascii="Lato" w:eastAsiaTheme="minorHAnsi" w:hAnsi="Lato" w:cstheme="minorBidi"/>
          <w:kern w:val="2"/>
          <w:sz w:val="20"/>
          <w:szCs w:val="20"/>
          <w:lang w:eastAsia="en-US"/>
          <w14:ligatures w14:val="standardContextual"/>
        </w:rPr>
        <w:t xml:space="preserve"> zakres</w:t>
      </w:r>
      <w:r w:rsidR="002621DD" w:rsidRPr="00054889">
        <w:rPr>
          <w:rFonts w:ascii="Lato" w:eastAsiaTheme="minorHAnsi" w:hAnsi="Lato" w:cstheme="minorBidi"/>
          <w:kern w:val="2"/>
          <w:sz w:val="20"/>
          <w:szCs w:val="20"/>
          <w:lang w:eastAsia="en-US"/>
          <w14:ligatures w14:val="standardContextual"/>
        </w:rPr>
        <w:t xml:space="preserve"> udział</w:t>
      </w:r>
      <w:r w:rsidR="005F6DBD">
        <w:rPr>
          <w:rFonts w:ascii="Lato" w:eastAsiaTheme="minorHAnsi" w:hAnsi="Lato" w:cstheme="minorBidi"/>
          <w:kern w:val="2"/>
          <w:sz w:val="20"/>
          <w:szCs w:val="20"/>
          <w:lang w:eastAsia="en-US"/>
          <w14:ligatures w14:val="standardContextual"/>
        </w:rPr>
        <w:t>u</w:t>
      </w:r>
      <w:r w:rsidR="002621DD" w:rsidRPr="00054889">
        <w:rPr>
          <w:rFonts w:ascii="Lato" w:eastAsiaTheme="minorHAnsi" w:hAnsi="Lato" w:cstheme="minorBidi"/>
          <w:kern w:val="2"/>
          <w:sz w:val="20"/>
          <w:szCs w:val="20"/>
          <w:lang w:eastAsia="en-US"/>
          <w14:ligatures w14:val="standardContextual"/>
        </w:rPr>
        <w:t xml:space="preserve"> komponentu krajowego w realizacji kluczowych procesów inwestycyjnych</w:t>
      </w:r>
      <w:r w:rsidRPr="00054889">
        <w:rPr>
          <w:rFonts w:ascii="Lato" w:eastAsiaTheme="minorHAnsi" w:hAnsi="Lato" w:cstheme="minorBidi"/>
          <w:kern w:val="2"/>
          <w:sz w:val="20"/>
          <w:szCs w:val="20"/>
          <w:lang w:eastAsia="en-US"/>
          <w14:ligatures w14:val="standardContextual"/>
        </w:rPr>
        <w:t xml:space="preserve">. </w:t>
      </w:r>
      <w:r w:rsidR="005F6DBD">
        <w:rPr>
          <w:rFonts w:ascii="Lato" w:eastAsiaTheme="minorHAnsi" w:hAnsi="Lato" w:cstheme="minorBidi"/>
          <w:kern w:val="2"/>
          <w:sz w:val="20"/>
          <w:szCs w:val="20"/>
          <w:lang w:eastAsia="en-US"/>
          <w14:ligatures w14:val="standardContextual"/>
        </w:rPr>
        <w:t>Wskazane jest, aby k</w:t>
      </w:r>
      <w:r w:rsidR="00213777" w:rsidRPr="00054889">
        <w:rPr>
          <w:rFonts w:ascii="Lato" w:eastAsiaTheme="minorHAnsi" w:hAnsi="Lato" w:cstheme="minorBidi"/>
          <w:kern w:val="2"/>
          <w:sz w:val="20"/>
          <w:szCs w:val="20"/>
          <w:lang w:eastAsia="en-US"/>
          <w14:ligatures w14:val="standardContextual"/>
        </w:rPr>
        <w:t>ryteria</w:t>
      </w:r>
      <w:r w:rsidR="00F86D0A"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odnosi</w:t>
      </w:r>
      <w:r w:rsidR="005F6DBD">
        <w:rPr>
          <w:rFonts w:ascii="Lato" w:eastAsiaTheme="minorHAnsi" w:hAnsi="Lato" w:cstheme="minorBidi"/>
          <w:kern w:val="2"/>
          <w:sz w:val="20"/>
          <w:szCs w:val="20"/>
          <w:lang w:eastAsia="en-US"/>
          <w14:ligatures w14:val="standardContextual"/>
        </w:rPr>
        <w:t>ły</w:t>
      </w:r>
      <w:r w:rsidRPr="00054889">
        <w:rPr>
          <w:rFonts w:ascii="Lato" w:eastAsiaTheme="minorHAnsi" w:hAnsi="Lato" w:cstheme="minorBidi"/>
          <w:kern w:val="2"/>
          <w:sz w:val="20"/>
          <w:szCs w:val="20"/>
          <w:lang w:eastAsia="en-US"/>
          <w14:ligatures w14:val="standardContextual"/>
        </w:rPr>
        <w:t xml:space="preserve"> się</w:t>
      </w:r>
      <w:r w:rsidR="002621DD" w:rsidRPr="00054889">
        <w:rPr>
          <w:rFonts w:ascii="Lato" w:eastAsiaTheme="minorHAnsi" w:hAnsi="Lato" w:cstheme="minorBidi"/>
          <w:kern w:val="2"/>
          <w:sz w:val="20"/>
          <w:szCs w:val="20"/>
          <w:lang w:eastAsia="en-US"/>
          <w14:ligatures w14:val="standardContextual"/>
        </w:rPr>
        <w:t xml:space="preserve"> </w:t>
      </w:r>
      <w:r w:rsidR="00D77690">
        <w:rPr>
          <w:rFonts w:ascii="Lato" w:eastAsiaTheme="minorHAnsi" w:hAnsi="Lato" w:cstheme="minorBidi"/>
          <w:kern w:val="2"/>
          <w:sz w:val="20"/>
          <w:szCs w:val="20"/>
          <w:lang w:eastAsia="en-US"/>
          <w14:ligatures w14:val="standardContextual"/>
        </w:rPr>
        <w:t>przykładowo</w:t>
      </w:r>
      <w:r w:rsidRPr="00054889">
        <w:rPr>
          <w:rFonts w:ascii="Lato" w:eastAsiaTheme="minorHAnsi" w:hAnsi="Lato" w:cstheme="minorBidi"/>
          <w:kern w:val="2"/>
          <w:sz w:val="20"/>
          <w:szCs w:val="20"/>
          <w:lang w:eastAsia="en-US"/>
          <w14:ligatures w14:val="standardContextual"/>
        </w:rPr>
        <w:t xml:space="preserve"> do</w:t>
      </w:r>
      <w:r w:rsidR="00F86D0A" w:rsidRPr="00054889">
        <w:rPr>
          <w:rFonts w:ascii="Lato" w:eastAsiaTheme="minorHAnsi" w:hAnsi="Lato" w:cstheme="minorBidi"/>
          <w:kern w:val="2"/>
          <w:sz w:val="20"/>
          <w:szCs w:val="20"/>
          <w:lang w:eastAsia="en-US"/>
          <w14:ligatures w14:val="standardContextual"/>
        </w:rPr>
        <w:t xml:space="preserve"> jakości, trwałości, bezpieczeństwa,</w:t>
      </w:r>
      <w:r w:rsidR="003B3B0F" w:rsidRPr="00054889">
        <w:rPr>
          <w:rFonts w:ascii="Lato" w:eastAsiaTheme="minorHAnsi" w:hAnsi="Lato" w:cstheme="minorBidi"/>
          <w:kern w:val="2"/>
          <w:sz w:val="20"/>
          <w:szCs w:val="20"/>
          <w:lang w:eastAsia="en-US"/>
          <w14:ligatures w14:val="standardContextual"/>
        </w:rPr>
        <w:t xml:space="preserve"> ochrony środowiska i zrównoważonego rozwoju,</w:t>
      </w:r>
      <w:r w:rsidR="00F86D0A" w:rsidRPr="00054889">
        <w:rPr>
          <w:rFonts w:ascii="Lato" w:eastAsiaTheme="minorHAnsi" w:hAnsi="Lato" w:cstheme="minorBidi"/>
          <w:kern w:val="2"/>
          <w:sz w:val="20"/>
          <w:szCs w:val="20"/>
          <w:lang w:eastAsia="en-US"/>
          <w14:ligatures w14:val="standardContextual"/>
        </w:rPr>
        <w:t xml:space="preserve"> organizacji realizacji zamówienia, poziomu</w:t>
      </w:r>
      <w:r w:rsidR="003B3B0F" w:rsidRPr="00054889">
        <w:rPr>
          <w:rFonts w:ascii="Lato" w:eastAsiaTheme="minorHAnsi" w:hAnsi="Lato" w:cstheme="minorBidi"/>
          <w:kern w:val="2"/>
          <w:sz w:val="20"/>
          <w:szCs w:val="20"/>
          <w:lang w:eastAsia="en-US"/>
          <w14:ligatures w14:val="standardContextual"/>
        </w:rPr>
        <w:t xml:space="preserve"> i szybkości udzielania</w:t>
      </w:r>
      <w:r w:rsidR="00F86D0A" w:rsidRPr="00054889">
        <w:rPr>
          <w:rFonts w:ascii="Lato" w:eastAsiaTheme="minorHAnsi" w:hAnsi="Lato" w:cstheme="minorBidi"/>
          <w:kern w:val="2"/>
          <w:sz w:val="20"/>
          <w:szCs w:val="20"/>
          <w:lang w:eastAsia="en-US"/>
          <w14:ligatures w14:val="standardContextual"/>
        </w:rPr>
        <w:t xml:space="preserve"> wsparcia technicznego</w:t>
      </w:r>
      <w:r w:rsidR="003B3B0F" w:rsidRPr="00054889">
        <w:rPr>
          <w:rFonts w:ascii="Lato" w:eastAsiaTheme="minorHAnsi" w:hAnsi="Lato" w:cstheme="minorBidi"/>
          <w:kern w:val="2"/>
          <w:sz w:val="20"/>
          <w:szCs w:val="20"/>
          <w:lang w:eastAsia="en-US"/>
          <w14:ligatures w14:val="standardContextual"/>
        </w:rPr>
        <w:t xml:space="preserve"> i serwisowego</w:t>
      </w:r>
      <w:r w:rsidRPr="00054889">
        <w:rPr>
          <w:rFonts w:ascii="Lato" w:eastAsiaTheme="minorHAnsi" w:hAnsi="Lato" w:cstheme="minorBidi"/>
          <w:kern w:val="2"/>
          <w:sz w:val="20"/>
          <w:szCs w:val="20"/>
          <w:lang w:eastAsia="en-US"/>
          <w14:ligatures w14:val="standardContextual"/>
        </w:rPr>
        <w:t>,</w:t>
      </w:r>
      <w:r w:rsidR="00A63F27" w:rsidRPr="00054889">
        <w:rPr>
          <w:rFonts w:ascii="Lato" w:eastAsiaTheme="minorHAnsi" w:hAnsi="Lato" w:cstheme="minorBidi"/>
          <w:kern w:val="2"/>
          <w:sz w:val="20"/>
          <w:szCs w:val="20"/>
          <w:lang w:eastAsia="en-US"/>
          <w14:ligatures w14:val="standardContextual"/>
        </w:rPr>
        <w:t xml:space="preserve"> </w:t>
      </w:r>
      <w:r w:rsidR="00F86D0A" w:rsidRPr="00054889">
        <w:rPr>
          <w:rFonts w:ascii="Lato" w:eastAsiaTheme="minorHAnsi" w:hAnsi="Lato" w:cstheme="minorBidi"/>
          <w:kern w:val="2"/>
          <w:sz w:val="20"/>
          <w:szCs w:val="20"/>
          <w:lang w:eastAsia="en-US"/>
          <w14:ligatures w14:val="standardContextual"/>
        </w:rPr>
        <w:t xml:space="preserve">wpływu na rozwój </w:t>
      </w:r>
      <w:r w:rsidR="005210C7" w:rsidRPr="00054889">
        <w:rPr>
          <w:rFonts w:ascii="Lato" w:eastAsiaTheme="minorHAnsi" w:hAnsi="Lato" w:cstheme="minorBidi"/>
          <w:kern w:val="2"/>
          <w:sz w:val="20"/>
          <w:szCs w:val="20"/>
          <w:lang w:eastAsia="en-US"/>
          <w14:ligatures w14:val="standardContextual"/>
        </w:rPr>
        <w:t>kompetencji</w:t>
      </w:r>
      <w:r w:rsidRPr="00054889">
        <w:rPr>
          <w:rFonts w:ascii="Lato" w:eastAsiaTheme="minorHAnsi" w:hAnsi="Lato" w:cstheme="minorBidi"/>
          <w:kern w:val="2"/>
          <w:sz w:val="20"/>
          <w:szCs w:val="20"/>
          <w:lang w:eastAsia="en-US"/>
          <w14:ligatures w14:val="standardContextual"/>
        </w:rPr>
        <w:t xml:space="preserve"> </w:t>
      </w:r>
      <w:r w:rsidR="005210C7" w:rsidRPr="00054889">
        <w:rPr>
          <w:rFonts w:ascii="Lato" w:eastAsiaTheme="minorHAnsi" w:hAnsi="Lato" w:cstheme="minorBidi"/>
          <w:kern w:val="2"/>
          <w:sz w:val="20"/>
          <w:szCs w:val="20"/>
          <w:lang w:eastAsia="en-US"/>
          <w14:ligatures w14:val="standardContextual"/>
        </w:rPr>
        <w:t xml:space="preserve">i </w:t>
      </w:r>
      <w:r w:rsidRPr="00054889">
        <w:rPr>
          <w:rFonts w:ascii="Lato" w:eastAsiaTheme="minorHAnsi" w:hAnsi="Lato" w:cstheme="minorBidi"/>
          <w:kern w:val="2"/>
          <w:sz w:val="20"/>
          <w:szCs w:val="20"/>
          <w:lang w:eastAsia="en-US"/>
          <w14:ligatures w14:val="standardContextual"/>
        </w:rPr>
        <w:t xml:space="preserve">trwałość </w:t>
      </w:r>
      <w:r w:rsidR="00F86D0A" w:rsidRPr="00054889">
        <w:rPr>
          <w:rFonts w:ascii="Lato" w:eastAsiaTheme="minorHAnsi" w:hAnsi="Lato" w:cstheme="minorBidi"/>
          <w:kern w:val="2"/>
          <w:sz w:val="20"/>
          <w:szCs w:val="20"/>
          <w:lang w:eastAsia="en-US"/>
          <w14:ligatures w14:val="standardContextual"/>
        </w:rPr>
        <w:t>łańcucha dostaw,</w:t>
      </w:r>
      <w:r w:rsidR="00A45F25">
        <w:rPr>
          <w:rFonts w:ascii="Lato" w:eastAsiaTheme="minorHAnsi" w:hAnsi="Lato" w:cstheme="minorBidi"/>
          <w:kern w:val="2"/>
          <w:sz w:val="20"/>
          <w:szCs w:val="20"/>
          <w:lang w:eastAsia="en-US"/>
          <w14:ligatures w14:val="standardContextual"/>
        </w:rPr>
        <w:t xml:space="preserve"> kwestie związane z </w:t>
      </w:r>
      <w:proofErr w:type="spellStart"/>
      <w:r w:rsidR="00A45F25">
        <w:rPr>
          <w:rFonts w:ascii="Lato" w:eastAsiaTheme="minorHAnsi" w:hAnsi="Lato" w:cstheme="minorBidi"/>
          <w:kern w:val="2"/>
          <w:sz w:val="20"/>
          <w:szCs w:val="20"/>
          <w:lang w:eastAsia="en-US"/>
          <w14:ligatures w14:val="standardContextual"/>
        </w:rPr>
        <w:t>cyberbezpieczeństwem</w:t>
      </w:r>
      <w:proofErr w:type="spellEnd"/>
      <w:r w:rsidR="00A45F25">
        <w:rPr>
          <w:rFonts w:ascii="Lato" w:eastAsiaTheme="minorHAnsi" w:hAnsi="Lato" w:cstheme="minorBidi"/>
          <w:kern w:val="2"/>
          <w:sz w:val="20"/>
          <w:szCs w:val="20"/>
          <w:lang w:eastAsia="en-US"/>
          <w14:ligatures w14:val="standardContextual"/>
        </w:rPr>
        <w:t xml:space="preserve"> i</w:t>
      </w:r>
      <w:r w:rsidR="00E9073A">
        <w:rPr>
          <w:rFonts w:ascii="Lato" w:eastAsiaTheme="minorHAnsi" w:hAnsi="Lato" w:cstheme="minorBidi"/>
          <w:kern w:val="2"/>
          <w:sz w:val="20"/>
          <w:szCs w:val="20"/>
          <w:lang w:eastAsia="en-US"/>
          <w14:ligatures w14:val="standardContextual"/>
        </w:rPr>
        <w:t> </w:t>
      </w:r>
      <w:r w:rsidR="00A45F25">
        <w:rPr>
          <w:rFonts w:ascii="Lato" w:eastAsiaTheme="minorHAnsi" w:hAnsi="Lato" w:cstheme="minorBidi"/>
          <w:kern w:val="2"/>
          <w:sz w:val="20"/>
          <w:szCs w:val="20"/>
          <w:lang w:eastAsia="en-US"/>
          <w14:ligatures w14:val="standardContextual"/>
        </w:rPr>
        <w:t>miejscem przetwarzania danych dotyczących inwestycji</w:t>
      </w:r>
      <w:r w:rsidR="00F86D0A" w:rsidRPr="00054889">
        <w:rPr>
          <w:rFonts w:ascii="Lato" w:eastAsiaTheme="minorHAnsi" w:hAnsi="Lato" w:cstheme="minorBidi"/>
          <w:kern w:val="2"/>
          <w:sz w:val="20"/>
          <w:szCs w:val="20"/>
          <w:lang w:eastAsia="en-US"/>
          <w14:ligatures w14:val="standardContextual"/>
        </w:rPr>
        <w:t xml:space="preserve"> przy jednoczesnym zachowaniu zasad uczciwej konkurencji i równego traktowania wykonawców. </w:t>
      </w:r>
    </w:p>
    <w:p w14:paraId="21D76289" w14:textId="3278484E" w:rsidR="00A069DB" w:rsidRPr="00054889" w:rsidRDefault="000706DB" w:rsidP="00C859A0">
      <w:pPr>
        <w:pStyle w:val="NormalnyWeb"/>
        <w:widowControl w:val="0"/>
        <w:numPr>
          <w:ilvl w:val="1"/>
          <w:numId w:val="32"/>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Model oceny </w:t>
      </w:r>
      <w:r w:rsidR="003B3B0F" w:rsidRPr="00054889">
        <w:rPr>
          <w:rFonts w:ascii="Lato" w:eastAsiaTheme="minorHAnsi" w:hAnsi="Lato" w:cstheme="minorBidi"/>
          <w:kern w:val="2"/>
          <w:sz w:val="20"/>
          <w:szCs w:val="20"/>
          <w:lang w:eastAsia="en-US"/>
          <w14:ligatures w14:val="standardContextual"/>
        </w:rPr>
        <w:t>bazujący</w:t>
      </w:r>
      <w:r w:rsidRPr="00054889">
        <w:rPr>
          <w:rFonts w:ascii="Lato" w:eastAsiaTheme="minorHAnsi" w:hAnsi="Lato" w:cstheme="minorBidi"/>
          <w:kern w:val="2"/>
          <w:sz w:val="20"/>
          <w:szCs w:val="20"/>
          <w:lang w:eastAsia="en-US"/>
          <w14:ligatures w14:val="standardContextual"/>
        </w:rPr>
        <w:t xml:space="preserve"> wyłącznie na cenie </w:t>
      </w:r>
      <w:r w:rsidR="002621DD" w:rsidRPr="00054889">
        <w:rPr>
          <w:rFonts w:ascii="Lato" w:eastAsiaTheme="minorHAnsi" w:hAnsi="Lato" w:cstheme="minorBidi"/>
          <w:kern w:val="2"/>
          <w:sz w:val="20"/>
          <w:szCs w:val="20"/>
          <w:lang w:eastAsia="en-US"/>
          <w14:ligatures w14:val="standardContextual"/>
        </w:rPr>
        <w:t>zwykle</w:t>
      </w:r>
      <w:r w:rsidRPr="00054889">
        <w:rPr>
          <w:rFonts w:ascii="Lato" w:eastAsiaTheme="minorHAnsi" w:hAnsi="Lato" w:cstheme="minorBidi"/>
          <w:kern w:val="2"/>
          <w:sz w:val="20"/>
          <w:szCs w:val="20"/>
          <w:lang w:eastAsia="en-US"/>
          <w14:ligatures w14:val="standardContextual"/>
        </w:rPr>
        <w:t xml:space="preserve"> prowadzi do wyboru rozwiązań minimalizujących koszt początkowy kosztem trwałości, bezpieczeństwa lub jakości</w:t>
      </w:r>
      <w:r w:rsidR="003B3B0F" w:rsidRPr="00054889">
        <w:rPr>
          <w:rFonts w:ascii="Lato" w:eastAsiaTheme="minorHAnsi" w:hAnsi="Lato" w:cstheme="minorBidi"/>
          <w:kern w:val="2"/>
          <w:sz w:val="20"/>
          <w:szCs w:val="20"/>
          <w:lang w:eastAsia="en-US"/>
          <w14:ligatures w14:val="standardContextual"/>
        </w:rPr>
        <w:t xml:space="preserve">. Docelowo podnosi to jednak koszty ponoszone przez </w:t>
      </w:r>
      <w:r w:rsidR="005F6DBD">
        <w:rPr>
          <w:rFonts w:ascii="Lato" w:eastAsiaTheme="minorHAnsi" w:hAnsi="Lato" w:cstheme="minorBidi"/>
          <w:kern w:val="2"/>
          <w:sz w:val="20"/>
          <w:szCs w:val="20"/>
          <w:lang w:eastAsia="en-US"/>
          <w14:ligatures w14:val="standardContextual"/>
        </w:rPr>
        <w:t>spółki z udziałem Skarbu Państwa</w:t>
      </w:r>
      <w:r w:rsidR="003B3B0F" w:rsidRPr="00054889">
        <w:rPr>
          <w:rFonts w:ascii="Lato" w:eastAsiaTheme="minorHAnsi" w:hAnsi="Lato" w:cstheme="minorBidi"/>
          <w:kern w:val="2"/>
          <w:sz w:val="20"/>
          <w:szCs w:val="20"/>
          <w:lang w:eastAsia="en-US"/>
          <w14:ligatures w14:val="standardContextual"/>
        </w:rPr>
        <w:t xml:space="preserve"> i może być przyczyną długotrwałych problemów z realizacją inwestycji</w:t>
      </w:r>
      <w:r w:rsidR="005F6DBD">
        <w:rPr>
          <w:rFonts w:ascii="Lato" w:eastAsiaTheme="minorHAnsi" w:hAnsi="Lato" w:cstheme="minorBidi"/>
          <w:kern w:val="2"/>
          <w:sz w:val="20"/>
          <w:szCs w:val="20"/>
          <w:lang w:eastAsia="en-US"/>
          <w14:ligatures w14:val="standardContextual"/>
        </w:rPr>
        <w:t>, w tym opóźnień lub wręcz ich zatrzymania</w:t>
      </w:r>
      <w:r w:rsidRPr="00054889">
        <w:rPr>
          <w:rFonts w:ascii="Lato" w:eastAsiaTheme="minorHAnsi" w:hAnsi="Lato" w:cstheme="minorBidi"/>
          <w:kern w:val="2"/>
          <w:sz w:val="20"/>
          <w:szCs w:val="20"/>
          <w:lang w:eastAsia="en-US"/>
          <w14:ligatures w14:val="standardContextual"/>
        </w:rPr>
        <w:t>.</w:t>
      </w:r>
      <w:r w:rsidR="003B3B0F"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 xml:space="preserve">Z kolei uwzględnienie mierzalnych elementów </w:t>
      </w:r>
      <w:proofErr w:type="spellStart"/>
      <w:r w:rsidR="00B149FF" w:rsidRPr="00054889">
        <w:rPr>
          <w:rFonts w:ascii="Lato" w:eastAsiaTheme="minorHAnsi" w:hAnsi="Lato" w:cstheme="minorBidi"/>
          <w:kern w:val="2"/>
          <w:sz w:val="20"/>
          <w:szCs w:val="20"/>
          <w:lang w:eastAsia="en-US"/>
          <w14:ligatures w14:val="standardContextual"/>
        </w:rPr>
        <w:t>pozacenowych</w:t>
      </w:r>
      <w:proofErr w:type="spellEnd"/>
      <w:r w:rsidRPr="00054889">
        <w:rPr>
          <w:rFonts w:ascii="Lato" w:eastAsiaTheme="minorHAnsi" w:hAnsi="Lato" w:cstheme="minorBidi"/>
          <w:kern w:val="2"/>
          <w:sz w:val="20"/>
          <w:szCs w:val="20"/>
          <w:lang w:eastAsia="en-US"/>
          <w14:ligatures w14:val="standardContextual"/>
        </w:rPr>
        <w:t xml:space="preserve"> pozwala identyfikować oferty </w:t>
      </w:r>
      <w:r w:rsidR="00EB3FB5" w:rsidRPr="00054889">
        <w:rPr>
          <w:rFonts w:ascii="Lato" w:eastAsiaTheme="minorHAnsi" w:hAnsi="Lato" w:cstheme="minorBidi"/>
          <w:kern w:val="2"/>
          <w:sz w:val="20"/>
          <w:szCs w:val="20"/>
          <w:lang w:eastAsia="en-US"/>
          <w14:ligatures w14:val="standardContextual"/>
        </w:rPr>
        <w:t xml:space="preserve">wykonawców </w:t>
      </w:r>
      <w:r w:rsidRPr="00054889">
        <w:rPr>
          <w:rFonts w:ascii="Lato" w:eastAsiaTheme="minorHAnsi" w:hAnsi="Lato" w:cstheme="minorBidi"/>
          <w:kern w:val="2"/>
          <w:sz w:val="20"/>
          <w:szCs w:val="20"/>
          <w:lang w:eastAsia="en-US"/>
          <w14:ligatures w14:val="standardContextual"/>
        </w:rPr>
        <w:t>zapewniając</w:t>
      </w:r>
      <w:r w:rsidR="00EB3FB5" w:rsidRPr="00054889">
        <w:rPr>
          <w:rFonts w:ascii="Lato" w:eastAsiaTheme="minorHAnsi" w:hAnsi="Lato" w:cstheme="minorBidi"/>
          <w:kern w:val="2"/>
          <w:sz w:val="20"/>
          <w:szCs w:val="20"/>
          <w:lang w:eastAsia="en-US"/>
          <w14:ligatures w14:val="standardContextual"/>
        </w:rPr>
        <w:t>ych</w:t>
      </w:r>
      <w:r w:rsidRPr="00054889">
        <w:rPr>
          <w:rFonts w:ascii="Lato" w:eastAsiaTheme="minorHAnsi" w:hAnsi="Lato" w:cstheme="minorBidi"/>
          <w:kern w:val="2"/>
          <w:sz w:val="20"/>
          <w:szCs w:val="20"/>
          <w:lang w:eastAsia="en-US"/>
          <w14:ligatures w14:val="standardContextual"/>
        </w:rPr>
        <w:t xml:space="preserve"> wyższy poziom organizacyjny, stabilniejsze zaplecze techniczne oraz realny wkład w rozwój kompetencji i</w:t>
      </w:r>
      <w:r w:rsidR="00C859A0">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łańcucha dostaw funkcjonującego w kraju.</w:t>
      </w:r>
    </w:p>
    <w:p w14:paraId="095EC969" w14:textId="54210217" w:rsidR="00A069DB" w:rsidRPr="00054889" w:rsidRDefault="00AD3F21" w:rsidP="00C859A0">
      <w:pPr>
        <w:pStyle w:val="NormalnyWeb"/>
        <w:widowControl w:val="0"/>
        <w:numPr>
          <w:ilvl w:val="1"/>
          <w:numId w:val="32"/>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C859A0">
        <w:rPr>
          <w:rFonts w:ascii="Lato" w:eastAsiaTheme="minorHAnsi" w:hAnsi="Lato" w:cstheme="minorBidi"/>
          <w:kern w:val="2"/>
          <w:sz w:val="20"/>
          <w:szCs w:val="20"/>
          <w:lang w:eastAsia="en-US"/>
          <w14:ligatures w14:val="standardContextual"/>
        </w:rPr>
        <w:t>Właściwie dobrane</w:t>
      </w:r>
      <w:r w:rsidR="000706DB" w:rsidRPr="00C859A0">
        <w:rPr>
          <w:rFonts w:ascii="Lato" w:eastAsiaTheme="minorHAnsi" w:hAnsi="Lato" w:cstheme="minorBidi"/>
          <w:kern w:val="2"/>
          <w:sz w:val="20"/>
          <w:szCs w:val="20"/>
          <w:lang w:eastAsia="en-US"/>
          <w14:ligatures w14:val="standardContextual"/>
        </w:rPr>
        <w:t xml:space="preserve"> kryteria oceny mogą</w:t>
      </w:r>
      <w:r w:rsidR="003B3B0F" w:rsidRPr="00C859A0">
        <w:rPr>
          <w:rFonts w:ascii="Lato" w:eastAsiaTheme="minorHAnsi" w:hAnsi="Lato" w:cstheme="minorBidi"/>
          <w:kern w:val="2"/>
          <w:sz w:val="20"/>
          <w:szCs w:val="20"/>
          <w:lang w:eastAsia="en-US"/>
          <w14:ligatures w14:val="standardContextual"/>
        </w:rPr>
        <w:t xml:space="preserve"> przyczyniać się do zwiększenia komponentu krajowego </w:t>
      </w:r>
      <w:r w:rsidR="003B3B0F" w:rsidRPr="00054889">
        <w:rPr>
          <w:rFonts w:ascii="Lato" w:hAnsi="Lato"/>
          <w:sz w:val="20"/>
          <w:szCs w:val="20"/>
        </w:rPr>
        <w:t>w</w:t>
      </w:r>
      <w:r w:rsidR="00C859A0">
        <w:rPr>
          <w:rFonts w:ascii="Lato" w:hAnsi="Lato"/>
          <w:sz w:val="20"/>
          <w:szCs w:val="20"/>
        </w:rPr>
        <w:t> </w:t>
      </w:r>
      <w:r w:rsidR="003B3B0F" w:rsidRPr="00054889">
        <w:rPr>
          <w:rFonts w:ascii="Lato" w:hAnsi="Lato"/>
          <w:sz w:val="20"/>
          <w:szCs w:val="20"/>
        </w:rPr>
        <w:t>realizacji kluczowych procesów inwestycyjnych,</w:t>
      </w:r>
      <w:r w:rsidR="000706DB" w:rsidRPr="00054889">
        <w:rPr>
          <w:rFonts w:ascii="Lato" w:hAnsi="Lato"/>
          <w:sz w:val="20"/>
          <w:szCs w:val="20"/>
        </w:rPr>
        <w:t xml:space="preserve"> wzmacniać konkurencję</w:t>
      </w:r>
      <w:r w:rsidR="006F159A" w:rsidRPr="00054889">
        <w:rPr>
          <w:rFonts w:ascii="Lato" w:hAnsi="Lato"/>
          <w:sz w:val="20"/>
          <w:szCs w:val="20"/>
        </w:rPr>
        <w:t>,</w:t>
      </w:r>
      <w:r w:rsidR="000706DB" w:rsidRPr="00054889">
        <w:rPr>
          <w:rFonts w:ascii="Lato" w:hAnsi="Lato"/>
          <w:sz w:val="20"/>
          <w:szCs w:val="20"/>
        </w:rPr>
        <w:t xml:space="preserve"> sprzyjać budowie potencjału wykonawczego w Polsce oraz zwiększać przewidywalność realizacji projektów o</w:t>
      </w:r>
      <w:r w:rsidR="00C859A0">
        <w:rPr>
          <w:rFonts w:ascii="Lato" w:hAnsi="Lato"/>
          <w:sz w:val="20"/>
          <w:szCs w:val="20"/>
        </w:rPr>
        <w:t> </w:t>
      </w:r>
      <w:r w:rsidR="000706DB" w:rsidRPr="00054889">
        <w:rPr>
          <w:rFonts w:ascii="Lato" w:hAnsi="Lato"/>
          <w:sz w:val="20"/>
          <w:szCs w:val="20"/>
        </w:rPr>
        <w:t>znaczeniu strategicznym</w:t>
      </w:r>
      <w:r w:rsidR="003B3B0F" w:rsidRPr="00054889">
        <w:rPr>
          <w:rFonts w:ascii="Lato" w:hAnsi="Lato"/>
          <w:sz w:val="20"/>
          <w:szCs w:val="20"/>
        </w:rPr>
        <w:t xml:space="preserve"> dla </w:t>
      </w:r>
      <w:r w:rsidR="000C5362">
        <w:rPr>
          <w:rFonts w:ascii="Lato" w:hAnsi="Lato"/>
          <w:sz w:val="20"/>
          <w:szCs w:val="20"/>
        </w:rPr>
        <w:t>spółek z udziałem Skarbu Państwa</w:t>
      </w:r>
      <w:r w:rsidR="006F159A" w:rsidRPr="00054889">
        <w:rPr>
          <w:rFonts w:ascii="Lato" w:hAnsi="Lato"/>
          <w:sz w:val="20"/>
          <w:szCs w:val="20"/>
        </w:rPr>
        <w:t>.</w:t>
      </w:r>
      <w:r w:rsidR="00036D69" w:rsidRPr="00054889">
        <w:rPr>
          <w:rFonts w:ascii="Lato" w:hAnsi="Lato"/>
          <w:sz w:val="20"/>
          <w:szCs w:val="20"/>
        </w:rPr>
        <w:t xml:space="preserve"> </w:t>
      </w:r>
      <w:r w:rsidR="00FC0998" w:rsidRPr="00054889">
        <w:rPr>
          <w:rFonts w:ascii="Lato" w:hAnsi="Lato"/>
          <w:sz w:val="20"/>
          <w:szCs w:val="20"/>
        </w:rPr>
        <w:t>S</w:t>
      </w:r>
      <w:r w:rsidR="00036D69" w:rsidRPr="00054889">
        <w:rPr>
          <w:rFonts w:ascii="Lato" w:hAnsi="Lato"/>
          <w:sz w:val="20"/>
          <w:szCs w:val="20"/>
        </w:rPr>
        <w:t xml:space="preserve">przyjają </w:t>
      </w:r>
      <w:r w:rsidR="00FC0998" w:rsidRPr="00054889">
        <w:rPr>
          <w:rFonts w:ascii="Lato" w:hAnsi="Lato"/>
          <w:sz w:val="20"/>
          <w:szCs w:val="20"/>
        </w:rPr>
        <w:t xml:space="preserve">także </w:t>
      </w:r>
      <w:r w:rsidR="00036D69" w:rsidRPr="00054889">
        <w:rPr>
          <w:rFonts w:ascii="Lato" w:hAnsi="Lato"/>
          <w:sz w:val="20"/>
          <w:szCs w:val="20"/>
        </w:rPr>
        <w:t>rozwojowi podmiotów oferujących trwałe i bezpieczne rozwiązania oraz wspierają budowę silnego</w:t>
      </w:r>
      <w:r w:rsidR="000C5362">
        <w:rPr>
          <w:rFonts w:ascii="Lato" w:hAnsi="Lato"/>
          <w:sz w:val="20"/>
          <w:szCs w:val="20"/>
        </w:rPr>
        <w:t xml:space="preserve"> </w:t>
      </w:r>
      <w:r w:rsidR="00036D69" w:rsidRPr="00054889">
        <w:rPr>
          <w:rFonts w:ascii="Lato" w:hAnsi="Lato"/>
          <w:sz w:val="20"/>
          <w:szCs w:val="20"/>
        </w:rPr>
        <w:t>i odpornego</w:t>
      </w:r>
      <w:r w:rsidR="004E41DD" w:rsidRPr="00054889">
        <w:rPr>
          <w:rFonts w:ascii="Lato" w:hAnsi="Lato"/>
          <w:sz w:val="20"/>
          <w:szCs w:val="20"/>
        </w:rPr>
        <w:t xml:space="preserve"> lokalnego </w:t>
      </w:r>
      <w:r w:rsidR="00036D69" w:rsidRPr="00054889">
        <w:rPr>
          <w:rFonts w:ascii="Lato" w:hAnsi="Lato"/>
          <w:sz w:val="20"/>
          <w:szCs w:val="20"/>
        </w:rPr>
        <w:t>łańcucha dostaw.</w:t>
      </w:r>
    </w:p>
    <w:p w14:paraId="19B1F6A3" w14:textId="58E5F7C3" w:rsidR="00685F78" w:rsidRPr="00054889" w:rsidRDefault="007C4CD6"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Rekomenduje </w:t>
      </w:r>
      <w:r w:rsidR="000706DB" w:rsidRPr="00054889">
        <w:rPr>
          <w:rFonts w:ascii="Lato" w:eastAsiaTheme="minorHAnsi" w:hAnsi="Lato" w:cstheme="minorBidi"/>
          <w:kern w:val="2"/>
          <w:sz w:val="20"/>
          <w:szCs w:val="20"/>
          <w:lang w:eastAsia="en-US"/>
          <w14:ligatures w14:val="standardContextual"/>
        </w:rPr>
        <w:t>się w szczególności:</w:t>
      </w:r>
    </w:p>
    <w:p w14:paraId="744953DA" w14:textId="77777777" w:rsidR="00AF39CE" w:rsidRPr="00054889" w:rsidRDefault="000706DB" w:rsidP="00FD2F03">
      <w:pPr>
        <w:pStyle w:val="NormalnyWeb"/>
        <w:widowControl w:val="0"/>
        <w:numPr>
          <w:ilvl w:val="1"/>
          <w:numId w:val="14"/>
        </w:numPr>
        <w:spacing w:before="0" w:beforeAutospacing="0" w:after="120" w:afterAutospacing="0" w:line="360" w:lineRule="auto"/>
        <w:ind w:left="993" w:hanging="284"/>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Stosowanie mierników jakościowych i organizacyjnych</w:t>
      </w:r>
    </w:p>
    <w:p w14:paraId="212C53DE" w14:textId="75C70364" w:rsidR="00A069DB" w:rsidRPr="00054889" w:rsidRDefault="00AD3F21"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U</w:t>
      </w:r>
      <w:r w:rsidR="000706DB" w:rsidRPr="00054889">
        <w:rPr>
          <w:rFonts w:ascii="Lato" w:eastAsiaTheme="minorHAnsi" w:hAnsi="Lato" w:cstheme="minorBidi"/>
          <w:kern w:val="2"/>
          <w:sz w:val="20"/>
          <w:szCs w:val="20"/>
          <w:lang w:eastAsia="en-US"/>
          <w14:ligatures w14:val="standardContextual"/>
        </w:rPr>
        <w:t xml:space="preserve">względnianie elementów odnoszących się do sposobu realizacji zamówienia, struktury </w:t>
      </w:r>
      <w:r w:rsidR="000706DB" w:rsidRPr="00054889">
        <w:rPr>
          <w:rFonts w:ascii="Lato" w:eastAsiaTheme="minorHAnsi" w:hAnsi="Lato" w:cstheme="minorBidi"/>
          <w:kern w:val="2"/>
          <w:sz w:val="20"/>
          <w:szCs w:val="20"/>
          <w:lang w:eastAsia="en-US"/>
          <w14:ligatures w14:val="standardContextual"/>
        </w:rPr>
        <w:lastRenderedPageBreak/>
        <w:t xml:space="preserve">zespołu projektowego, dostępności zaplecza technicznego, czasu reakcji serwisowej lub jakości wsparcia eksploatacyjnego, o ile pozostają one w związku </w:t>
      </w:r>
      <w:r w:rsidR="004F75D4" w:rsidRPr="00054889">
        <w:rPr>
          <w:rFonts w:ascii="Lato" w:eastAsiaTheme="minorHAnsi" w:hAnsi="Lato" w:cstheme="minorBidi"/>
          <w:kern w:val="2"/>
          <w:sz w:val="20"/>
          <w:szCs w:val="20"/>
          <w:lang w:eastAsia="en-US"/>
          <w14:ligatures w14:val="standardContextual"/>
        </w:rPr>
        <w:br/>
      </w:r>
      <w:r w:rsidR="000706DB" w:rsidRPr="00054889">
        <w:rPr>
          <w:rFonts w:ascii="Lato" w:eastAsiaTheme="minorHAnsi" w:hAnsi="Lato" w:cstheme="minorBidi"/>
          <w:kern w:val="2"/>
          <w:sz w:val="20"/>
          <w:szCs w:val="20"/>
          <w:lang w:eastAsia="en-US"/>
          <w14:ligatures w14:val="standardContextual"/>
        </w:rPr>
        <w:t>z przedmiotem zamówienia.</w:t>
      </w:r>
      <w:r w:rsidR="009C7777" w:rsidRPr="00054889">
        <w:rPr>
          <w:rFonts w:ascii="Lato" w:eastAsiaTheme="minorHAnsi" w:hAnsi="Lato" w:cstheme="minorBidi"/>
          <w:kern w:val="2"/>
          <w:sz w:val="20"/>
          <w:szCs w:val="20"/>
          <w:lang w:eastAsia="en-US"/>
          <w14:ligatures w14:val="standardContextual"/>
        </w:rPr>
        <w:t xml:space="preserve"> Kryteria oceny ofert powinny być sformułowane w sposób umożliwiający ocenę nie tylko ceny, ale również jakości i bezpieczeństwa proponowanego rozwiązania oraz zdolności wykonawcy do jego realizacji. Przykładowe mierniki jakościowe mogą obejmować: jakość proponowanego rozwiązania pod względem spełniania wymogów funkcjonalnych, trwałość i niezawodność rozwiązania mierzone na podstawie określonych parametrów technicznych, bezpieczeństwo realizacji i eksploatacji oceniane na podstawie proponowanych procedur i standardów bezpieczeństwa, wpływ na środowisko oceniany na podstawie zużycia energii, emisji</w:t>
      </w:r>
      <w:r w:rsidR="000C5362">
        <w:rPr>
          <w:rFonts w:ascii="Lato" w:eastAsiaTheme="minorHAnsi" w:hAnsi="Lato" w:cstheme="minorBidi"/>
          <w:kern w:val="2"/>
          <w:sz w:val="20"/>
          <w:szCs w:val="20"/>
          <w:lang w:eastAsia="en-US"/>
          <w14:ligatures w14:val="standardContextual"/>
        </w:rPr>
        <w:t xml:space="preserve"> CO</w:t>
      </w:r>
      <w:r w:rsidR="000C5362" w:rsidRPr="000C5362">
        <w:rPr>
          <w:rFonts w:ascii="Lato" w:eastAsiaTheme="minorHAnsi" w:hAnsi="Lato" w:cstheme="minorBidi"/>
          <w:kern w:val="2"/>
          <w:sz w:val="20"/>
          <w:szCs w:val="20"/>
          <w:vertAlign w:val="subscript"/>
          <w:lang w:eastAsia="en-US"/>
          <w14:ligatures w14:val="standardContextual"/>
        </w:rPr>
        <w:t>2</w:t>
      </w:r>
      <w:r w:rsidR="009C7777" w:rsidRPr="00054889">
        <w:rPr>
          <w:rFonts w:ascii="Lato" w:eastAsiaTheme="minorHAnsi" w:hAnsi="Lato" w:cstheme="minorBidi"/>
          <w:kern w:val="2"/>
          <w:sz w:val="20"/>
          <w:szCs w:val="20"/>
          <w:lang w:eastAsia="en-US"/>
          <w14:ligatures w14:val="standardContextual"/>
        </w:rPr>
        <w:t>,</w:t>
      </w:r>
      <w:r w:rsidR="000C5362">
        <w:rPr>
          <w:rFonts w:ascii="Lato" w:eastAsiaTheme="minorHAnsi" w:hAnsi="Lato" w:cstheme="minorBidi"/>
          <w:kern w:val="2"/>
          <w:sz w:val="20"/>
          <w:szCs w:val="20"/>
          <w:lang w:eastAsia="en-US"/>
          <w14:ligatures w14:val="standardContextual"/>
        </w:rPr>
        <w:t xml:space="preserve"> wielkości śladu węglowego,</w:t>
      </w:r>
      <w:r w:rsidR="009C7777" w:rsidRPr="00054889">
        <w:rPr>
          <w:rFonts w:ascii="Lato" w:eastAsiaTheme="minorHAnsi" w:hAnsi="Lato" w:cstheme="minorBidi"/>
          <w:kern w:val="2"/>
          <w:sz w:val="20"/>
          <w:szCs w:val="20"/>
          <w:lang w:eastAsia="en-US"/>
          <w14:ligatures w14:val="standardContextual"/>
        </w:rPr>
        <w:t xml:space="preserve"> czy możliwości recyklingu. Mierniki organizacyjne mogą obejmować: strukturę i doświadczenie zespołu projektowego, w</w:t>
      </w:r>
      <w:r w:rsidR="0000335F">
        <w:rPr>
          <w:rFonts w:ascii="Lato" w:eastAsiaTheme="minorHAnsi" w:hAnsi="Lato" w:cstheme="minorBidi"/>
          <w:kern w:val="2"/>
          <w:sz w:val="20"/>
          <w:szCs w:val="20"/>
          <w:lang w:eastAsia="en-US"/>
          <w14:ligatures w14:val="standardContextual"/>
        </w:rPr>
        <w:t> </w:t>
      </w:r>
      <w:r w:rsidR="009C7777" w:rsidRPr="00054889">
        <w:rPr>
          <w:rFonts w:ascii="Lato" w:eastAsiaTheme="minorHAnsi" w:hAnsi="Lato" w:cstheme="minorBidi"/>
          <w:kern w:val="2"/>
          <w:sz w:val="20"/>
          <w:szCs w:val="20"/>
          <w:lang w:eastAsia="en-US"/>
          <w14:ligatures w14:val="standardContextual"/>
        </w:rPr>
        <w:t>szczególności kierownika projektu i kluczowych specjalistów, dostępność zaplecza technicznego i infrastruktury wspierającej realizację, czas reakcji serwisowej i dostępność wsparcia technicznego po oddaniu do użytku czy proces zapewniania jakości proponowany przez wykonawcę. Każdy z mierników powinien mieć przypisaną wagę lub liczbę punktów, co umożliwia porównanie ofert na podstawie kilku kryteriów jednocześnie.</w:t>
      </w:r>
    </w:p>
    <w:p w14:paraId="3D5D9DD3" w14:textId="0F40AA13" w:rsidR="00AF39CE" w:rsidRPr="00054889" w:rsidRDefault="005210C7" w:rsidP="00FD2F03">
      <w:pPr>
        <w:pStyle w:val="NormalnyWeb"/>
        <w:widowControl w:val="0"/>
        <w:numPr>
          <w:ilvl w:val="1"/>
          <w:numId w:val="14"/>
        </w:numPr>
        <w:spacing w:before="0" w:beforeAutospacing="0" w:after="120" w:afterAutospacing="0" w:line="360" w:lineRule="auto"/>
        <w:ind w:left="993" w:hanging="357"/>
        <w:jc w:val="both"/>
        <w:rPr>
          <w:rFonts w:ascii="Lato" w:hAnsi="Lato"/>
          <w:sz w:val="20"/>
          <w:szCs w:val="20"/>
        </w:rPr>
      </w:pPr>
      <w:r w:rsidRPr="00054889">
        <w:rPr>
          <w:rFonts w:ascii="Lato" w:eastAsiaTheme="minorHAnsi" w:hAnsi="Lato" w:cstheme="minorBidi"/>
          <w:b/>
          <w:bCs/>
          <w:kern w:val="2"/>
          <w:sz w:val="20"/>
          <w:szCs w:val="20"/>
          <w:lang w:eastAsia="en-US"/>
          <w14:ligatures w14:val="standardContextual"/>
        </w:rPr>
        <w:t>Wstępną selekcję</w:t>
      </w:r>
      <w:r w:rsidR="000706DB" w:rsidRPr="00054889">
        <w:rPr>
          <w:rFonts w:ascii="Lato" w:eastAsiaTheme="minorHAnsi" w:hAnsi="Lato" w:cstheme="minorBidi"/>
          <w:b/>
          <w:bCs/>
          <w:kern w:val="2"/>
          <w:sz w:val="20"/>
          <w:szCs w:val="20"/>
          <w:lang w:eastAsia="en-US"/>
          <w14:ligatures w14:val="standardContextual"/>
        </w:rPr>
        <w:t xml:space="preserve"> w trybach wieloetapowych</w:t>
      </w:r>
    </w:p>
    <w:p w14:paraId="06243E38" w14:textId="29DB25AA" w:rsidR="00A069DB" w:rsidRPr="00054889" w:rsidRDefault="000706DB"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eastAsiaTheme="minorHAnsi" w:hAnsi="Lato" w:cstheme="minorBidi"/>
          <w:kern w:val="2"/>
          <w:sz w:val="20"/>
          <w:szCs w:val="20"/>
          <w:lang w:eastAsia="en-US"/>
          <w14:ligatures w14:val="standardContextual"/>
        </w:rPr>
        <w:t xml:space="preserve">W postępowaniach prowadzonych w formule wieloetapowej </w:t>
      </w:r>
      <w:r w:rsidR="00AD3F21" w:rsidRPr="00054889">
        <w:rPr>
          <w:rFonts w:ascii="Lato" w:eastAsiaTheme="minorHAnsi" w:hAnsi="Lato" w:cstheme="minorBidi"/>
          <w:kern w:val="2"/>
          <w:sz w:val="20"/>
          <w:szCs w:val="20"/>
          <w:lang w:eastAsia="en-US"/>
          <w14:ligatures w14:val="standardContextual"/>
        </w:rPr>
        <w:t>-</w:t>
      </w:r>
      <w:r w:rsidRPr="00054889">
        <w:rPr>
          <w:rFonts w:ascii="Lato" w:eastAsiaTheme="minorHAnsi" w:hAnsi="Lato" w:cstheme="minorBidi"/>
          <w:kern w:val="2"/>
          <w:sz w:val="20"/>
          <w:szCs w:val="20"/>
          <w:lang w:eastAsia="en-US"/>
          <w14:ligatures w14:val="standardContextual"/>
        </w:rPr>
        <w:t xml:space="preserve"> stosowanie obiektywnych i</w:t>
      </w:r>
      <w:r w:rsidR="00C35489">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proporcjonalnych kryteriów umożliwiających wybór wykonawców posiadających adekwatne doświadczenie i potencjał organizacyjny. Kryteria te powinny sprzyjać realnej ocenie zdolności wykonawczej przy zachowaniu niedyskryminacyjnego charakteru.</w:t>
      </w:r>
      <w:r w:rsidR="00974641" w:rsidRPr="00054889">
        <w:rPr>
          <w:rFonts w:ascii="Lato" w:eastAsiaTheme="minorHAnsi" w:hAnsi="Lato" w:cstheme="minorBidi"/>
          <w:kern w:val="2"/>
          <w:sz w:val="20"/>
          <w:szCs w:val="20"/>
          <w:lang w:eastAsia="en-US"/>
          <w14:ligatures w14:val="standardContextual"/>
        </w:rPr>
        <w:t xml:space="preserve"> Postępowania wieloetapowe (takie jak dialog konkurencyjny, negocjacje, czy dwuetapowe procedury udzielania zamówienia) umożliwiają przeprowadzenie wstępnej selekcji wykonawców w</w:t>
      </w:r>
      <w:r w:rsidR="00C35489">
        <w:rPr>
          <w:rFonts w:ascii="Lato" w:eastAsiaTheme="minorHAnsi" w:hAnsi="Lato" w:cstheme="minorBidi"/>
          <w:kern w:val="2"/>
          <w:sz w:val="20"/>
          <w:szCs w:val="20"/>
          <w:lang w:eastAsia="en-US"/>
          <w14:ligatures w14:val="standardContextual"/>
        </w:rPr>
        <w:t> </w:t>
      </w:r>
      <w:r w:rsidR="00974641" w:rsidRPr="00054889">
        <w:rPr>
          <w:rFonts w:ascii="Lato" w:eastAsiaTheme="minorHAnsi" w:hAnsi="Lato" w:cstheme="minorBidi"/>
          <w:kern w:val="2"/>
          <w:sz w:val="20"/>
          <w:szCs w:val="20"/>
          <w:lang w:eastAsia="en-US"/>
          <w14:ligatures w14:val="standardContextual"/>
        </w:rPr>
        <w:t>pierwszym etapie, zanim będą oni zobowiązani do przygotowania pełnej, szczegółowej i</w:t>
      </w:r>
      <w:r w:rsidR="00C35489">
        <w:rPr>
          <w:rFonts w:ascii="Lato" w:eastAsiaTheme="minorHAnsi" w:hAnsi="Lato" w:cstheme="minorBidi"/>
          <w:kern w:val="2"/>
          <w:sz w:val="20"/>
          <w:szCs w:val="20"/>
          <w:lang w:eastAsia="en-US"/>
          <w14:ligatures w14:val="standardContextual"/>
        </w:rPr>
        <w:t> </w:t>
      </w:r>
      <w:r w:rsidR="00974641" w:rsidRPr="00054889">
        <w:rPr>
          <w:rFonts w:ascii="Lato" w:eastAsiaTheme="minorHAnsi" w:hAnsi="Lato" w:cstheme="minorBidi"/>
          <w:kern w:val="2"/>
          <w:sz w:val="20"/>
          <w:szCs w:val="20"/>
          <w:lang w:eastAsia="en-US"/>
          <w14:ligatures w14:val="standardContextual"/>
        </w:rPr>
        <w:t>kosztownej oferty (co może ograniczać zaangażowanie lokalnych i krajowych wykonawców). Kryteria wstępnej selekcji powinny być sformułowane w sposób jasny, obiektywny i</w:t>
      </w:r>
      <w:r w:rsidR="00C35489">
        <w:rPr>
          <w:rFonts w:ascii="Lato" w:eastAsiaTheme="minorHAnsi" w:hAnsi="Lato" w:cstheme="minorBidi"/>
          <w:kern w:val="2"/>
          <w:sz w:val="20"/>
          <w:szCs w:val="20"/>
          <w:lang w:eastAsia="en-US"/>
          <w14:ligatures w14:val="standardContextual"/>
        </w:rPr>
        <w:t> </w:t>
      </w:r>
      <w:r w:rsidR="00974641" w:rsidRPr="00054889">
        <w:rPr>
          <w:rFonts w:ascii="Lato" w:eastAsiaTheme="minorHAnsi" w:hAnsi="Lato" w:cstheme="minorBidi"/>
          <w:kern w:val="2"/>
          <w:sz w:val="20"/>
          <w:szCs w:val="20"/>
          <w:lang w:eastAsia="en-US"/>
          <w14:ligatures w14:val="standardContextual"/>
        </w:rPr>
        <w:t xml:space="preserve">proporcjonalny do wymagań zamówienia, umożliwiając </w:t>
      </w:r>
      <w:r w:rsidR="000C5362">
        <w:rPr>
          <w:rFonts w:ascii="Lato" w:eastAsiaTheme="minorHAnsi" w:hAnsi="Lato" w:cstheme="minorBidi"/>
          <w:kern w:val="2"/>
          <w:sz w:val="20"/>
          <w:szCs w:val="20"/>
          <w:lang w:eastAsia="en-US"/>
          <w14:ligatures w14:val="standardContextual"/>
        </w:rPr>
        <w:t>spółkom z udziałem Skarbu Państwa</w:t>
      </w:r>
      <w:r w:rsidR="00974641" w:rsidRPr="00054889">
        <w:rPr>
          <w:rFonts w:ascii="Lato" w:eastAsiaTheme="minorHAnsi" w:hAnsi="Lato" w:cstheme="minorBidi"/>
          <w:kern w:val="2"/>
          <w:sz w:val="20"/>
          <w:szCs w:val="20"/>
          <w:lang w:eastAsia="en-US"/>
          <w14:ligatures w14:val="standardContextual"/>
        </w:rPr>
        <w:t xml:space="preserve"> ocenę, czy dany wykonawca posiada wystarczające doświadczenie i potencjał organizacyjny do przystąpienia do drugiego etapu. Kryteria powinny obejmować: wykazanie doświadczenia w realizacji projektów o</w:t>
      </w:r>
      <w:r w:rsidR="00C35489">
        <w:rPr>
          <w:rFonts w:ascii="Lato" w:eastAsiaTheme="minorHAnsi" w:hAnsi="Lato" w:cstheme="minorBidi"/>
          <w:kern w:val="2"/>
          <w:sz w:val="20"/>
          <w:szCs w:val="20"/>
          <w:lang w:eastAsia="en-US"/>
          <w14:ligatures w14:val="standardContextual"/>
        </w:rPr>
        <w:t> </w:t>
      </w:r>
      <w:r w:rsidR="00974641" w:rsidRPr="00054889">
        <w:rPr>
          <w:rFonts w:ascii="Lato" w:eastAsiaTheme="minorHAnsi" w:hAnsi="Lato" w:cstheme="minorBidi"/>
          <w:kern w:val="2"/>
          <w:sz w:val="20"/>
          <w:szCs w:val="20"/>
          <w:lang w:eastAsia="en-US"/>
          <w14:ligatures w14:val="standardContextual"/>
        </w:rPr>
        <w:t>porównywalnej złożoności i skali, wykazanie dostępności zasobów i</w:t>
      </w:r>
      <w:r w:rsidR="000C5362">
        <w:rPr>
          <w:rFonts w:ascii="Lato" w:eastAsiaTheme="minorHAnsi" w:hAnsi="Lato" w:cstheme="minorBidi"/>
          <w:kern w:val="2"/>
          <w:sz w:val="20"/>
          <w:szCs w:val="20"/>
          <w:lang w:eastAsia="en-US"/>
          <w14:ligatures w14:val="standardContextual"/>
        </w:rPr>
        <w:t> </w:t>
      </w:r>
      <w:r w:rsidR="00974641" w:rsidRPr="00054889">
        <w:rPr>
          <w:rFonts w:ascii="Lato" w:eastAsiaTheme="minorHAnsi" w:hAnsi="Lato" w:cstheme="minorBidi"/>
          <w:kern w:val="2"/>
          <w:sz w:val="20"/>
          <w:szCs w:val="20"/>
          <w:lang w:eastAsia="en-US"/>
          <w14:ligatures w14:val="standardContextual"/>
        </w:rPr>
        <w:t>zaplecza technicznego wymaganych dla danego zamówienia, potwierdzenie zdolności finansowej i organizacyjnej, wykazanie posiadania kluczowych pracowników o wymaganych kwalifikacjach. Kryteria powinny być sformułowane w sposób elastyczny, dopuszczający różne sposoby wykazania spełnienia wymagań (na przykład doświadczenie może być wykazane poprzez referencje, dokumentację projektów, czy doświadczenie kluczowych pracowników). Spółka powinna określić liczbę wykonawców, którzy przejdą do drugiego etapu – liczba ta powinna być wystarczająca, aby zapewnić konkurencję, ale wystarczająco ograniczona, aby drugi etap był efektywny.</w:t>
      </w:r>
    </w:p>
    <w:p w14:paraId="0CE7F07C" w14:textId="77777777" w:rsidR="004F75D4" w:rsidRPr="00054889" w:rsidRDefault="000706DB" w:rsidP="00FD2F03">
      <w:pPr>
        <w:pStyle w:val="NormalnyWeb"/>
        <w:widowControl w:val="0"/>
        <w:numPr>
          <w:ilvl w:val="1"/>
          <w:numId w:val="14"/>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Uwzględnianie doświadczenia w porównywalnym otoczeniu realizacyjnym</w:t>
      </w:r>
    </w:p>
    <w:p w14:paraId="59E44A84" w14:textId="3E7CC21E" w:rsidR="004F75D4" w:rsidRDefault="000706DB"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lastRenderedPageBreak/>
        <w:t>Można brać pod uwagę doświadczenie zdobyte przy realizacji projektów w zbliżonym reżimie technologicznym, organizacyjnym lub regulacyjnym, jeżeli ma to znaczenie dla jakości, bezpieczeństwa i terminowości wykonania zamówienia.</w:t>
      </w:r>
      <w:r w:rsidR="007C4CD6" w:rsidRPr="00054889">
        <w:rPr>
          <w:rFonts w:ascii="Lato" w:eastAsiaTheme="minorHAnsi" w:hAnsi="Lato" w:cstheme="minorBidi"/>
          <w:kern w:val="2"/>
          <w:sz w:val="20"/>
          <w:szCs w:val="20"/>
          <w:lang w:eastAsia="en-US"/>
          <w14:ligatures w14:val="standardContextual"/>
        </w:rPr>
        <w:t xml:space="preserve"> Wymaganie doświadczenia </w:t>
      </w:r>
      <w:r w:rsidR="004B46DD">
        <w:rPr>
          <w:rFonts w:ascii="Lato" w:eastAsiaTheme="minorHAnsi" w:hAnsi="Lato" w:cstheme="minorBidi"/>
          <w:kern w:val="2"/>
          <w:sz w:val="20"/>
          <w:szCs w:val="20"/>
          <w:lang w:eastAsia="en-US"/>
          <w14:ligatures w14:val="standardContextual"/>
        </w:rPr>
        <w:t xml:space="preserve">wyłącznie </w:t>
      </w:r>
      <w:r w:rsidR="007C4CD6" w:rsidRPr="00054889">
        <w:rPr>
          <w:rFonts w:ascii="Lato" w:eastAsiaTheme="minorHAnsi" w:hAnsi="Lato" w:cstheme="minorBidi"/>
          <w:kern w:val="2"/>
          <w:sz w:val="20"/>
          <w:szCs w:val="20"/>
          <w:lang w:eastAsia="en-US"/>
          <w14:ligatures w14:val="standardContextual"/>
        </w:rPr>
        <w:t>w</w:t>
      </w:r>
      <w:r w:rsidR="00C35489">
        <w:rPr>
          <w:rFonts w:ascii="Lato" w:eastAsiaTheme="minorHAnsi" w:hAnsi="Lato" w:cstheme="minorBidi"/>
          <w:kern w:val="2"/>
          <w:sz w:val="20"/>
          <w:szCs w:val="20"/>
          <w:lang w:eastAsia="en-US"/>
          <w14:ligatures w14:val="standardContextual"/>
        </w:rPr>
        <w:t> </w:t>
      </w:r>
      <w:r w:rsidR="007C4CD6" w:rsidRPr="00054889">
        <w:rPr>
          <w:rFonts w:ascii="Lato" w:eastAsiaTheme="minorHAnsi" w:hAnsi="Lato" w:cstheme="minorBidi"/>
          <w:kern w:val="2"/>
          <w:sz w:val="20"/>
          <w:szCs w:val="20"/>
          <w:lang w:eastAsia="en-US"/>
          <w14:ligatures w14:val="standardContextual"/>
        </w:rPr>
        <w:t>projektach tożsamych</w:t>
      </w:r>
      <w:r w:rsidR="004B46DD">
        <w:rPr>
          <w:rFonts w:ascii="Lato" w:eastAsiaTheme="minorHAnsi" w:hAnsi="Lato" w:cstheme="minorBidi"/>
          <w:kern w:val="2"/>
          <w:sz w:val="20"/>
          <w:szCs w:val="20"/>
          <w:lang w:eastAsia="en-US"/>
          <w14:ligatures w14:val="standardContextual"/>
        </w:rPr>
        <w:t xml:space="preserve"> przedmiotowo</w:t>
      </w:r>
      <w:r w:rsidR="007C4CD6" w:rsidRPr="00054889">
        <w:rPr>
          <w:rFonts w:ascii="Lato" w:eastAsiaTheme="minorHAnsi" w:hAnsi="Lato" w:cstheme="minorBidi"/>
          <w:kern w:val="2"/>
          <w:sz w:val="20"/>
          <w:szCs w:val="20"/>
          <w:lang w:eastAsia="en-US"/>
          <w14:ligatures w14:val="standardContextual"/>
        </w:rPr>
        <w:t xml:space="preserve"> może prowadzić do</w:t>
      </w:r>
      <w:r w:rsidR="004B46DD">
        <w:rPr>
          <w:rFonts w:ascii="Lato" w:eastAsiaTheme="minorHAnsi" w:hAnsi="Lato" w:cstheme="minorBidi"/>
          <w:kern w:val="2"/>
          <w:sz w:val="20"/>
          <w:szCs w:val="20"/>
          <w:lang w:eastAsia="en-US"/>
          <w14:ligatures w14:val="standardContextual"/>
        </w:rPr>
        <w:t xml:space="preserve"> </w:t>
      </w:r>
      <w:r w:rsidR="00AF3765">
        <w:rPr>
          <w:rFonts w:ascii="Lato" w:eastAsiaTheme="minorHAnsi" w:hAnsi="Lato" w:cstheme="minorBidi"/>
          <w:kern w:val="2"/>
          <w:sz w:val="20"/>
          <w:szCs w:val="20"/>
          <w:lang w:eastAsia="en-US"/>
          <w14:ligatures w14:val="standardContextual"/>
        </w:rPr>
        <w:t>niepotrzebnego</w:t>
      </w:r>
      <w:r w:rsidR="007C4CD6" w:rsidRPr="00054889">
        <w:rPr>
          <w:rFonts w:ascii="Lato" w:eastAsiaTheme="minorHAnsi" w:hAnsi="Lato" w:cstheme="minorBidi"/>
          <w:kern w:val="2"/>
          <w:sz w:val="20"/>
          <w:szCs w:val="20"/>
          <w:lang w:eastAsia="en-US"/>
          <w14:ligatures w14:val="standardContextual"/>
        </w:rPr>
        <w:t xml:space="preserve"> ograniczenia konkurencji.</w:t>
      </w:r>
      <w:r w:rsidR="00B457D4" w:rsidRPr="00054889">
        <w:rPr>
          <w:rFonts w:ascii="Lato" w:eastAsiaTheme="minorHAnsi" w:hAnsi="Lato" w:cstheme="minorBidi"/>
          <w:kern w:val="2"/>
          <w:sz w:val="20"/>
          <w:szCs w:val="20"/>
          <w:lang w:eastAsia="en-US"/>
          <w14:ligatures w14:val="standardContextual"/>
        </w:rPr>
        <w:t xml:space="preserve"> Wymóg wykazania doświadczenia w realizacji „identycznych" lub „tego samego typu" projektów jest często zbyt restrykcyjny i może w nieuzasadniony sposób ograniczać liczbę potencjalnych oferentów</w:t>
      </w:r>
      <w:r w:rsidR="000C5362">
        <w:rPr>
          <w:rFonts w:ascii="Lato" w:eastAsiaTheme="minorHAnsi" w:hAnsi="Lato" w:cstheme="minorBidi"/>
          <w:kern w:val="2"/>
          <w:sz w:val="20"/>
          <w:szCs w:val="20"/>
          <w:lang w:eastAsia="en-US"/>
          <w14:ligatures w14:val="standardContextual"/>
        </w:rPr>
        <w:t xml:space="preserve">, w tym </w:t>
      </w:r>
      <w:r w:rsidR="00AF3765">
        <w:rPr>
          <w:rFonts w:ascii="Lato" w:eastAsiaTheme="minorHAnsi" w:hAnsi="Lato" w:cstheme="minorBidi"/>
          <w:kern w:val="2"/>
          <w:sz w:val="20"/>
          <w:szCs w:val="20"/>
          <w:lang w:eastAsia="en-US"/>
          <w14:ligatures w14:val="standardContextual"/>
        </w:rPr>
        <w:t>podmiotów krajowych</w:t>
      </w:r>
      <w:r w:rsidR="00B457D4" w:rsidRPr="00054889">
        <w:rPr>
          <w:rFonts w:ascii="Lato" w:eastAsiaTheme="minorHAnsi" w:hAnsi="Lato" w:cstheme="minorBidi"/>
          <w:kern w:val="2"/>
          <w:sz w:val="20"/>
          <w:szCs w:val="20"/>
          <w:lang w:eastAsia="en-US"/>
          <w14:ligatures w14:val="standardContextual"/>
        </w:rPr>
        <w:t>. Ma to szczególne znaczenie w branżach</w:t>
      </w:r>
      <w:r w:rsidR="00F61133" w:rsidRPr="00054889">
        <w:rPr>
          <w:rFonts w:ascii="Lato" w:eastAsiaTheme="minorHAnsi" w:hAnsi="Lato" w:cstheme="minorBidi"/>
          <w:kern w:val="2"/>
          <w:sz w:val="20"/>
          <w:szCs w:val="20"/>
          <w:lang w:eastAsia="en-US"/>
          <w14:ligatures w14:val="standardContextual"/>
        </w:rPr>
        <w:t>, które w Polsce dopiero się rozwijają (jak np. branża morskich farm wiatrowych</w:t>
      </w:r>
      <w:r w:rsidR="00DB071C" w:rsidRPr="00054889">
        <w:rPr>
          <w:rFonts w:ascii="Lato" w:eastAsiaTheme="minorHAnsi" w:hAnsi="Lato" w:cstheme="minorBidi"/>
          <w:kern w:val="2"/>
          <w:sz w:val="20"/>
          <w:szCs w:val="20"/>
          <w:lang w:eastAsia="en-US"/>
          <w14:ligatures w14:val="standardContextual"/>
        </w:rPr>
        <w:t xml:space="preserve"> czy </w:t>
      </w:r>
      <w:r w:rsidR="00F61133" w:rsidRPr="00054889">
        <w:rPr>
          <w:rFonts w:ascii="Lato" w:eastAsiaTheme="minorHAnsi" w:hAnsi="Lato" w:cstheme="minorBidi"/>
          <w:kern w:val="2"/>
          <w:sz w:val="20"/>
          <w:szCs w:val="20"/>
          <w:lang w:eastAsia="en-US"/>
          <w14:ligatures w14:val="standardContextual"/>
        </w:rPr>
        <w:t>zielonego wodoru</w:t>
      </w:r>
      <w:r w:rsidR="00DB071C" w:rsidRPr="00054889">
        <w:rPr>
          <w:rFonts w:ascii="Lato" w:eastAsiaTheme="minorHAnsi" w:hAnsi="Lato" w:cstheme="minorBidi"/>
          <w:kern w:val="2"/>
          <w:sz w:val="20"/>
          <w:szCs w:val="20"/>
          <w:lang w:eastAsia="en-US"/>
          <w14:ligatures w14:val="standardContextual"/>
        </w:rPr>
        <w:t>).</w:t>
      </w:r>
      <w:r w:rsidR="00F61133" w:rsidRPr="00054889">
        <w:rPr>
          <w:rFonts w:ascii="Lato" w:eastAsiaTheme="minorHAnsi" w:hAnsi="Lato" w:cstheme="minorBidi"/>
          <w:kern w:val="2"/>
          <w:sz w:val="20"/>
          <w:szCs w:val="20"/>
          <w:lang w:eastAsia="en-US"/>
          <w14:ligatures w14:val="standardContextual"/>
        </w:rPr>
        <w:t xml:space="preserve"> </w:t>
      </w:r>
      <w:r w:rsidR="00AF3765">
        <w:rPr>
          <w:rFonts w:ascii="Lato" w:eastAsiaTheme="minorHAnsi" w:hAnsi="Lato" w:cstheme="minorBidi"/>
          <w:kern w:val="2"/>
          <w:sz w:val="20"/>
          <w:szCs w:val="20"/>
          <w:lang w:eastAsia="en-US"/>
          <w14:ligatures w14:val="standardContextual"/>
        </w:rPr>
        <w:t>Wskazane jest, aby s</w:t>
      </w:r>
      <w:r w:rsidR="00B457D4" w:rsidRPr="00054889">
        <w:rPr>
          <w:rFonts w:ascii="Lato" w:eastAsiaTheme="minorHAnsi" w:hAnsi="Lato" w:cstheme="minorBidi"/>
          <w:kern w:val="2"/>
          <w:sz w:val="20"/>
          <w:szCs w:val="20"/>
          <w:lang w:eastAsia="en-US"/>
          <w14:ligatures w14:val="standardContextual"/>
        </w:rPr>
        <w:t>półk</w:t>
      </w:r>
      <w:r w:rsidR="00AF3765">
        <w:rPr>
          <w:rFonts w:ascii="Lato" w:eastAsiaTheme="minorHAnsi" w:hAnsi="Lato" w:cstheme="minorBidi"/>
          <w:kern w:val="2"/>
          <w:sz w:val="20"/>
          <w:szCs w:val="20"/>
          <w:lang w:eastAsia="en-US"/>
          <w14:ligatures w14:val="standardContextual"/>
        </w:rPr>
        <w:t>i z udziałem Skarbu Państwa</w:t>
      </w:r>
      <w:r w:rsidR="00B457D4" w:rsidRPr="00054889">
        <w:rPr>
          <w:rFonts w:ascii="Lato" w:eastAsiaTheme="minorHAnsi" w:hAnsi="Lato" w:cstheme="minorBidi"/>
          <w:kern w:val="2"/>
          <w:sz w:val="20"/>
          <w:szCs w:val="20"/>
          <w:lang w:eastAsia="en-US"/>
          <w14:ligatures w14:val="standardContextual"/>
        </w:rPr>
        <w:t xml:space="preserve"> formułowa</w:t>
      </w:r>
      <w:r w:rsidR="00AF3765">
        <w:rPr>
          <w:rFonts w:ascii="Lato" w:eastAsiaTheme="minorHAnsi" w:hAnsi="Lato" w:cstheme="minorBidi"/>
          <w:kern w:val="2"/>
          <w:sz w:val="20"/>
          <w:szCs w:val="20"/>
          <w:lang w:eastAsia="en-US"/>
          <w14:ligatures w14:val="standardContextual"/>
        </w:rPr>
        <w:t xml:space="preserve">ły </w:t>
      </w:r>
      <w:r w:rsidR="00B457D4" w:rsidRPr="00054889">
        <w:rPr>
          <w:rFonts w:ascii="Lato" w:eastAsiaTheme="minorHAnsi" w:hAnsi="Lato" w:cstheme="minorBidi"/>
          <w:kern w:val="2"/>
          <w:sz w:val="20"/>
          <w:szCs w:val="20"/>
          <w:lang w:eastAsia="en-US"/>
          <w14:ligatures w14:val="standardContextual"/>
        </w:rPr>
        <w:t xml:space="preserve">wymogi dotyczące doświadczenia w kategoriach elementów kluczowych dla sukcesu danego zamówienia, niezależnie od tego, czy były one realizowane w dokładnie tej samej branży lub sektorze. </w:t>
      </w:r>
      <w:r w:rsidR="00AF3765">
        <w:rPr>
          <w:rFonts w:ascii="Lato" w:eastAsiaTheme="minorHAnsi" w:hAnsi="Lato" w:cstheme="minorBidi"/>
          <w:kern w:val="2"/>
          <w:sz w:val="20"/>
          <w:szCs w:val="20"/>
          <w:lang w:eastAsia="en-US"/>
          <w14:ligatures w14:val="standardContextual"/>
        </w:rPr>
        <w:t>P</w:t>
      </w:r>
      <w:r w:rsidR="00B457D4" w:rsidRPr="00054889">
        <w:rPr>
          <w:rFonts w:ascii="Lato" w:eastAsiaTheme="minorHAnsi" w:hAnsi="Lato" w:cstheme="minorBidi"/>
          <w:kern w:val="2"/>
          <w:sz w:val="20"/>
          <w:szCs w:val="20"/>
          <w:lang w:eastAsia="en-US"/>
          <w14:ligatures w14:val="standardContextual"/>
        </w:rPr>
        <w:t xml:space="preserve">owinna </w:t>
      </w:r>
      <w:r w:rsidR="00AF3765">
        <w:rPr>
          <w:rFonts w:ascii="Lato" w:eastAsiaTheme="minorHAnsi" w:hAnsi="Lato" w:cstheme="minorBidi"/>
          <w:kern w:val="2"/>
          <w:sz w:val="20"/>
          <w:szCs w:val="20"/>
          <w:lang w:eastAsia="en-US"/>
          <w14:ligatures w14:val="standardContextual"/>
        </w:rPr>
        <w:t>też</w:t>
      </w:r>
      <w:r w:rsidR="00B457D4" w:rsidRPr="00054889">
        <w:rPr>
          <w:rFonts w:ascii="Lato" w:eastAsiaTheme="minorHAnsi" w:hAnsi="Lato" w:cstheme="minorBidi"/>
          <w:kern w:val="2"/>
          <w:sz w:val="20"/>
          <w:szCs w:val="20"/>
          <w:lang w:eastAsia="en-US"/>
          <w14:ligatures w14:val="standardContextual"/>
        </w:rPr>
        <w:t xml:space="preserve"> dopuszczać doświadczenie zdobyte w</w:t>
      </w:r>
      <w:r w:rsidR="0000335F">
        <w:rPr>
          <w:rFonts w:ascii="Lato" w:eastAsiaTheme="minorHAnsi" w:hAnsi="Lato" w:cstheme="minorBidi"/>
          <w:kern w:val="2"/>
          <w:sz w:val="20"/>
          <w:szCs w:val="20"/>
          <w:lang w:eastAsia="en-US"/>
          <w14:ligatures w14:val="standardContextual"/>
        </w:rPr>
        <w:t> </w:t>
      </w:r>
      <w:r w:rsidR="00B457D4" w:rsidRPr="00054889">
        <w:rPr>
          <w:rFonts w:ascii="Lato" w:eastAsiaTheme="minorHAnsi" w:hAnsi="Lato" w:cstheme="minorBidi"/>
          <w:kern w:val="2"/>
          <w:sz w:val="20"/>
          <w:szCs w:val="20"/>
          <w:lang w:eastAsia="en-US"/>
          <w14:ligatures w14:val="standardContextual"/>
        </w:rPr>
        <w:t>porównywalnym otoczeniu organizacyjnym – na przykład doświadczenie w realizacji projektów w kraju może być porównane z doświadczeniem międzynarodowym, jeśli warunki regulacyjne i</w:t>
      </w:r>
      <w:r w:rsidR="00917F7F">
        <w:rPr>
          <w:rFonts w:ascii="Lato" w:eastAsiaTheme="minorHAnsi" w:hAnsi="Lato" w:cstheme="minorBidi"/>
          <w:kern w:val="2"/>
          <w:sz w:val="20"/>
          <w:szCs w:val="20"/>
          <w:lang w:eastAsia="en-US"/>
          <w14:ligatures w14:val="standardContextual"/>
        </w:rPr>
        <w:t> </w:t>
      </w:r>
      <w:r w:rsidR="00B457D4" w:rsidRPr="00054889">
        <w:rPr>
          <w:rFonts w:ascii="Lato" w:eastAsiaTheme="minorHAnsi" w:hAnsi="Lato" w:cstheme="minorBidi"/>
          <w:kern w:val="2"/>
          <w:sz w:val="20"/>
          <w:szCs w:val="20"/>
          <w:lang w:eastAsia="en-US"/>
          <w14:ligatures w14:val="standardContextual"/>
        </w:rPr>
        <w:t>organizacyjne były porównywalne. Takie elastyczne podejście zwiększa dostęp do udziału dla specjalistów posiadających rzeczywiste kompetencje transferowalne, choć mogą oni nie posiadać doświadczenia w dokładnie tej samej branży.</w:t>
      </w:r>
    </w:p>
    <w:p w14:paraId="7087AEF9" w14:textId="6C4AF724" w:rsidR="00E9073A" w:rsidRDefault="00A2302A" w:rsidP="00E9073A">
      <w:pPr>
        <w:pStyle w:val="NormalnyWeb"/>
        <w:widowControl w:val="0"/>
        <w:numPr>
          <w:ilvl w:val="1"/>
          <w:numId w:val="14"/>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E9073A">
        <w:rPr>
          <w:rFonts w:ascii="Lato" w:eastAsiaTheme="minorHAnsi" w:hAnsi="Lato" w:cstheme="minorBidi"/>
          <w:b/>
          <w:bCs/>
          <w:kern w:val="2"/>
          <w:sz w:val="20"/>
          <w:szCs w:val="20"/>
          <w:lang w:eastAsia="en-US"/>
          <w14:ligatures w14:val="standardContextual"/>
        </w:rPr>
        <w:t>Weryfikacja</w:t>
      </w:r>
      <w:r>
        <w:rPr>
          <w:rFonts w:ascii="Lato" w:eastAsiaTheme="minorHAnsi" w:hAnsi="Lato" w:cstheme="minorBidi"/>
          <w:kern w:val="2"/>
          <w:sz w:val="20"/>
          <w:szCs w:val="20"/>
          <w:lang w:eastAsia="en-US"/>
          <w14:ligatures w14:val="standardContextual"/>
        </w:rPr>
        <w:t xml:space="preserve"> </w:t>
      </w:r>
      <w:r w:rsidRPr="00E9073A">
        <w:rPr>
          <w:rFonts w:ascii="Lato" w:eastAsiaTheme="minorHAnsi" w:hAnsi="Lato" w:cstheme="minorBidi"/>
          <w:b/>
          <w:kern w:val="2"/>
          <w:sz w:val="20"/>
          <w:szCs w:val="20"/>
          <w:lang w:eastAsia="en-US"/>
          <w14:ligatures w14:val="standardContextual"/>
        </w:rPr>
        <w:t>ofert składanych z rażąco niską ceną</w:t>
      </w:r>
      <w:r>
        <w:rPr>
          <w:rFonts w:ascii="Lato" w:eastAsiaTheme="minorHAnsi" w:hAnsi="Lato" w:cstheme="minorBidi"/>
          <w:kern w:val="2"/>
          <w:sz w:val="20"/>
          <w:szCs w:val="20"/>
          <w:lang w:eastAsia="en-US"/>
          <w14:ligatures w14:val="standardContextual"/>
        </w:rPr>
        <w:t xml:space="preserve"> </w:t>
      </w:r>
    </w:p>
    <w:p w14:paraId="46E1C7F1" w14:textId="2724046A" w:rsidR="00A2302A" w:rsidRPr="00054889" w:rsidRDefault="00E9073A" w:rsidP="00E9073A">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Spółki z udziałem Skarbu Państwa powinny z ostrożnością podchodzić do o</w:t>
      </w:r>
      <w:r w:rsidR="00A2302A" w:rsidRPr="00A2302A">
        <w:rPr>
          <w:rFonts w:ascii="Lato" w:eastAsiaTheme="minorHAnsi" w:hAnsi="Lato" w:cstheme="minorBidi"/>
          <w:kern w:val="2"/>
          <w:sz w:val="20"/>
          <w:szCs w:val="20"/>
          <w:lang w:eastAsia="en-US"/>
          <w14:ligatures w14:val="standardContextual"/>
        </w:rPr>
        <w:t>fert</w:t>
      </w:r>
      <w:r>
        <w:rPr>
          <w:rFonts w:ascii="Lato" w:eastAsiaTheme="minorHAnsi" w:hAnsi="Lato" w:cstheme="minorBidi"/>
          <w:kern w:val="2"/>
          <w:sz w:val="20"/>
          <w:szCs w:val="20"/>
          <w:lang w:eastAsia="en-US"/>
          <w14:ligatures w14:val="standardContextual"/>
        </w:rPr>
        <w:t>, w których cena znacząco odbiega od ofert innych oferentów. Mogą np. w tym zakresie uwzględniać w wewnętrznych regulacjach korporacyjnych mechanizmy odrzucania skrajnych cenowo ofert (najtańszej i najdrożej). Oferty obejmujące ceny znacząco odbiegające od realiów rynkowych</w:t>
      </w:r>
      <w:r w:rsidR="00A2302A">
        <w:rPr>
          <w:rFonts w:ascii="Lato" w:eastAsiaTheme="minorHAnsi" w:hAnsi="Lato" w:cstheme="minorBidi"/>
          <w:kern w:val="2"/>
          <w:sz w:val="20"/>
          <w:szCs w:val="20"/>
          <w:lang w:eastAsia="en-US"/>
          <w14:ligatures w14:val="standardContextual"/>
        </w:rPr>
        <w:t xml:space="preserve"> często </w:t>
      </w:r>
      <w:r w:rsidR="00A2302A" w:rsidRPr="00A2302A">
        <w:rPr>
          <w:rFonts w:ascii="Lato" w:eastAsiaTheme="minorHAnsi" w:hAnsi="Lato" w:cstheme="minorBidi"/>
          <w:kern w:val="2"/>
          <w:sz w:val="20"/>
          <w:szCs w:val="20"/>
          <w:lang w:eastAsia="en-US"/>
          <w14:ligatures w14:val="standardContextual"/>
        </w:rPr>
        <w:t xml:space="preserve">pochodzą od podmiotów nieznających realiów wykonania kontraktu w Polsce albo chcących za wszelką cenę wejść na </w:t>
      </w:r>
      <w:r>
        <w:rPr>
          <w:rFonts w:ascii="Lato" w:eastAsiaTheme="minorHAnsi" w:hAnsi="Lato" w:cstheme="minorBidi"/>
          <w:kern w:val="2"/>
          <w:sz w:val="20"/>
          <w:szCs w:val="20"/>
          <w:lang w:eastAsia="en-US"/>
          <w14:ligatures w14:val="standardContextual"/>
        </w:rPr>
        <w:t>polski</w:t>
      </w:r>
      <w:r w:rsidRPr="00A2302A">
        <w:rPr>
          <w:rFonts w:ascii="Lato" w:eastAsiaTheme="minorHAnsi" w:hAnsi="Lato" w:cstheme="minorBidi"/>
          <w:kern w:val="2"/>
          <w:sz w:val="20"/>
          <w:szCs w:val="20"/>
          <w:lang w:eastAsia="en-US"/>
          <w14:ligatures w14:val="standardContextual"/>
        </w:rPr>
        <w:t xml:space="preserve"> </w:t>
      </w:r>
      <w:r w:rsidR="00A2302A" w:rsidRPr="00A2302A">
        <w:rPr>
          <w:rFonts w:ascii="Lato" w:eastAsiaTheme="minorHAnsi" w:hAnsi="Lato" w:cstheme="minorBidi"/>
          <w:kern w:val="2"/>
          <w:sz w:val="20"/>
          <w:szCs w:val="20"/>
          <w:lang w:eastAsia="en-US"/>
          <w14:ligatures w14:val="standardContextual"/>
        </w:rPr>
        <w:t xml:space="preserve">rynek. </w:t>
      </w:r>
      <w:r>
        <w:rPr>
          <w:rFonts w:ascii="Lato" w:eastAsiaTheme="minorHAnsi" w:hAnsi="Lato" w:cstheme="minorBidi"/>
          <w:kern w:val="2"/>
          <w:sz w:val="20"/>
          <w:szCs w:val="20"/>
          <w:lang w:eastAsia="en-US"/>
          <w14:ligatures w14:val="standardContextual"/>
        </w:rPr>
        <w:t xml:space="preserve">Zawarcie umowy z takim oferentem może </w:t>
      </w:r>
      <w:r w:rsidR="00A2302A" w:rsidRPr="00A2302A">
        <w:rPr>
          <w:rFonts w:ascii="Lato" w:eastAsiaTheme="minorHAnsi" w:hAnsi="Lato" w:cstheme="minorBidi"/>
          <w:kern w:val="2"/>
          <w:sz w:val="20"/>
          <w:szCs w:val="20"/>
          <w:lang w:eastAsia="en-US"/>
          <w14:ligatures w14:val="standardContextual"/>
        </w:rPr>
        <w:t xml:space="preserve">nie tylko </w:t>
      </w:r>
      <w:r>
        <w:rPr>
          <w:rFonts w:ascii="Lato" w:eastAsiaTheme="minorHAnsi" w:hAnsi="Lato" w:cstheme="minorBidi"/>
          <w:kern w:val="2"/>
          <w:sz w:val="20"/>
          <w:szCs w:val="20"/>
          <w:lang w:eastAsia="en-US"/>
          <w14:ligatures w14:val="standardContextual"/>
        </w:rPr>
        <w:t>doprowadzić do odrzucenia oferty</w:t>
      </w:r>
      <w:r w:rsidR="00A2302A" w:rsidRPr="00A2302A">
        <w:rPr>
          <w:rFonts w:ascii="Lato" w:eastAsiaTheme="minorHAnsi" w:hAnsi="Lato" w:cstheme="minorBidi"/>
          <w:kern w:val="2"/>
          <w:sz w:val="20"/>
          <w:szCs w:val="20"/>
          <w:lang w:eastAsia="en-US"/>
          <w14:ligatures w14:val="standardContextual"/>
        </w:rPr>
        <w:t xml:space="preserve"> rzeteln</w:t>
      </w:r>
      <w:r>
        <w:rPr>
          <w:rFonts w:ascii="Lato" w:eastAsiaTheme="minorHAnsi" w:hAnsi="Lato" w:cstheme="minorBidi"/>
          <w:kern w:val="2"/>
          <w:sz w:val="20"/>
          <w:szCs w:val="20"/>
          <w:lang w:eastAsia="en-US"/>
          <w14:ligatures w14:val="standardContextual"/>
        </w:rPr>
        <w:t>ego</w:t>
      </w:r>
      <w:r w:rsidR="00A2302A" w:rsidRPr="00A2302A">
        <w:rPr>
          <w:rFonts w:ascii="Lato" w:eastAsiaTheme="minorHAnsi" w:hAnsi="Lato" w:cstheme="minorBidi"/>
          <w:kern w:val="2"/>
          <w:sz w:val="20"/>
          <w:szCs w:val="20"/>
          <w:lang w:eastAsia="en-US"/>
          <w14:ligatures w14:val="standardContextual"/>
        </w:rPr>
        <w:t xml:space="preserve"> wykonawc</w:t>
      </w:r>
      <w:r>
        <w:rPr>
          <w:rFonts w:ascii="Lato" w:eastAsiaTheme="minorHAnsi" w:hAnsi="Lato" w:cstheme="minorBidi"/>
          <w:kern w:val="2"/>
          <w:sz w:val="20"/>
          <w:szCs w:val="20"/>
          <w:lang w:eastAsia="en-US"/>
          <w14:ligatures w14:val="standardContextual"/>
        </w:rPr>
        <w:t>y, który może być krajowy,</w:t>
      </w:r>
      <w:r w:rsidR="00A2302A" w:rsidRPr="00A2302A">
        <w:rPr>
          <w:rFonts w:ascii="Lato" w:eastAsiaTheme="minorHAnsi" w:hAnsi="Lato" w:cstheme="minorBidi"/>
          <w:kern w:val="2"/>
          <w:sz w:val="20"/>
          <w:szCs w:val="20"/>
          <w:lang w:eastAsia="en-US"/>
          <w14:ligatures w14:val="standardContextual"/>
        </w:rPr>
        <w:t xml:space="preserve"> ale</w:t>
      </w:r>
      <w:r>
        <w:rPr>
          <w:rFonts w:ascii="Lato" w:eastAsiaTheme="minorHAnsi" w:hAnsi="Lato" w:cstheme="minorBidi"/>
          <w:kern w:val="2"/>
          <w:sz w:val="20"/>
          <w:szCs w:val="20"/>
          <w:lang w:eastAsia="en-US"/>
          <w14:ligatures w14:val="standardContextual"/>
        </w:rPr>
        <w:t xml:space="preserve"> może też doprowadzić do serii problemów</w:t>
      </w:r>
      <w:r w:rsidR="00A2302A" w:rsidRPr="00A2302A">
        <w:rPr>
          <w:rFonts w:ascii="Lato" w:eastAsiaTheme="minorHAnsi" w:hAnsi="Lato" w:cstheme="minorBidi"/>
          <w:kern w:val="2"/>
          <w:sz w:val="20"/>
          <w:szCs w:val="20"/>
          <w:lang w:eastAsia="en-US"/>
          <w14:ligatures w14:val="standardContextual"/>
        </w:rPr>
        <w:t xml:space="preserve"> </w:t>
      </w:r>
      <w:r>
        <w:rPr>
          <w:rFonts w:ascii="Lato" w:eastAsiaTheme="minorHAnsi" w:hAnsi="Lato" w:cstheme="minorBidi"/>
          <w:kern w:val="2"/>
          <w:sz w:val="20"/>
          <w:szCs w:val="20"/>
          <w:lang w:eastAsia="en-US"/>
          <w14:ligatures w14:val="standardContextual"/>
        </w:rPr>
        <w:t xml:space="preserve">przy jego realizacji </w:t>
      </w:r>
      <w:r w:rsidR="00A2302A" w:rsidRPr="00A2302A">
        <w:rPr>
          <w:rFonts w:ascii="Lato" w:eastAsiaTheme="minorHAnsi" w:hAnsi="Lato" w:cstheme="minorBidi"/>
          <w:kern w:val="2"/>
          <w:sz w:val="20"/>
          <w:szCs w:val="20"/>
          <w:lang w:eastAsia="en-US"/>
          <w14:ligatures w14:val="standardContextual"/>
        </w:rPr>
        <w:t>w przyszłości</w:t>
      </w:r>
      <w:r>
        <w:rPr>
          <w:rFonts w:ascii="Lato" w:eastAsiaTheme="minorHAnsi" w:hAnsi="Lato" w:cstheme="minorBidi"/>
          <w:kern w:val="2"/>
          <w:sz w:val="20"/>
          <w:szCs w:val="20"/>
          <w:lang w:eastAsia="en-US"/>
          <w14:ligatures w14:val="standardContextual"/>
        </w:rPr>
        <w:t xml:space="preserve"> (spory o waloryzację kontraktu, problemy z dostępnością maszyn i pracowników, opóźnienia i in.)</w:t>
      </w:r>
      <w:r w:rsidR="00AD1459">
        <w:rPr>
          <w:rFonts w:ascii="Lato" w:eastAsiaTheme="minorHAnsi" w:hAnsi="Lato" w:cstheme="minorBidi"/>
          <w:kern w:val="2"/>
          <w:sz w:val="20"/>
          <w:szCs w:val="20"/>
          <w:lang w:eastAsia="en-US"/>
          <w14:ligatures w14:val="standardContextual"/>
        </w:rPr>
        <w:t>.</w:t>
      </w:r>
    </w:p>
    <w:p w14:paraId="2270C948" w14:textId="11EB685F" w:rsidR="00A63F27" w:rsidRPr="00054889" w:rsidRDefault="00A63F27" w:rsidP="00097032">
      <w:pPr>
        <w:widowControl w:val="0"/>
        <w:spacing w:after="120" w:line="360" w:lineRule="auto"/>
        <w:rPr>
          <w:rFonts w:ascii="Lato" w:hAnsi="Lato"/>
          <w:sz w:val="20"/>
          <w:szCs w:val="20"/>
        </w:rPr>
      </w:pPr>
    </w:p>
    <w:p w14:paraId="70ABE410" w14:textId="5901E773" w:rsidR="00B149FF" w:rsidRDefault="00EC31EC" w:rsidP="00241EEF">
      <w:pPr>
        <w:pStyle w:val="podrozdzial"/>
      </w:pPr>
      <w:bookmarkStart w:id="10" w:name="_Toc228873234"/>
      <w:r w:rsidRPr="00054889">
        <w:t>WYMOGI ORGANIZACYJNE I KADROWE</w:t>
      </w:r>
      <w:bookmarkEnd w:id="10"/>
    </w:p>
    <w:p w14:paraId="78B968A2" w14:textId="77777777" w:rsidR="00413CBB" w:rsidRPr="00413CBB" w:rsidRDefault="00413CBB" w:rsidP="00413CBB">
      <w:pPr>
        <w:widowControl w:val="0"/>
        <w:spacing w:after="120" w:line="360" w:lineRule="auto"/>
        <w:rPr>
          <w:rFonts w:ascii="Lato" w:hAnsi="Lato"/>
          <w:b/>
          <w:bCs/>
          <w:sz w:val="20"/>
          <w:szCs w:val="20"/>
        </w:rPr>
      </w:pPr>
    </w:p>
    <w:p w14:paraId="0B90FAB9" w14:textId="77777777" w:rsidR="00B01B59" w:rsidRPr="00054889" w:rsidRDefault="008716DD" w:rsidP="007D0DA7">
      <w:pPr>
        <w:pStyle w:val="NormalnyWeb"/>
        <w:widowControl w:val="0"/>
        <w:numPr>
          <w:ilvl w:val="1"/>
          <w:numId w:val="33"/>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Ce</w:t>
      </w:r>
      <w:r w:rsidR="007C4CD6" w:rsidRPr="00054889">
        <w:rPr>
          <w:rFonts w:ascii="Lato" w:eastAsiaTheme="minorHAnsi" w:hAnsi="Lato" w:cstheme="minorBidi"/>
          <w:kern w:val="2"/>
          <w:sz w:val="20"/>
          <w:szCs w:val="20"/>
          <w:lang w:eastAsia="en-US"/>
          <w14:ligatures w14:val="standardContextual"/>
        </w:rPr>
        <w:t xml:space="preserve">lowe </w:t>
      </w:r>
      <w:r w:rsidRPr="00054889">
        <w:rPr>
          <w:rFonts w:ascii="Lato" w:eastAsiaTheme="minorHAnsi" w:hAnsi="Lato" w:cstheme="minorBidi"/>
          <w:kern w:val="2"/>
          <w:sz w:val="20"/>
          <w:szCs w:val="20"/>
          <w:lang w:eastAsia="en-US"/>
          <w14:ligatures w14:val="standardContextual"/>
        </w:rPr>
        <w:t>jest wspieranie modeli realizacji zamówień, które sprzyjają budowaniu trwałych kompetencji na poziomie krajowym, zapewniają efektywną komunikację operacyjną oraz umożliwiają sprawne zarządzanie ryzykiem projektowym. Ocena sposobu organizacji realizacji zamówienia nie powinna ograniczać się wyłącznie do aspektu kosztowego, lecz uwzględniać jakość zaplecza organizacyjnego, stabilność struktury zespołu oraz zdolność wykonawcy do zapewnienia długofalowych efektów inwestycji.</w:t>
      </w:r>
    </w:p>
    <w:p w14:paraId="7B3C80CF" w14:textId="58CBD753" w:rsidR="00B01B59" w:rsidRPr="00054889" w:rsidRDefault="008716DD" w:rsidP="00C859A0">
      <w:pPr>
        <w:pStyle w:val="NormalnyWeb"/>
        <w:widowControl w:val="0"/>
        <w:numPr>
          <w:ilvl w:val="1"/>
          <w:numId w:val="33"/>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C859A0">
        <w:rPr>
          <w:rFonts w:ascii="Lato" w:eastAsiaTheme="minorHAnsi" w:hAnsi="Lato" w:cstheme="minorBidi"/>
          <w:kern w:val="2"/>
          <w:sz w:val="20"/>
          <w:szCs w:val="20"/>
          <w:lang w:eastAsia="en-US"/>
          <w14:ligatures w14:val="standardContextual"/>
        </w:rPr>
        <w:t>Sposób ukształtowania wymagań dotyczących struktury zespołu, dostępności kierownictwa projektu oraz zasad współpracy ma bezpośredni wpływ na jakość, terminowość i</w:t>
      </w:r>
      <w:r w:rsidR="00917F7F" w:rsidRPr="00C859A0">
        <w:rPr>
          <w:rFonts w:ascii="Lato" w:eastAsiaTheme="minorHAnsi" w:hAnsi="Lato" w:cstheme="minorBidi"/>
          <w:kern w:val="2"/>
          <w:sz w:val="20"/>
          <w:szCs w:val="20"/>
          <w:lang w:eastAsia="en-US"/>
          <w14:ligatures w14:val="standardContextual"/>
        </w:rPr>
        <w:t> </w:t>
      </w:r>
      <w:r w:rsidRPr="00C859A0">
        <w:rPr>
          <w:rFonts w:ascii="Lato" w:eastAsiaTheme="minorHAnsi" w:hAnsi="Lato" w:cstheme="minorBidi"/>
          <w:kern w:val="2"/>
          <w:sz w:val="20"/>
          <w:szCs w:val="20"/>
          <w:lang w:eastAsia="en-US"/>
          <w14:ligatures w14:val="standardContextual"/>
        </w:rPr>
        <w:t xml:space="preserve">bezpieczeństwo realizacji. </w:t>
      </w:r>
      <w:r w:rsidRPr="00C859A0">
        <w:rPr>
          <w:rFonts w:ascii="Lato" w:eastAsiaTheme="minorHAnsi" w:hAnsi="Lato" w:cstheme="minorBidi"/>
          <w:kern w:val="2"/>
          <w:sz w:val="20"/>
          <w:szCs w:val="20"/>
          <w:lang w:eastAsia="en-US"/>
          <w14:ligatures w14:val="standardContextual"/>
        </w:rPr>
        <w:lastRenderedPageBreak/>
        <w:t xml:space="preserve">Model oparty na realnym zaangażowaniu zasobów </w:t>
      </w:r>
      <w:r w:rsidR="007C4CD6" w:rsidRPr="00C859A0">
        <w:rPr>
          <w:rFonts w:ascii="Lato" w:eastAsiaTheme="minorHAnsi" w:hAnsi="Lato" w:cstheme="minorBidi"/>
          <w:kern w:val="2"/>
          <w:sz w:val="20"/>
          <w:szCs w:val="20"/>
          <w:lang w:eastAsia="en-US"/>
          <w14:ligatures w14:val="standardContextual"/>
        </w:rPr>
        <w:t>lokalnych</w:t>
      </w:r>
      <w:r w:rsidRPr="00C859A0">
        <w:rPr>
          <w:rFonts w:ascii="Lato" w:eastAsiaTheme="minorHAnsi" w:hAnsi="Lato" w:cstheme="minorBidi"/>
          <w:kern w:val="2"/>
          <w:sz w:val="20"/>
          <w:szCs w:val="20"/>
          <w:lang w:eastAsia="en-US"/>
          <w14:ligatures w14:val="standardContextual"/>
        </w:rPr>
        <w:t xml:space="preserve"> sprzyja skróceniu </w:t>
      </w:r>
      <w:r w:rsidR="00AF3765" w:rsidRPr="00C859A0">
        <w:rPr>
          <w:rFonts w:ascii="Lato" w:eastAsiaTheme="minorHAnsi" w:hAnsi="Lato" w:cstheme="minorBidi"/>
          <w:kern w:val="2"/>
          <w:sz w:val="20"/>
          <w:szCs w:val="20"/>
          <w:lang w:eastAsia="en-US"/>
          <w14:ligatures w14:val="standardContextual"/>
        </w:rPr>
        <w:t>procesów</w:t>
      </w:r>
      <w:r w:rsidRPr="00C859A0">
        <w:rPr>
          <w:rFonts w:ascii="Lato" w:eastAsiaTheme="minorHAnsi" w:hAnsi="Lato" w:cstheme="minorBidi"/>
          <w:kern w:val="2"/>
          <w:sz w:val="20"/>
          <w:szCs w:val="20"/>
          <w:lang w:eastAsia="en-US"/>
          <w14:ligatures w14:val="standardContextual"/>
        </w:rPr>
        <w:t xml:space="preserve"> decyzyjnych, zwiększa przejrzystość komunikacji oraz wzmacnia </w:t>
      </w:r>
      <w:r w:rsidR="007C4CD6" w:rsidRPr="00C859A0">
        <w:rPr>
          <w:rFonts w:ascii="Lato" w:eastAsiaTheme="minorHAnsi" w:hAnsi="Lato" w:cstheme="minorBidi"/>
          <w:kern w:val="2"/>
          <w:sz w:val="20"/>
          <w:szCs w:val="20"/>
          <w:lang w:eastAsia="en-US"/>
          <w14:ligatures w14:val="standardContextual"/>
        </w:rPr>
        <w:t xml:space="preserve">bezpieczeństwo </w:t>
      </w:r>
      <w:r w:rsidRPr="00C859A0">
        <w:rPr>
          <w:rFonts w:ascii="Lato" w:eastAsiaTheme="minorHAnsi" w:hAnsi="Lato" w:cstheme="minorBidi"/>
          <w:kern w:val="2"/>
          <w:sz w:val="20"/>
          <w:szCs w:val="20"/>
          <w:lang w:eastAsia="en-US"/>
          <w14:ligatures w14:val="standardContextual"/>
        </w:rPr>
        <w:t>łańcucha dostaw.</w:t>
      </w:r>
    </w:p>
    <w:p w14:paraId="7652CA3A" w14:textId="77777777" w:rsidR="00B01B59" w:rsidRPr="00054889" w:rsidRDefault="008716DD" w:rsidP="00C859A0">
      <w:pPr>
        <w:pStyle w:val="NormalnyWeb"/>
        <w:widowControl w:val="0"/>
        <w:numPr>
          <w:ilvl w:val="1"/>
          <w:numId w:val="33"/>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C859A0">
        <w:rPr>
          <w:rFonts w:ascii="Lato" w:eastAsiaTheme="minorHAnsi" w:hAnsi="Lato" w:cstheme="minorBidi"/>
          <w:kern w:val="2"/>
          <w:sz w:val="20"/>
          <w:szCs w:val="20"/>
          <w:lang w:eastAsia="en-US"/>
          <w14:ligatures w14:val="standardContextual"/>
        </w:rPr>
        <w:t>Odpowiednio określone oczekiwania organizacyjne mogą wspierać rozwój kompetencji wykonawczych w Polsce, zwiększać stabilność projektów oraz ograniczać ryzyka wynikające z barier organizacyjnych i komunikacyjnych.</w:t>
      </w:r>
      <w:r w:rsidR="00036D69" w:rsidRPr="00C859A0">
        <w:rPr>
          <w:rFonts w:ascii="Lato" w:eastAsiaTheme="minorHAnsi" w:hAnsi="Lato" w:cstheme="minorBidi"/>
          <w:kern w:val="2"/>
          <w:sz w:val="20"/>
          <w:szCs w:val="20"/>
          <w:lang w:eastAsia="en-US"/>
          <w14:ligatures w14:val="standardContextual"/>
        </w:rPr>
        <w:t xml:space="preserve"> </w:t>
      </w:r>
    </w:p>
    <w:p w14:paraId="49C50A6B" w14:textId="26EA1CDD" w:rsidR="00B01B59" w:rsidRPr="00054889" w:rsidRDefault="00206430" w:rsidP="00C859A0">
      <w:pPr>
        <w:pStyle w:val="NormalnyWeb"/>
        <w:widowControl w:val="0"/>
        <w:numPr>
          <w:ilvl w:val="1"/>
          <w:numId w:val="33"/>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C859A0">
        <w:rPr>
          <w:rFonts w:ascii="Lato" w:eastAsiaTheme="minorHAnsi" w:hAnsi="Lato" w:cstheme="minorBidi"/>
          <w:kern w:val="2"/>
          <w:sz w:val="20"/>
          <w:szCs w:val="20"/>
          <w:lang w:eastAsia="en-US"/>
          <w14:ligatures w14:val="standardContextual"/>
        </w:rPr>
        <w:t xml:space="preserve">Właściwe </w:t>
      </w:r>
      <w:r w:rsidR="00036D69" w:rsidRPr="00C859A0">
        <w:rPr>
          <w:rFonts w:ascii="Lato" w:eastAsiaTheme="minorHAnsi" w:hAnsi="Lato" w:cstheme="minorBidi"/>
          <w:kern w:val="2"/>
          <w:sz w:val="20"/>
          <w:szCs w:val="20"/>
          <w:lang w:eastAsia="en-US"/>
          <w14:ligatures w14:val="standardContextual"/>
        </w:rPr>
        <w:t>określenie wymogów organizacyjnych i kadrowych sprzyja koncentracji kompetenc</w:t>
      </w:r>
      <w:r w:rsidR="00036D69" w:rsidRPr="00054889">
        <w:rPr>
          <w:rFonts w:ascii="Lato" w:hAnsi="Lato"/>
          <w:sz w:val="20"/>
          <w:szCs w:val="20"/>
        </w:rPr>
        <w:t>ji projektowych w kraju, usprawnia zarządzanie realizacją oraz ogranicza ryzyka związane z</w:t>
      </w:r>
      <w:r w:rsidR="00C859A0">
        <w:rPr>
          <w:rFonts w:ascii="Lato" w:hAnsi="Lato"/>
          <w:sz w:val="20"/>
          <w:szCs w:val="20"/>
        </w:rPr>
        <w:t> </w:t>
      </w:r>
      <w:r w:rsidR="00036D69" w:rsidRPr="00054889">
        <w:rPr>
          <w:rFonts w:ascii="Lato" w:hAnsi="Lato"/>
          <w:sz w:val="20"/>
          <w:szCs w:val="20"/>
        </w:rPr>
        <w:t>rozproszoną strukturą decyzyjną. W efekcie zwiększa przewidywalność przebiegu inwestycji oraz umożliwia trwałe budowanie i utrwalanie specjalistycznych kompetencji wśród przedsiębiorstw funkcjonujących na rynku krajowym.</w:t>
      </w:r>
    </w:p>
    <w:p w14:paraId="3B68616D" w14:textId="77777777" w:rsidR="00B01B59" w:rsidRPr="00054889" w:rsidRDefault="007C4CD6"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hAnsi="Lato"/>
          <w:sz w:val="20"/>
          <w:szCs w:val="20"/>
        </w:rPr>
        <w:t>Rekomenduje</w:t>
      </w:r>
      <w:r w:rsidR="008716DD" w:rsidRPr="00054889">
        <w:rPr>
          <w:rFonts w:ascii="Lato" w:hAnsi="Lato"/>
          <w:sz w:val="20"/>
          <w:szCs w:val="20"/>
        </w:rPr>
        <w:t xml:space="preserve"> się w szczególności:</w:t>
      </w:r>
    </w:p>
    <w:p w14:paraId="1BFD8B5C" w14:textId="77777777" w:rsidR="004F75D4" w:rsidRPr="00054889" w:rsidRDefault="008716DD" w:rsidP="00FD2F03">
      <w:pPr>
        <w:pStyle w:val="NormalnyWeb"/>
        <w:widowControl w:val="0"/>
        <w:numPr>
          <w:ilvl w:val="1"/>
          <w:numId w:val="15"/>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Zapewnienie operacyjnej dostępności kluczowego kierownictwa projektu</w:t>
      </w:r>
    </w:p>
    <w:p w14:paraId="67CE7354" w14:textId="3CFEF4AE" w:rsidR="004F75D4" w:rsidRPr="00054889" w:rsidRDefault="007C4CD6"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O</w:t>
      </w:r>
      <w:r w:rsidR="008716DD" w:rsidRPr="00054889">
        <w:rPr>
          <w:rFonts w:ascii="Lato" w:eastAsiaTheme="minorHAnsi" w:hAnsi="Lato" w:cstheme="minorBidi"/>
          <w:kern w:val="2"/>
          <w:sz w:val="20"/>
          <w:szCs w:val="20"/>
          <w:lang w:eastAsia="en-US"/>
          <w14:ligatures w14:val="standardContextual"/>
        </w:rPr>
        <w:t>kreślanie wymagań dotyczących dostępności osób odpowiedzialnych za zarządzanie projektem na terytorium RP, jeżeli charakter zamówienia uzasadnia potrzebę bieżącej współpracy i nadzoru.</w:t>
      </w:r>
    </w:p>
    <w:p w14:paraId="2A708211" w14:textId="77777777" w:rsidR="00AF39CE" w:rsidRPr="00054889" w:rsidRDefault="008716DD" w:rsidP="00FD2F03">
      <w:pPr>
        <w:pStyle w:val="NormalnyWeb"/>
        <w:widowControl w:val="0"/>
        <w:numPr>
          <w:ilvl w:val="1"/>
          <w:numId w:val="15"/>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hAnsi="Lato"/>
          <w:b/>
          <w:bCs/>
          <w:sz w:val="20"/>
          <w:szCs w:val="20"/>
        </w:rPr>
        <w:t>Angażowanie zespołów realizujących zamówienie w Polsce</w:t>
      </w:r>
    </w:p>
    <w:p w14:paraId="35D9FCB3" w14:textId="256EE5BE" w:rsidR="004F75D4" w:rsidRPr="00054889" w:rsidRDefault="007C4CD6"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hAnsi="Lato"/>
          <w:sz w:val="20"/>
          <w:szCs w:val="20"/>
        </w:rPr>
        <w:t>P</w:t>
      </w:r>
      <w:r w:rsidR="008716DD" w:rsidRPr="00054889">
        <w:rPr>
          <w:rFonts w:ascii="Lato" w:hAnsi="Lato"/>
          <w:sz w:val="20"/>
          <w:szCs w:val="20"/>
        </w:rPr>
        <w:t>romowanie rozwiązań sprzyjających udziałowi zespołów projektowych i wykonawczych działających w kraju, o ile pozostaje to powiązane z przedmiotem zamówienia.</w:t>
      </w:r>
    </w:p>
    <w:p w14:paraId="7061D496" w14:textId="77777777" w:rsidR="004F75D4" w:rsidRPr="00054889" w:rsidRDefault="008716DD" w:rsidP="00FD2F03">
      <w:pPr>
        <w:pStyle w:val="NormalnyWeb"/>
        <w:widowControl w:val="0"/>
        <w:numPr>
          <w:ilvl w:val="1"/>
          <w:numId w:val="15"/>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hAnsi="Lato"/>
          <w:b/>
          <w:bCs/>
          <w:sz w:val="20"/>
          <w:szCs w:val="20"/>
        </w:rPr>
        <w:t>Wspieranie rozwoju rynku pracy</w:t>
      </w:r>
    </w:p>
    <w:p w14:paraId="124A23B3" w14:textId="2EC82554" w:rsidR="00B01B59" w:rsidRPr="00054889" w:rsidRDefault="007C4CD6"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U</w:t>
      </w:r>
      <w:r w:rsidR="008716DD" w:rsidRPr="00054889">
        <w:rPr>
          <w:rFonts w:ascii="Lato" w:hAnsi="Lato"/>
          <w:sz w:val="20"/>
          <w:szCs w:val="20"/>
        </w:rPr>
        <w:t>względnianie</w:t>
      </w:r>
      <w:r w:rsidR="00AF3765">
        <w:rPr>
          <w:rFonts w:ascii="Lato" w:hAnsi="Lato"/>
          <w:sz w:val="20"/>
          <w:szCs w:val="20"/>
        </w:rPr>
        <w:t xml:space="preserve"> lub premiowanie</w:t>
      </w:r>
      <w:r w:rsidR="008716DD" w:rsidRPr="00054889">
        <w:rPr>
          <w:rFonts w:ascii="Lato" w:hAnsi="Lato"/>
          <w:sz w:val="20"/>
          <w:szCs w:val="20"/>
        </w:rPr>
        <w:t xml:space="preserve"> działań sprzyjających</w:t>
      </w:r>
      <w:r w:rsidR="00AF3765">
        <w:rPr>
          <w:rFonts w:ascii="Lato" w:hAnsi="Lato"/>
          <w:sz w:val="20"/>
          <w:szCs w:val="20"/>
        </w:rPr>
        <w:t xml:space="preserve"> wspieraniu przez wykonawców regionalnych rynków pracy</w:t>
      </w:r>
      <w:r w:rsidR="008716DD" w:rsidRPr="00054889">
        <w:rPr>
          <w:rFonts w:ascii="Lato" w:hAnsi="Lato"/>
          <w:sz w:val="20"/>
          <w:szCs w:val="20"/>
        </w:rPr>
        <w:t xml:space="preserve"> </w:t>
      </w:r>
      <w:r w:rsidR="00AF3765">
        <w:rPr>
          <w:rFonts w:ascii="Lato" w:hAnsi="Lato"/>
          <w:sz w:val="20"/>
          <w:szCs w:val="20"/>
        </w:rPr>
        <w:t xml:space="preserve">poprzez </w:t>
      </w:r>
      <w:r w:rsidR="008716DD" w:rsidRPr="00054889">
        <w:rPr>
          <w:rFonts w:ascii="Lato" w:hAnsi="Lato"/>
          <w:sz w:val="20"/>
          <w:szCs w:val="20"/>
        </w:rPr>
        <w:t>tworzeni</w:t>
      </w:r>
      <w:r w:rsidR="00AF3765">
        <w:rPr>
          <w:rFonts w:ascii="Lato" w:hAnsi="Lato"/>
          <w:sz w:val="20"/>
          <w:szCs w:val="20"/>
        </w:rPr>
        <w:t>e nowych</w:t>
      </w:r>
      <w:r w:rsidR="008716DD" w:rsidRPr="00054889">
        <w:rPr>
          <w:rFonts w:ascii="Lato" w:hAnsi="Lato"/>
          <w:sz w:val="20"/>
          <w:szCs w:val="20"/>
        </w:rPr>
        <w:t xml:space="preserve"> lub utrzymywani</w:t>
      </w:r>
      <w:r w:rsidR="00AF3765">
        <w:rPr>
          <w:rFonts w:ascii="Lato" w:hAnsi="Lato"/>
          <w:sz w:val="20"/>
          <w:szCs w:val="20"/>
        </w:rPr>
        <w:t>e</w:t>
      </w:r>
      <w:r w:rsidR="008716DD" w:rsidRPr="00054889">
        <w:rPr>
          <w:rFonts w:ascii="Lato" w:hAnsi="Lato"/>
          <w:sz w:val="20"/>
          <w:szCs w:val="20"/>
        </w:rPr>
        <w:t xml:space="preserve"> </w:t>
      </w:r>
      <w:r w:rsidR="00AF3765">
        <w:rPr>
          <w:rFonts w:ascii="Lato" w:hAnsi="Lato"/>
          <w:sz w:val="20"/>
          <w:szCs w:val="20"/>
        </w:rPr>
        <w:t xml:space="preserve">istniejących </w:t>
      </w:r>
      <w:r w:rsidR="008716DD" w:rsidRPr="00054889">
        <w:rPr>
          <w:rFonts w:ascii="Lato" w:hAnsi="Lato"/>
          <w:sz w:val="20"/>
          <w:szCs w:val="20"/>
        </w:rPr>
        <w:t xml:space="preserve">miejsc pracy w związku z realizacją zamówienia, </w:t>
      </w:r>
      <w:r w:rsidR="00AF3765">
        <w:rPr>
          <w:rFonts w:ascii="Lato" w:hAnsi="Lato"/>
          <w:sz w:val="20"/>
          <w:szCs w:val="20"/>
        </w:rPr>
        <w:t>jak też</w:t>
      </w:r>
      <w:r w:rsidR="008716DD" w:rsidRPr="00054889">
        <w:rPr>
          <w:rFonts w:ascii="Lato" w:hAnsi="Lato"/>
          <w:sz w:val="20"/>
          <w:szCs w:val="20"/>
        </w:rPr>
        <w:t xml:space="preserve"> poprzez</w:t>
      </w:r>
      <w:r w:rsidR="00AF3765">
        <w:rPr>
          <w:rFonts w:ascii="Lato" w:hAnsi="Lato"/>
          <w:sz w:val="20"/>
          <w:szCs w:val="20"/>
        </w:rPr>
        <w:t xml:space="preserve"> wymianę doświadczeń i</w:t>
      </w:r>
      <w:r w:rsidR="008716DD" w:rsidRPr="00054889">
        <w:rPr>
          <w:rFonts w:ascii="Lato" w:hAnsi="Lato"/>
          <w:sz w:val="20"/>
          <w:szCs w:val="20"/>
        </w:rPr>
        <w:t xml:space="preserve"> współpracę z uczelniami i</w:t>
      </w:r>
      <w:r w:rsidR="00917F7F">
        <w:rPr>
          <w:rFonts w:ascii="Lato" w:hAnsi="Lato"/>
          <w:sz w:val="20"/>
          <w:szCs w:val="20"/>
        </w:rPr>
        <w:t> </w:t>
      </w:r>
      <w:r w:rsidR="00DD3873">
        <w:rPr>
          <w:rFonts w:ascii="Lato" w:hAnsi="Lato"/>
          <w:sz w:val="20"/>
          <w:szCs w:val="20"/>
        </w:rPr>
        <w:t xml:space="preserve">lokalnymi </w:t>
      </w:r>
      <w:r w:rsidR="00AF3765">
        <w:rPr>
          <w:rFonts w:ascii="Lato" w:hAnsi="Lato"/>
          <w:sz w:val="20"/>
          <w:szCs w:val="20"/>
        </w:rPr>
        <w:t>szkołami branżowymi</w:t>
      </w:r>
      <w:r w:rsidR="00DD3873">
        <w:rPr>
          <w:rFonts w:ascii="Lato" w:hAnsi="Lato"/>
          <w:sz w:val="20"/>
          <w:szCs w:val="20"/>
        </w:rPr>
        <w:t xml:space="preserve"> na potrzeby przyuczania i szkolenia młodych pracowników</w:t>
      </w:r>
      <w:r w:rsidR="008716DD" w:rsidRPr="00054889">
        <w:rPr>
          <w:rFonts w:ascii="Lato" w:hAnsi="Lato"/>
          <w:sz w:val="20"/>
          <w:szCs w:val="20"/>
        </w:rPr>
        <w:t>.</w:t>
      </w:r>
    </w:p>
    <w:p w14:paraId="7E3415A8" w14:textId="77777777" w:rsidR="004F75D4" w:rsidRPr="00054889" w:rsidRDefault="008716DD" w:rsidP="00FD2F03">
      <w:pPr>
        <w:pStyle w:val="NormalnyWeb"/>
        <w:widowControl w:val="0"/>
        <w:numPr>
          <w:ilvl w:val="1"/>
          <w:numId w:val="15"/>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hAnsi="Lato"/>
          <w:b/>
          <w:bCs/>
          <w:sz w:val="20"/>
          <w:szCs w:val="20"/>
        </w:rPr>
        <w:t>Transfer wiedzy i budowa kompetencji</w:t>
      </w:r>
    </w:p>
    <w:p w14:paraId="0963548E" w14:textId="42AF7505" w:rsidR="006B221A" w:rsidRDefault="007C4CD6"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S</w:t>
      </w:r>
      <w:r w:rsidR="008716DD" w:rsidRPr="00054889">
        <w:rPr>
          <w:rFonts w:ascii="Lato" w:hAnsi="Lato"/>
          <w:sz w:val="20"/>
          <w:szCs w:val="20"/>
        </w:rPr>
        <w:t xml:space="preserve">tosowanie mechanizmów umożliwiających przekazywanie </w:t>
      </w:r>
      <w:r w:rsidR="008716DD" w:rsidRPr="00291A51">
        <w:rPr>
          <w:rFonts w:ascii="Lato" w:hAnsi="Lato"/>
          <w:i/>
          <w:sz w:val="20"/>
          <w:szCs w:val="20"/>
        </w:rPr>
        <w:t>know-how</w:t>
      </w:r>
      <w:r w:rsidR="008716DD" w:rsidRPr="00054889">
        <w:rPr>
          <w:rFonts w:ascii="Lato" w:hAnsi="Lato"/>
          <w:sz w:val="20"/>
          <w:szCs w:val="20"/>
        </w:rPr>
        <w:t xml:space="preserve"> podmiotom uczestniczącym w realizacji zamówienia, w tym poprzez szkolenia, mentoring lub wspólne zespoły projektowe.</w:t>
      </w:r>
    </w:p>
    <w:p w14:paraId="698B1FBE" w14:textId="77777777" w:rsidR="00305C48" w:rsidRPr="00054889" w:rsidRDefault="00305C48" w:rsidP="00097032">
      <w:pPr>
        <w:pStyle w:val="NormalnyWeb"/>
        <w:widowControl w:val="0"/>
        <w:spacing w:before="0" w:beforeAutospacing="0" w:after="120" w:afterAutospacing="0" w:line="360" w:lineRule="auto"/>
        <w:ind w:left="993"/>
        <w:jc w:val="both"/>
        <w:rPr>
          <w:rFonts w:ascii="Lato" w:hAnsi="Lato"/>
          <w:sz w:val="20"/>
          <w:szCs w:val="20"/>
        </w:rPr>
      </w:pPr>
    </w:p>
    <w:p w14:paraId="4A0DBB90" w14:textId="4491B405" w:rsidR="00AF64AF" w:rsidRDefault="00AF64AF" w:rsidP="00241EEF">
      <w:pPr>
        <w:pStyle w:val="podrozdzial"/>
      </w:pPr>
      <w:bookmarkStart w:id="11" w:name="_Toc228873235"/>
      <w:r w:rsidRPr="00054889">
        <w:t>USŁUGI, SERWIS I CYKL ŻYCIA</w:t>
      </w:r>
      <w:bookmarkEnd w:id="11"/>
    </w:p>
    <w:p w14:paraId="16FF3D4E" w14:textId="77777777" w:rsidR="00305C48" w:rsidRPr="00305C48" w:rsidRDefault="00305C48" w:rsidP="00305C48">
      <w:pPr>
        <w:widowControl w:val="0"/>
        <w:spacing w:after="120" w:line="360" w:lineRule="auto"/>
        <w:ind w:left="360"/>
        <w:rPr>
          <w:rFonts w:ascii="Lato" w:hAnsi="Lato"/>
          <w:b/>
          <w:bCs/>
          <w:sz w:val="20"/>
          <w:szCs w:val="20"/>
        </w:rPr>
      </w:pPr>
    </w:p>
    <w:p w14:paraId="5C5EDCAA" w14:textId="450C07F0" w:rsidR="006469FD" w:rsidRPr="00054889" w:rsidRDefault="00E43A0C" w:rsidP="007D0DA7">
      <w:pPr>
        <w:pStyle w:val="NormalnyWeb"/>
        <w:widowControl w:val="0"/>
        <w:numPr>
          <w:ilvl w:val="1"/>
          <w:numId w:val="34"/>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W ramach działań nakierowanych na zwiększani</w:t>
      </w:r>
      <w:r w:rsidR="00CA4152">
        <w:rPr>
          <w:rFonts w:ascii="Lato" w:eastAsiaTheme="minorHAnsi" w:hAnsi="Lato" w:cstheme="minorBidi"/>
          <w:kern w:val="2"/>
          <w:sz w:val="20"/>
          <w:szCs w:val="20"/>
          <w:lang w:eastAsia="en-US"/>
          <w14:ligatures w14:val="standardContextual"/>
        </w:rPr>
        <w:t>e</w:t>
      </w:r>
      <w:r w:rsidRPr="00054889">
        <w:rPr>
          <w:rFonts w:ascii="Lato" w:eastAsiaTheme="minorHAnsi" w:hAnsi="Lato" w:cstheme="minorBidi"/>
          <w:kern w:val="2"/>
          <w:sz w:val="20"/>
          <w:szCs w:val="20"/>
          <w:lang w:eastAsia="en-US"/>
          <w14:ligatures w14:val="standardContextual"/>
        </w:rPr>
        <w:t xml:space="preserve"> udziału komponentu krajowego w</w:t>
      </w:r>
      <w:r w:rsidR="00917F7F">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kluczowych procesach inwestycyjnych spółek z udziałem Skarbu Państwa u</w:t>
      </w:r>
      <w:r w:rsidR="00C215FE" w:rsidRPr="00054889">
        <w:rPr>
          <w:rFonts w:ascii="Lato" w:eastAsiaTheme="minorHAnsi" w:hAnsi="Lato" w:cstheme="minorBidi"/>
          <w:kern w:val="2"/>
          <w:sz w:val="20"/>
          <w:szCs w:val="20"/>
          <w:lang w:eastAsia="en-US"/>
          <w14:ligatures w14:val="standardContextual"/>
        </w:rPr>
        <w:t xml:space="preserve">zasadnione </w:t>
      </w:r>
      <w:r w:rsidR="006469FD" w:rsidRPr="00054889">
        <w:rPr>
          <w:rFonts w:ascii="Lato" w:eastAsiaTheme="minorHAnsi" w:hAnsi="Lato" w:cstheme="minorBidi"/>
          <w:kern w:val="2"/>
          <w:sz w:val="20"/>
          <w:szCs w:val="20"/>
          <w:lang w:eastAsia="en-US"/>
          <w14:ligatures w14:val="standardContextual"/>
        </w:rPr>
        <w:t xml:space="preserve">jest uwzględnianie długoterminowych skutków realizacji zamówienia, obejmujących nie tylko etap dostawy lub wdrożenia, lecz również okres eksploatacji, utrzymania, modernizacji oraz zakończenia użytkowania. </w:t>
      </w:r>
      <w:r w:rsidR="006469FD" w:rsidRPr="00054889">
        <w:rPr>
          <w:rFonts w:ascii="Lato" w:eastAsiaTheme="minorHAnsi" w:hAnsi="Lato" w:cstheme="minorBidi"/>
          <w:kern w:val="2"/>
          <w:sz w:val="20"/>
          <w:szCs w:val="20"/>
          <w:lang w:eastAsia="en-US"/>
          <w14:ligatures w14:val="standardContextual"/>
        </w:rPr>
        <w:lastRenderedPageBreak/>
        <w:t>Perspektywa cyklu życia pozwala ocenić rzeczywiste koszty, dostępność wsparcia technicznego oraz trwałość zastosowanych rozwiązań</w:t>
      </w:r>
      <w:r w:rsidR="00A36C00">
        <w:rPr>
          <w:rFonts w:ascii="Lato" w:eastAsiaTheme="minorHAnsi" w:hAnsi="Lato" w:cstheme="minorBidi"/>
          <w:kern w:val="2"/>
          <w:sz w:val="20"/>
          <w:szCs w:val="20"/>
          <w:lang w:eastAsia="en-US"/>
          <w14:ligatures w14:val="standardContextual"/>
        </w:rPr>
        <w:t xml:space="preserve">, a co za tym idzie poziomu bezpieczeństwa </w:t>
      </w:r>
      <w:r w:rsidR="007A209B">
        <w:rPr>
          <w:rFonts w:ascii="Lato" w:eastAsiaTheme="minorHAnsi" w:hAnsi="Lato" w:cstheme="minorBidi"/>
          <w:kern w:val="2"/>
          <w:sz w:val="20"/>
          <w:szCs w:val="20"/>
          <w:lang w:eastAsia="en-US"/>
          <w14:ligatures w14:val="standardContextual"/>
        </w:rPr>
        <w:t>procesu</w:t>
      </w:r>
      <w:r w:rsidR="00A36C00">
        <w:rPr>
          <w:rFonts w:ascii="Lato" w:eastAsiaTheme="minorHAnsi" w:hAnsi="Lato" w:cstheme="minorBidi"/>
          <w:kern w:val="2"/>
          <w:sz w:val="20"/>
          <w:szCs w:val="20"/>
          <w:lang w:eastAsia="en-US"/>
          <w14:ligatures w14:val="standardContextual"/>
        </w:rPr>
        <w:t xml:space="preserve"> realizacji </w:t>
      </w:r>
      <w:r w:rsidR="007A209B">
        <w:rPr>
          <w:rFonts w:ascii="Lato" w:eastAsiaTheme="minorHAnsi" w:hAnsi="Lato" w:cstheme="minorBidi"/>
          <w:kern w:val="2"/>
          <w:sz w:val="20"/>
          <w:szCs w:val="20"/>
          <w:lang w:eastAsia="en-US"/>
          <w14:ligatures w14:val="standardContextual"/>
        </w:rPr>
        <w:t>zamówienia</w:t>
      </w:r>
      <w:r w:rsidR="006469FD" w:rsidRPr="00054889">
        <w:rPr>
          <w:rFonts w:ascii="Lato" w:eastAsiaTheme="minorHAnsi" w:hAnsi="Lato" w:cstheme="minorBidi"/>
          <w:kern w:val="2"/>
          <w:sz w:val="20"/>
          <w:szCs w:val="20"/>
          <w:lang w:eastAsia="en-US"/>
          <w14:ligatures w14:val="standardContextual"/>
        </w:rPr>
        <w:t>.</w:t>
      </w:r>
    </w:p>
    <w:p w14:paraId="3E445B65" w14:textId="3B27BB54" w:rsidR="006469FD" w:rsidRPr="00054889" w:rsidRDefault="006469FD" w:rsidP="00C859A0">
      <w:pPr>
        <w:pStyle w:val="NormalnyWeb"/>
        <w:widowControl w:val="0"/>
        <w:numPr>
          <w:ilvl w:val="1"/>
          <w:numId w:val="34"/>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Model realizacyjny</w:t>
      </w:r>
      <w:r w:rsidR="005B27FD">
        <w:rPr>
          <w:rFonts w:ascii="Lato" w:eastAsiaTheme="minorHAnsi" w:hAnsi="Lato" w:cstheme="minorBidi"/>
          <w:kern w:val="2"/>
          <w:sz w:val="20"/>
          <w:szCs w:val="20"/>
          <w:lang w:eastAsia="en-US"/>
          <w14:ligatures w14:val="standardContextual"/>
        </w:rPr>
        <w:t xml:space="preserve"> przewidziany na potrzeby inwestycji</w:t>
      </w:r>
      <w:r w:rsidRPr="00054889">
        <w:rPr>
          <w:rFonts w:ascii="Lato" w:eastAsiaTheme="minorHAnsi" w:hAnsi="Lato" w:cstheme="minorBidi"/>
          <w:kern w:val="2"/>
          <w:sz w:val="20"/>
          <w:szCs w:val="20"/>
          <w:lang w:eastAsia="en-US"/>
          <w14:ligatures w14:val="standardContextual"/>
        </w:rPr>
        <w:t xml:space="preserve"> nieuwzględniający etapu utrzymania może prowadzić do</w:t>
      </w:r>
      <w:r w:rsidR="005B27FD">
        <w:rPr>
          <w:rFonts w:ascii="Lato" w:eastAsiaTheme="minorHAnsi" w:hAnsi="Lato" w:cstheme="minorBidi"/>
          <w:kern w:val="2"/>
          <w:sz w:val="20"/>
          <w:szCs w:val="20"/>
          <w:lang w:eastAsia="en-US"/>
          <w14:ligatures w14:val="standardContextual"/>
        </w:rPr>
        <w:t xml:space="preserve"> negatywnego w skutkach</w:t>
      </w:r>
      <w:r w:rsidRPr="00054889">
        <w:rPr>
          <w:rFonts w:ascii="Lato" w:eastAsiaTheme="minorHAnsi" w:hAnsi="Lato" w:cstheme="minorBidi"/>
          <w:kern w:val="2"/>
          <w:sz w:val="20"/>
          <w:szCs w:val="20"/>
          <w:lang w:eastAsia="en-US"/>
          <w14:ligatures w14:val="standardContextual"/>
        </w:rPr>
        <w:t xml:space="preserve"> uzależnienia</w:t>
      </w:r>
      <w:r w:rsidR="005B27FD">
        <w:rPr>
          <w:rFonts w:ascii="Lato" w:eastAsiaTheme="minorHAnsi" w:hAnsi="Lato" w:cstheme="minorBidi"/>
          <w:kern w:val="2"/>
          <w:sz w:val="20"/>
          <w:szCs w:val="20"/>
          <w:lang w:eastAsia="en-US"/>
          <w14:ligatures w14:val="standardContextual"/>
        </w:rPr>
        <w:t xml:space="preserve"> spółki z udziałem Skarbu Państwa</w:t>
      </w:r>
      <w:r w:rsidRPr="00054889">
        <w:rPr>
          <w:rFonts w:ascii="Lato" w:eastAsiaTheme="minorHAnsi" w:hAnsi="Lato" w:cstheme="minorBidi"/>
          <w:kern w:val="2"/>
          <w:sz w:val="20"/>
          <w:szCs w:val="20"/>
          <w:lang w:eastAsia="en-US"/>
          <w14:ligatures w14:val="standardContextual"/>
        </w:rPr>
        <w:t xml:space="preserve"> od zewnętrznych dostawców, wydłużonych czasów reakcji serwisowej oraz</w:t>
      </w:r>
      <w:r w:rsidR="005B27FD">
        <w:rPr>
          <w:rFonts w:ascii="Lato" w:eastAsiaTheme="minorHAnsi" w:hAnsi="Lato" w:cstheme="minorBidi"/>
          <w:kern w:val="2"/>
          <w:sz w:val="20"/>
          <w:szCs w:val="20"/>
          <w:lang w:eastAsia="en-US"/>
          <w14:ligatures w14:val="standardContextual"/>
        </w:rPr>
        <w:t xml:space="preserve"> niekontrolowanego</w:t>
      </w:r>
      <w:r w:rsidRPr="00054889">
        <w:rPr>
          <w:rFonts w:ascii="Lato" w:eastAsiaTheme="minorHAnsi" w:hAnsi="Lato" w:cstheme="minorBidi"/>
          <w:kern w:val="2"/>
          <w:sz w:val="20"/>
          <w:szCs w:val="20"/>
          <w:lang w:eastAsia="en-US"/>
          <w14:ligatures w14:val="standardContextual"/>
        </w:rPr>
        <w:t xml:space="preserve"> wzrostu kosztów operacyjnych w kolejnych latach</w:t>
      </w:r>
      <w:r w:rsidR="005B27FD">
        <w:rPr>
          <w:rFonts w:ascii="Lato" w:eastAsiaTheme="minorHAnsi" w:hAnsi="Lato" w:cstheme="minorBidi"/>
          <w:kern w:val="2"/>
          <w:sz w:val="20"/>
          <w:szCs w:val="20"/>
          <w:lang w:eastAsia="en-US"/>
          <w14:ligatures w14:val="standardContextual"/>
        </w:rPr>
        <w:t>, co może z kolei wpłynąć na płynność finansową i bieżącą działalność danej spółki</w:t>
      </w:r>
      <w:r w:rsidRPr="00054889">
        <w:rPr>
          <w:rFonts w:ascii="Lato" w:eastAsiaTheme="minorHAnsi" w:hAnsi="Lato" w:cstheme="minorBidi"/>
          <w:kern w:val="2"/>
          <w:sz w:val="20"/>
          <w:szCs w:val="20"/>
          <w:lang w:eastAsia="en-US"/>
          <w14:ligatures w14:val="standardContextual"/>
        </w:rPr>
        <w:t>. Natomiast wymagania odnoszące się do dostępności zaplecza technicznego i kompetencji serwisowych</w:t>
      </w:r>
      <w:r w:rsidR="00E43A0C"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w kraju sprzyjają ciągłości funkcjonowania infrastruktury oraz wzmacniają krajowe struktury wykonawcze.</w:t>
      </w:r>
    </w:p>
    <w:p w14:paraId="5F731246" w14:textId="64F5E8D5" w:rsidR="006469FD" w:rsidRPr="00054889" w:rsidRDefault="006469FD" w:rsidP="00C859A0">
      <w:pPr>
        <w:pStyle w:val="NormalnyWeb"/>
        <w:widowControl w:val="0"/>
        <w:numPr>
          <w:ilvl w:val="1"/>
          <w:numId w:val="34"/>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Uwzględnienie elementów eksploatacyjnych na etapie </w:t>
      </w:r>
      <w:r w:rsidR="005B27FD">
        <w:rPr>
          <w:rFonts w:ascii="Lato" w:eastAsiaTheme="minorHAnsi" w:hAnsi="Lato" w:cstheme="minorBidi"/>
          <w:kern w:val="2"/>
          <w:sz w:val="20"/>
          <w:szCs w:val="20"/>
          <w:lang w:eastAsia="en-US"/>
          <w14:ligatures w14:val="standardContextual"/>
        </w:rPr>
        <w:t xml:space="preserve">projektowania </w:t>
      </w:r>
      <w:r w:rsidRPr="00054889">
        <w:rPr>
          <w:rFonts w:ascii="Lato" w:eastAsiaTheme="minorHAnsi" w:hAnsi="Lato" w:cstheme="minorBidi"/>
          <w:kern w:val="2"/>
          <w:sz w:val="20"/>
          <w:szCs w:val="20"/>
          <w:lang w:eastAsia="en-US"/>
          <w14:ligatures w14:val="standardContextual"/>
        </w:rPr>
        <w:t>postępowania</w:t>
      </w:r>
      <w:r w:rsidR="00DA36A8">
        <w:rPr>
          <w:rFonts w:ascii="Lato" w:eastAsiaTheme="minorHAnsi" w:hAnsi="Lato" w:cstheme="minorBidi"/>
          <w:kern w:val="2"/>
          <w:sz w:val="20"/>
          <w:szCs w:val="20"/>
          <w:lang w:eastAsia="en-US"/>
          <w14:ligatures w14:val="standardContextual"/>
        </w:rPr>
        <w:t xml:space="preserve"> i kryteriów udzielenia zamówienia</w:t>
      </w:r>
      <w:r w:rsidRPr="00054889">
        <w:rPr>
          <w:rFonts w:ascii="Lato" w:eastAsiaTheme="minorHAnsi" w:hAnsi="Lato" w:cstheme="minorBidi"/>
          <w:kern w:val="2"/>
          <w:sz w:val="20"/>
          <w:szCs w:val="20"/>
          <w:lang w:eastAsia="en-US"/>
          <w14:ligatures w14:val="standardContextual"/>
        </w:rPr>
        <w:t xml:space="preserve"> może również wpływać na rozwój specjalistycznych usług świadczonych przez przedsiębiorstwa działające w Polsce, a tym samym przyczyniać się do budowy trwałych powiązań</w:t>
      </w:r>
      <w:r w:rsidR="00E43A0C"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w łańcuchu dostaw.</w:t>
      </w:r>
      <w:r w:rsidR="00C215FE" w:rsidRPr="00054889">
        <w:rPr>
          <w:rFonts w:ascii="Lato" w:eastAsiaTheme="minorHAnsi" w:hAnsi="Lato" w:cstheme="minorBidi"/>
          <w:kern w:val="2"/>
          <w:sz w:val="20"/>
          <w:szCs w:val="20"/>
          <w:lang w:eastAsia="en-US"/>
          <w14:ligatures w14:val="standardContextual"/>
        </w:rPr>
        <w:t xml:space="preserve"> Przekłada się również na większą ciągłość funkcjonowania infrastruktury oraz bardziej racjonalne gospodarowanie środkami w całym okresie jej użytkowania.</w:t>
      </w:r>
    </w:p>
    <w:p w14:paraId="774669D4" w14:textId="77777777" w:rsidR="00B01B59" w:rsidRPr="00054889" w:rsidRDefault="00C215FE"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Rekomenduje </w:t>
      </w:r>
      <w:r w:rsidR="006469FD" w:rsidRPr="00054889">
        <w:rPr>
          <w:rFonts w:ascii="Lato" w:eastAsiaTheme="minorHAnsi" w:hAnsi="Lato" w:cstheme="minorBidi"/>
          <w:kern w:val="2"/>
          <w:sz w:val="20"/>
          <w:szCs w:val="20"/>
          <w:lang w:eastAsia="en-US"/>
          <w14:ligatures w14:val="standardContextual"/>
        </w:rPr>
        <w:t>się w szczególności:</w:t>
      </w:r>
    </w:p>
    <w:p w14:paraId="3008D8CD" w14:textId="64474DAB" w:rsidR="004F75D4" w:rsidRPr="00054889" w:rsidRDefault="006469FD" w:rsidP="00FD2F03">
      <w:pPr>
        <w:pStyle w:val="NormalnyWeb"/>
        <w:widowControl w:val="0"/>
        <w:numPr>
          <w:ilvl w:val="1"/>
          <w:numId w:val="16"/>
        </w:numPr>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Uwzględnianie kosztów</w:t>
      </w:r>
      <w:r w:rsidR="000E03B7">
        <w:rPr>
          <w:rFonts w:ascii="Lato" w:eastAsiaTheme="minorHAnsi" w:hAnsi="Lato" w:cstheme="minorBidi"/>
          <w:b/>
          <w:bCs/>
          <w:kern w:val="2"/>
          <w:sz w:val="20"/>
          <w:szCs w:val="20"/>
          <w:lang w:eastAsia="en-US"/>
          <w14:ligatures w14:val="standardContextual"/>
        </w:rPr>
        <w:t xml:space="preserve"> inwestycji</w:t>
      </w:r>
      <w:r w:rsidRPr="00054889">
        <w:rPr>
          <w:rFonts w:ascii="Lato" w:eastAsiaTheme="minorHAnsi" w:hAnsi="Lato" w:cstheme="minorBidi"/>
          <w:b/>
          <w:bCs/>
          <w:kern w:val="2"/>
          <w:sz w:val="20"/>
          <w:szCs w:val="20"/>
          <w:lang w:eastAsia="en-US"/>
          <w14:ligatures w14:val="standardContextual"/>
        </w:rPr>
        <w:t xml:space="preserve"> w całym okresie użytkowania</w:t>
      </w:r>
      <w:r w:rsidR="000E03B7">
        <w:rPr>
          <w:rFonts w:ascii="Lato" w:eastAsiaTheme="minorHAnsi" w:hAnsi="Lato" w:cstheme="minorBidi"/>
          <w:b/>
          <w:bCs/>
          <w:kern w:val="2"/>
          <w:sz w:val="20"/>
          <w:szCs w:val="20"/>
          <w:lang w:eastAsia="en-US"/>
          <w14:ligatures w14:val="standardContextual"/>
        </w:rPr>
        <w:t xml:space="preserve"> jej przedmiotu (</w:t>
      </w:r>
      <w:r w:rsidR="000E03B7" w:rsidRPr="000E03B7">
        <w:rPr>
          <w:rFonts w:ascii="Lato" w:eastAsiaTheme="minorHAnsi" w:hAnsi="Lato" w:cstheme="minorBidi"/>
          <w:b/>
          <w:bCs/>
          <w:kern w:val="2"/>
          <w:sz w:val="20"/>
          <w:szCs w:val="20"/>
          <w:lang w:eastAsia="en-US"/>
          <w14:ligatures w14:val="standardContextual"/>
        </w:rPr>
        <w:t>TOTEX</w:t>
      </w:r>
      <w:r w:rsidR="000E03B7">
        <w:rPr>
          <w:rFonts w:ascii="Lato" w:eastAsiaTheme="minorHAnsi" w:hAnsi="Lato" w:cstheme="minorBidi"/>
          <w:b/>
          <w:bCs/>
          <w:kern w:val="2"/>
          <w:sz w:val="20"/>
          <w:szCs w:val="20"/>
          <w:lang w:eastAsia="en-US"/>
          <w14:ligatures w14:val="standardContextual"/>
        </w:rPr>
        <w:t xml:space="preserve"> -</w:t>
      </w:r>
      <w:r w:rsidR="000E03B7" w:rsidRPr="000E03B7">
        <w:rPr>
          <w:rFonts w:ascii="Lato" w:eastAsiaTheme="minorHAnsi" w:hAnsi="Lato" w:cstheme="minorBidi"/>
          <w:b/>
          <w:bCs/>
          <w:i/>
          <w:kern w:val="2"/>
          <w:sz w:val="20"/>
          <w:szCs w:val="20"/>
          <w:lang w:eastAsia="en-US"/>
          <w14:ligatures w14:val="standardContextual"/>
        </w:rPr>
        <w:t xml:space="preserve">Total </w:t>
      </w:r>
      <w:proofErr w:type="spellStart"/>
      <w:r w:rsidR="000E03B7" w:rsidRPr="000E03B7">
        <w:rPr>
          <w:rFonts w:ascii="Lato" w:eastAsiaTheme="minorHAnsi" w:hAnsi="Lato" w:cstheme="minorBidi"/>
          <w:b/>
          <w:bCs/>
          <w:i/>
          <w:kern w:val="2"/>
          <w:sz w:val="20"/>
          <w:szCs w:val="20"/>
          <w:lang w:eastAsia="en-US"/>
          <w14:ligatures w14:val="standardContextual"/>
        </w:rPr>
        <w:t>Expenditure</w:t>
      </w:r>
      <w:proofErr w:type="spellEnd"/>
      <w:r w:rsidR="000E03B7" w:rsidRPr="000E03B7">
        <w:rPr>
          <w:rFonts w:ascii="Lato" w:eastAsiaTheme="minorHAnsi" w:hAnsi="Lato" w:cstheme="minorBidi"/>
          <w:b/>
          <w:bCs/>
          <w:kern w:val="2"/>
          <w:sz w:val="20"/>
          <w:szCs w:val="20"/>
          <w:lang w:eastAsia="en-US"/>
          <w14:ligatures w14:val="standardContextual"/>
        </w:rPr>
        <w:t>)</w:t>
      </w:r>
    </w:p>
    <w:p w14:paraId="3AD7156F" w14:textId="61E63D51" w:rsidR="00B4017C" w:rsidRPr="00054889" w:rsidRDefault="00C215FE"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A</w:t>
      </w:r>
      <w:r w:rsidR="006469FD" w:rsidRPr="00054889">
        <w:rPr>
          <w:rFonts w:ascii="Lato" w:eastAsiaTheme="minorHAnsi" w:hAnsi="Lato" w:cstheme="minorBidi"/>
          <w:kern w:val="2"/>
          <w:sz w:val="20"/>
          <w:szCs w:val="20"/>
          <w:lang w:eastAsia="en-US"/>
          <w14:ligatures w14:val="standardContextual"/>
        </w:rPr>
        <w:t>nalizę</w:t>
      </w:r>
      <w:r w:rsidR="000E03B7">
        <w:rPr>
          <w:rFonts w:ascii="Lato" w:eastAsiaTheme="minorHAnsi" w:hAnsi="Lato" w:cstheme="minorBidi"/>
          <w:kern w:val="2"/>
          <w:sz w:val="20"/>
          <w:szCs w:val="20"/>
          <w:lang w:eastAsia="en-US"/>
          <w14:ligatures w14:val="standardContextual"/>
        </w:rPr>
        <w:t>, choćby szacunkową, przewidywanych</w:t>
      </w:r>
      <w:r w:rsidR="006469FD" w:rsidRPr="00054889">
        <w:rPr>
          <w:rFonts w:ascii="Lato" w:eastAsiaTheme="minorHAnsi" w:hAnsi="Lato" w:cstheme="minorBidi"/>
          <w:kern w:val="2"/>
          <w:sz w:val="20"/>
          <w:szCs w:val="20"/>
          <w:lang w:eastAsia="en-US"/>
          <w14:ligatures w14:val="standardContextual"/>
        </w:rPr>
        <w:t xml:space="preserve"> kosztów eksploatacyjnych, serwisowych, utrzymaniowych oraz modernizacyjnych przy wyborze oferty, o ile pozostaje to związane z</w:t>
      </w:r>
      <w:r w:rsidR="000E03B7">
        <w:rPr>
          <w:rFonts w:ascii="Lato" w:eastAsiaTheme="minorHAnsi" w:hAnsi="Lato" w:cstheme="minorBidi"/>
          <w:kern w:val="2"/>
          <w:sz w:val="20"/>
          <w:szCs w:val="20"/>
          <w:lang w:eastAsia="en-US"/>
          <w14:ligatures w14:val="standardContextual"/>
        </w:rPr>
        <w:t> </w:t>
      </w:r>
      <w:r w:rsidR="006469FD" w:rsidRPr="00054889">
        <w:rPr>
          <w:rFonts w:ascii="Lato" w:eastAsiaTheme="minorHAnsi" w:hAnsi="Lato" w:cstheme="minorBidi"/>
          <w:kern w:val="2"/>
          <w:sz w:val="20"/>
          <w:szCs w:val="20"/>
          <w:lang w:eastAsia="en-US"/>
          <w14:ligatures w14:val="standardContextual"/>
        </w:rPr>
        <w:t xml:space="preserve">przedmiotem zamówienia. </w:t>
      </w:r>
      <w:r w:rsidR="000E03B7">
        <w:rPr>
          <w:rFonts w:ascii="Lato" w:eastAsiaTheme="minorHAnsi" w:hAnsi="Lato" w:cstheme="minorBidi"/>
          <w:kern w:val="2"/>
          <w:sz w:val="20"/>
          <w:szCs w:val="20"/>
          <w:lang w:eastAsia="en-US"/>
          <w14:ligatures w14:val="standardContextual"/>
        </w:rPr>
        <w:t>Takie p</w:t>
      </w:r>
      <w:r w:rsidR="006469FD" w:rsidRPr="00054889">
        <w:rPr>
          <w:rFonts w:ascii="Lato" w:eastAsiaTheme="minorHAnsi" w:hAnsi="Lato" w:cstheme="minorBidi"/>
          <w:kern w:val="2"/>
          <w:sz w:val="20"/>
          <w:szCs w:val="20"/>
          <w:lang w:eastAsia="en-US"/>
          <w14:ligatures w14:val="standardContextual"/>
        </w:rPr>
        <w:t>odejście umożliwia identyfikację rozwiązań bardziej efektywnych</w:t>
      </w:r>
      <w:r w:rsidR="00E43A0C" w:rsidRPr="00054889">
        <w:rPr>
          <w:rFonts w:ascii="Lato" w:eastAsiaTheme="minorHAnsi" w:hAnsi="Lato" w:cstheme="minorBidi"/>
          <w:kern w:val="2"/>
          <w:sz w:val="20"/>
          <w:szCs w:val="20"/>
          <w:lang w:eastAsia="en-US"/>
          <w14:ligatures w14:val="standardContextual"/>
        </w:rPr>
        <w:t xml:space="preserve"> </w:t>
      </w:r>
      <w:r w:rsidR="000E03B7">
        <w:rPr>
          <w:rFonts w:ascii="Lato" w:eastAsiaTheme="minorHAnsi" w:hAnsi="Lato" w:cstheme="minorBidi"/>
          <w:kern w:val="2"/>
          <w:sz w:val="20"/>
          <w:szCs w:val="20"/>
          <w:lang w:eastAsia="en-US"/>
          <w14:ligatures w14:val="standardContextual"/>
        </w:rPr>
        <w:t xml:space="preserve">kosztowo i operacyjnie </w:t>
      </w:r>
      <w:r w:rsidR="006469FD" w:rsidRPr="00054889">
        <w:rPr>
          <w:rFonts w:ascii="Lato" w:eastAsiaTheme="minorHAnsi" w:hAnsi="Lato" w:cstheme="minorBidi"/>
          <w:kern w:val="2"/>
          <w:sz w:val="20"/>
          <w:szCs w:val="20"/>
          <w:lang w:eastAsia="en-US"/>
          <w14:ligatures w14:val="standardContextual"/>
        </w:rPr>
        <w:t>w dłuższej perspektywie</w:t>
      </w:r>
      <w:r w:rsidR="00E9073A">
        <w:rPr>
          <w:rFonts w:ascii="Lato" w:eastAsiaTheme="minorHAnsi" w:hAnsi="Lato" w:cstheme="minorBidi"/>
          <w:kern w:val="2"/>
          <w:sz w:val="20"/>
          <w:szCs w:val="20"/>
          <w:lang w:eastAsia="en-US"/>
          <w14:ligatures w14:val="standardContextual"/>
        </w:rPr>
        <w:t>, a to może się przekładać na angażowanie krajowych podmiotów</w:t>
      </w:r>
      <w:r w:rsidR="006469FD" w:rsidRPr="00054889">
        <w:rPr>
          <w:rFonts w:ascii="Lato" w:eastAsiaTheme="minorHAnsi" w:hAnsi="Lato" w:cstheme="minorBidi"/>
          <w:kern w:val="2"/>
          <w:sz w:val="20"/>
          <w:szCs w:val="20"/>
          <w:lang w:eastAsia="en-US"/>
          <w14:ligatures w14:val="standardContextual"/>
        </w:rPr>
        <w:t>.</w:t>
      </w:r>
    </w:p>
    <w:p w14:paraId="05EC5C34" w14:textId="77777777" w:rsidR="006B221A" w:rsidRPr="00054889" w:rsidRDefault="006469FD" w:rsidP="00FD2F03">
      <w:pPr>
        <w:pStyle w:val="NormalnyWeb"/>
        <w:widowControl w:val="0"/>
        <w:numPr>
          <w:ilvl w:val="1"/>
          <w:numId w:val="16"/>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Określanie wymagań dotyczących dostępności serwisu i wsparcia technicznego</w:t>
      </w:r>
    </w:p>
    <w:p w14:paraId="434E539D" w14:textId="76176A3C" w:rsidR="00B01B59" w:rsidRPr="00054889" w:rsidRDefault="00C215FE"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F</w:t>
      </w:r>
      <w:r w:rsidR="006469FD" w:rsidRPr="00054889">
        <w:rPr>
          <w:rFonts w:ascii="Lato" w:eastAsiaTheme="minorHAnsi" w:hAnsi="Lato" w:cstheme="minorBidi"/>
          <w:kern w:val="2"/>
          <w:sz w:val="20"/>
          <w:szCs w:val="20"/>
          <w:lang w:eastAsia="en-US"/>
          <w14:ligatures w14:val="standardContextual"/>
        </w:rPr>
        <w:t>ormułowanie oczekiwań odnoszących się do czasu reakcji, dostępności zespołów technicznych oraz zaplecza serwisowego, jeżeli ma to znaczenie dla ciągłości działania.</w:t>
      </w:r>
      <w:r w:rsidR="00E861AB" w:rsidRPr="00054889">
        <w:rPr>
          <w:rFonts w:ascii="Lato" w:eastAsiaTheme="minorHAnsi" w:hAnsi="Lato" w:cstheme="minorBidi"/>
          <w:kern w:val="2"/>
          <w:sz w:val="20"/>
          <w:szCs w:val="20"/>
          <w:lang w:eastAsia="en-US"/>
          <w14:ligatures w14:val="standardContextual"/>
        </w:rPr>
        <w:t xml:space="preserve"> Spółk</w:t>
      </w:r>
      <w:r w:rsidR="00BD5FA5">
        <w:rPr>
          <w:rFonts w:ascii="Lato" w:eastAsiaTheme="minorHAnsi" w:hAnsi="Lato" w:cstheme="minorBidi"/>
          <w:kern w:val="2"/>
          <w:sz w:val="20"/>
          <w:szCs w:val="20"/>
          <w:lang w:eastAsia="en-US"/>
          <w14:ligatures w14:val="standardContextual"/>
        </w:rPr>
        <w:t>i z udziałem Skarbu Państwa</w:t>
      </w:r>
      <w:r w:rsidR="00E861AB" w:rsidRPr="00054889">
        <w:rPr>
          <w:rFonts w:ascii="Lato" w:eastAsiaTheme="minorHAnsi" w:hAnsi="Lato" w:cstheme="minorBidi"/>
          <w:kern w:val="2"/>
          <w:sz w:val="20"/>
          <w:szCs w:val="20"/>
          <w:lang w:eastAsia="en-US"/>
          <w14:ligatures w14:val="standardContextual"/>
        </w:rPr>
        <w:t xml:space="preserve"> powinn</w:t>
      </w:r>
      <w:r w:rsidR="00BD5FA5">
        <w:rPr>
          <w:rFonts w:ascii="Lato" w:eastAsiaTheme="minorHAnsi" w:hAnsi="Lato" w:cstheme="minorBidi"/>
          <w:kern w:val="2"/>
          <w:sz w:val="20"/>
          <w:szCs w:val="20"/>
          <w:lang w:eastAsia="en-US"/>
          <w14:ligatures w14:val="standardContextual"/>
        </w:rPr>
        <w:t>y</w:t>
      </w:r>
      <w:r w:rsidR="00E861AB" w:rsidRPr="00054889">
        <w:rPr>
          <w:rFonts w:ascii="Lato" w:eastAsiaTheme="minorHAnsi" w:hAnsi="Lato" w:cstheme="minorBidi"/>
          <w:kern w:val="2"/>
          <w:sz w:val="20"/>
          <w:szCs w:val="20"/>
          <w:lang w:eastAsia="en-US"/>
          <w14:ligatures w14:val="standardContextual"/>
        </w:rPr>
        <w:t xml:space="preserve"> precyzyjnie określić, jakie wymogi dotyczące dostępności serwisu i wsparcia technicznego ma</w:t>
      </w:r>
      <w:r w:rsidR="00BD5FA5">
        <w:rPr>
          <w:rFonts w:ascii="Lato" w:eastAsiaTheme="minorHAnsi" w:hAnsi="Lato" w:cstheme="minorBidi"/>
          <w:kern w:val="2"/>
          <w:sz w:val="20"/>
          <w:szCs w:val="20"/>
          <w:lang w:eastAsia="en-US"/>
          <w14:ligatures w14:val="standardContextual"/>
        </w:rPr>
        <w:t>ją</w:t>
      </w:r>
      <w:r w:rsidR="00E861AB" w:rsidRPr="00054889">
        <w:rPr>
          <w:rFonts w:ascii="Lato" w:eastAsiaTheme="minorHAnsi" w:hAnsi="Lato" w:cstheme="minorBidi"/>
          <w:kern w:val="2"/>
          <w:sz w:val="20"/>
          <w:szCs w:val="20"/>
          <w:lang w:eastAsia="en-US"/>
          <w14:ligatures w14:val="standardContextual"/>
        </w:rPr>
        <w:t xml:space="preserve"> dla danego zamówienia, a następnie uwzględnić te wymogi jako kryteria oceny ofert. Wymogi powinny być sformułowane w</w:t>
      </w:r>
      <w:r w:rsidR="00BD5FA5">
        <w:rPr>
          <w:rFonts w:ascii="Lato" w:eastAsiaTheme="minorHAnsi" w:hAnsi="Lato" w:cstheme="minorBidi"/>
          <w:kern w:val="2"/>
          <w:sz w:val="20"/>
          <w:szCs w:val="20"/>
          <w:lang w:eastAsia="en-US"/>
          <w14:ligatures w14:val="standardContextual"/>
        </w:rPr>
        <w:t> </w:t>
      </w:r>
      <w:r w:rsidR="00E861AB" w:rsidRPr="00054889">
        <w:rPr>
          <w:rFonts w:ascii="Lato" w:eastAsiaTheme="minorHAnsi" w:hAnsi="Lato" w:cstheme="minorBidi"/>
          <w:kern w:val="2"/>
          <w:sz w:val="20"/>
          <w:szCs w:val="20"/>
          <w:lang w:eastAsia="en-US"/>
          <w14:ligatures w14:val="standardContextual"/>
        </w:rPr>
        <w:t xml:space="preserve">kategoriach mierzalnych, takich jak: czas maksymalny odpowiedzi na zgłoszenie, godziny dostępności wsparcia technicznego, </w:t>
      </w:r>
      <w:r w:rsidR="00BD5FA5">
        <w:rPr>
          <w:rFonts w:ascii="Lato" w:eastAsiaTheme="minorHAnsi" w:hAnsi="Lato" w:cstheme="minorBidi"/>
          <w:kern w:val="2"/>
          <w:sz w:val="20"/>
          <w:szCs w:val="20"/>
          <w:lang w:eastAsia="en-US"/>
          <w14:ligatures w14:val="standardContextual"/>
        </w:rPr>
        <w:t xml:space="preserve">czy </w:t>
      </w:r>
      <w:r w:rsidR="00E861AB" w:rsidRPr="00054889">
        <w:rPr>
          <w:rFonts w:ascii="Lato" w:eastAsiaTheme="minorHAnsi" w:hAnsi="Lato" w:cstheme="minorBidi"/>
          <w:kern w:val="2"/>
          <w:sz w:val="20"/>
          <w:szCs w:val="20"/>
          <w:lang w:eastAsia="en-US"/>
          <w14:ligatures w14:val="standardContextual"/>
        </w:rPr>
        <w:t>dostępność specjalistów</w:t>
      </w:r>
      <w:r w:rsidR="00BD5FA5">
        <w:rPr>
          <w:rFonts w:ascii="Lato" w:eastAsiaTheme="minorHAnsi" w:hAnsi="Lato" w:cstheme="minorBidi"/>
          <w:kern w:val="2"/>
          <w:sz w:val="20"/>
          <w:szCs w:val="20"/>
          <w:lang w:eastAsia="en-US"/>
          <w14:ligatures w14:val="standardContextual"/>
        </w:rPr>
        <w:t>.</w:t>
      </w:r>
    </w:p>
    <w:p w14:paraId="7D7E0273" w14:textId="77777777" w:rsidR="006B221A" w:rsidRPr="00054889" w:rsidRDefault="006469FD" w:rsidP="00FD2F03">
      <w:pPr>
        <w:pStyle w:val="NormalnyWeb"/>
        <w:widowControl w:val="0"/>
        <w:numPr>
          <w:ilvl w:val="1"/>
          <w:numId w:val="16"/>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Zapewnienie dostępności części zamiennych i aktualizacji</w:t>
      </w:r>
    </w:p>
    <w:p w14:paraId="6A971A25" w14:textId="5B98ECA2" w:rsidR="00B01B59" w:rsidRPr="00054889" w:rsidRDefault="002C41EC"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O</w:t>
      </w:r>
      <w:r w:rsidR="006469FD" w:rsidRPr="00054889">
        <w:rPr>
          <w:rFonts w:ascii="Lato" w:eastAsiaTheme="minorHAnsi" w:hAnsi="Lato" w:cstheme="minorBidi"/>
          <w:kern w:val="2"/>
          <w:sz w:val="20"/>
          <w:szCs w:val="20"/>
          <w:lang w:eastAsia="en-US"/>
          <w14:ligatures w14:val="standardContextual"/>
        </w:rPr>
        <w:t>kreślanie minimalnych standardów dostępności części, aktualizacji oprogramowania lub wsparcia technicznego w okresie eksploatacji, co może ograniczać ryzyko przestojów oraz nieplanowanych kosztów.</w:t>
      </w:r>
    </w:p>
    <w:p w14:paraId="3069E6C6" w14:textId="77777777" w:rsidR="006B221A" w:rsidRPr="00054889" w:rsidRDefault="006469FD" w:rsidP="00FD2F03">
      <w:pPr>
        <w:pStyle w:val="NormalnyWeb"/>
        <w:widowControl w:val="0"/>
        <w:numPr>
          <w:ilvl w:val="1"/>
          <w:numId w:val="16"/>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Uwzględnianie możliwości rozwoju i modernizacji</w:t>
      </w:r>
    </w:p>
    <w:p w14:paraId="76D3B441" w14:textId="6C2A748A" w:rsidR="00A63F27" w:rsidRPr="00054889" w:rsidRDefault="002C41EC"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lastRenderedPageBreak/>
        <w:t>A</w:t>
      </w:r>
      <w:r w:rsidR="006469FD" w:rsidRPr="00054889">
        <w:rPr>
          <w:rFonts w:ascii="Lato" w:eastAsiaTheme="minorHAnsi" w:hAnsi="Lato" w:cstheme="minorBidi"/>
          <w:kern w:val="2"/>
          <w:sz w:val="20"/>
          <w:szCs w:val="20"/>
          <w:lang w:eastAsia="en-US"/>
          <w14:ligatures w14:val="standardContextual"/>
        </w:rPr>
        <w:t>nalizę potencjału rozbudowy lub adaptacji rozwiązania w przyszłości, co pozwala na zachowanie elastyczności inwestycji oraz ograniczenie kosztów zmian technologicznych.</w:t>
      </w:r>
      <w:r w:rsidR="00B4017C" w:rsidRPr="00054889">
        <w:rPr>
          <w:rFonts w:ascii="Lato" w:eastAsiaTheme="minorHAnsi" w:hAnsi="Lato" w:cstheme="minorBidi"/>
          <w:kern w:val="2"/>
          <w:sz w:val="20"/>
          <w:szCs w:val="20"/>
          <w:lang w:eastAsia="en-US"/>
          <w14:ligatures w14:val="standardContextual"/>
        </w:rPr>
        <w:t xml:space="preserve"> Spółka powinna oceniać oferowane rozwiązania nie tylko z perspektywy obecnych potrzeb, ale również z perspektywy przyszłych możliwości rozwoju i modernizacji</w:t>
      </w:r>
      <w:r w:rsidR="00BD5FA5">
        <w:rPr>
          <w:rFonts w:ascii="Lato" w:eastAsiaTheme="minorHAnsi" w:hAnsi="Lato" w:cstheme="minorBidi"/>
          <w:kern w:val="2"/>
          <w:sz w:val="20"/>
          <w:szCs w:val="20"/>
          <w:lang w:eastAsia="en-US"/>
          <w14:ligatures w14:val="standardContextual"/>
        </w:rPr>
        <w:t xml:space="preserve"> oraz ich kosztów związanych np. z licencjami, które w przypadku krajowych kontrahentów mogą być niższe</w:t>
      </w:r>
      <w:r w:rsidR="00B4017C" w:rsidRPr="00054889">
        <w:rPr>
          <w:rFonts w:ascii="Lato" w:eastAsiaTheme="minorHAnsi" w:hAnsi="Lato" w:cstheme="minorBidi"/>
          <w:kern w:val="2"/>
          <w:sz w:val="20"/>
          <w:szCs w:val="20"/>
          <w:lang w:eastAsia="en-US"/>
          <w14:ligatures w14:val="standardContextual"/>
        </w:rPr>
        <w:t>. Wymogi powinny obejmować: możliwość rozbudowy systemu bez konieczności całkowitej wymiany istniejącej infrastruktury i możliwość integracji z przyszłymi systemami i</w:t>
      </w:r>
      <w:r w:rsidR="0000335F">
        <w:rPr>
          <w:rFonts w:ascii="Lato" w:eastAsiaTheme="minorHAnsi" w:hAnsi="Lato" w:cstheme="minorBidi"/>
          <w:kern w:val="2"/>
          <w:sz w:val="20"/>
          <w:szCs w:val="20"/>
          <w:lang w:eastAsia="en-US"/>
          <w14:ligatures w14:val="standardContextual"/>
        </w:rPr>
        <w:t> </w:t>
      </w:r>
      <w:r w:rsidR="00B4017C" w:rsidRPr="00054889">
        <w:rPr>
          <w:rFonts w:ascii="Lato" w:eastAsiaTheme="minorHAnsi" w:hAnsi="Lato" w:cstheme="minorBidi"/>
          <w:kern w:val="2"/>
          <w:sz w:val="20"/>
          <w:szCs w:val="20"/>
          <w:lang w:eastAsia="en-US"/>
          <w14:ligatures w14:val="standardContextual"/>
        </w:rPr>
        <w:t>technologiami.</w:t>
      </w:r>
    </w:p>
    <w:p w14:paraId="15BBB233" w14:textId="7F776274" w:rsidR="00D154B0" w:rsidRPr="00054889" w:rsidRDefault="00D154B0" w:rsidP="00FD2F03">
      <w:pPr>
        <w:pStyle w:val="NormalnyWeb"/>
        <w:widowControl w:val="0"/>
        <w:numPr>
          <w:ilvl w:val="1"/>
          <w:numId w:val="16"/>
        </w:numPr>
        <w:spacing w:before="0" w:beforeAutospacing="0" w:after="120" w:afterAutospacing="0" w:line="360" w:lineRule="auto"/>
        <w:ind w:left="993" w:hanging="357"/>
        <w:jc w:val="both"/>
        <w:rPr>
          <w:rFonts w:ascii="Lato" w:hAnsi="Lato"/>
          <w:b/>
          <w:bCs/>
          <w:sz w:val="20"/>
          <w:szCs w:val="20"/>
        </w:rPr>
      </w:pPr>
      <w:r w:rsidRPr="00054889">
        <w:rPr>
          <w:rFonts w:ascii="Lato" w:hAnsi="Lato"/>
          <w:b/>
          <w:bCs/>
          <w:sz w:val="20"/>
          <w:szCs w:val="20"/>
        </w:rPr>
        <w:t xml:space="preserve">Wymogi dotyczące </w:t>
      </w:r>
      <w:r w:rsidRPr="0081437C">
        <w:rPr>
          <w:rFonts w:ascii="Lato" w:eastAsiaTheme="minorHAnsi" w:hAnsi="Lato" w:cstheme="minorBidi"/>
          <w:b/>
          <w:bCs/>
          <w:kern w:val="2"/>
          <w:sz w:val="20"/>
          <w:szCs w:val="20"/>
          <w:lang w:eastAsia="en-US"/>
          <w14:ligatures w14:val="standardContextual"/>
        </w:rPr>
        <w:t>bezpieczeństwa</w:t>
      </w:r>
      <w:r w:rsidRPr="00054889">
        <w:rPr>
          <w:rFonts w:ascii="Lato" w:hAnsi="Lato"/>
          <w:b/>
          <w:bCs/>
          <w:sz w:val="20"/>
          <w:szCs w:val="20"/>
        </w:rPr>
        <w:t xml:space="preserve"> danych i </w:t>
      </w:r>
      <w:proofErr w:type="spellStart"/>
      <w:r w:rsidRPr="00054889">
        <w:rPr>
          <w:rFonts w:ascii="Lato" w:hAnsi="Lato"/>
          <w:b/>
          <w:bCs/>
          <w:sz w:val="20"/>
          <w:szCs w:val="20"/>
        </w:rPr>
        <w:t>cyberbezpieczeństwa</w:t>
      </w:r>
      <w:proofErr w:type="spellEnd"/>
    </w:p>
    <w:p w14:paraId="5CB01568" w14:textId="5176545E" w:rsidR="00D154B0" w:rsidRPr="00054889" w:rsidRDefault="00D154B0"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Określanie standardów bezpieczeństwa danych przetwarzanych i przechowywanych na potrzeby realizacji zamówienia, w tym wymogi dotyczące położenia serwerów, bezpieczeństwa łańcucha dostaw oraz zgodności z obowiązującymi regulacjami unijnymi. Wymogi powinny być proporcjonalne do charakteru danych i zagrożeń</w:t>
      </w:r>
      <w:r w:rsidR="00BD5FA5">
        <w:rPr>
          <w:rFonts w:ascii="Lato" w:hAnsi="Lato"/>
          <w:sz w:val="20"/>
          <w:szCs w:val="20"/>
        </w:rPr>
        <w:t>.</w:t>
      </w:r>
    </w:p>
    <w:p w14:paraId="6071622D" w14:textId="78D04B82" w:rsidR="00C859A0" w:rsidRDefault="00C859A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p>
    <w:p w14:paraId="69EDC165" w14:textId="77777777" w:rsidR="00C859A0" w:rsidRPr="00054889" w:rsidRDefault="00C859A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p>
    <w:p w14:paraId="5073ED97" w14:textId="1E9670B7" w:rsidR="00552E06" w:rsidRDefault="00552E06" w:rsidP="00241EEF">
      <w:pPr>
        <w:pStyle w:val="podrozdzial"/>
      </w:pPr>
      <w:bookmarkStart w:id="12" w:name="_Toc228873236"/>
      <w:r w:rsidRPr="00054889">
        <w:t>INNOWACJE, ROZWÓJ KOMPETENCJI</w:t>
      </w:r>
      <w:r w:rsidR="00AF5E00" w:rsidRPr="00054889">
        <w:t>, B</w:t>
      </w:r>
      <w:r w:rsidR="0000335F">
        <w:t xml:space="preserve">ADANIA I </w:t>
      </w:r>
      <w:r w:rsidR="00AF5E00" w:rsidRPr="00054889">
        <w:t>R</w:t>
      </w:r>
      <w:r w:rsidR="0000335F">
        <w:t>OZWÓJ</w:t>
      </w:r>
      <w:bookmarkEnd w:id="12"/>
    </w:p>
    <w:p w14:paraId="5AD18804" w14:textId="77777777" w:rsidR="00305C48" w:rsidRPr="00305C48" w:rsidRDefault="00305C48" w:rsidP="00305C48">
      <w:pPr>
        <w:widowControl w:val="0"/>
        <w:spacing w:after="120" w:line="360" w:lineRule="auto"/>
        <w:rPr>
          <w:rFonts w:ascii="Lato" w:hAnsi="Lato"/>
          <w:b/>
          <w:bCs/>
          <w:sz w:val="20"/>
          <w:szCs w:val="20"/>
        </w:rPr>
      </w:pPr>
    </w:p>
    <w:p w14:paraId="659CFC4D" w14:textId="5D64EDF6" w:rsidR="006469FD" w:rsidRPr="00054889" w:rsidRDefault="00052D3D" w:rsidP="007D0DA7">
      <w:pPr>
        <w:pStyle w:val="NormalnyWeb"/>
        <w:widowControl w:val="0"/>
        <w:numPr>
          <w:ilvl w:val="1"/>
          <w:numId w:val="35"/>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Udzielanie </w:t>
      </w:r>
      <w:r w:rsidR="006469FD" w:rsidRPr="00054889">
        <w:rPr>
          <w:rFonts w:ascii="Lato" w:eastAsiaTheme="minorHAnsi" w:hAnsi="Lato" w:cstheme="minorBidi"/>
          <w:kern w:val="2"/>
          <w:sz w:val="20"/>
          <w:szCs w:val="20"/>
          <w:lang w:eastAsia="en-US"/>
          <w14:ligatures w14:val="standardContextual"/>
        </w:rPr>
        <w:t>zamówień</w:t>
      </w:r>
      <w:r w:rsidR="000079F7" w:rsidRPr="00054889">
        <w:rPr>
          <w:rFonts w:ascii="Lato" w:eastAsiaTheme="minorHAnsi" w:hAnsi="Lato" w:cstheme="minorBidi"/>
          <w:kern w:val="2"/>
          <w:sz w:val="20"/>
          <w:szCs w:val="20"/>
          <w:lang w:eastAsia="en-US"/>
          <w14:ligatures w14:val="standardContextual"/>
        </w:rPr>
        <w:t xml:space="preserve"> przez spółki z udziałem Skarbu Państwa w ramach realizacji kluczowych procesów inwestycyjnych</w:t>
      </w:r>
      <w:r w:rsidR="006469FD"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może stanowić</w:t>
      </w:r>
      <w:r w:rsidR="006469FD" w:rsidRPr="00054889">
        <w:rPr>
          <w:rFonts w:ascii="Lato" w:eastAsiaTheme="minorHAnsi" w:hAnsi="Lato" w:cstheme="minorBidi"/>
          <w:kern w:val="2"/>
          <w:sz w:val="20"/>
          <w:szCs w:val="20"/>
          <w:lang w:eastAsia="en-US"/>
          <w14:ligatures w14:val="standardContextual"/>
        </w:rPr>
        <w:t xml:space="preserve"> narzędzi</w:t>
      </w:r>
      <w:r w:rsidRPr="00054889">
        <w:rPr>
          <w:rFonts w:ascii="Lato" w:eastAsiaTheme="minorHAnsi" w:hAnsi="Lato" w:cstheme="minorBidi"/>
          <w:kern w:val="2"/>
          <w:sz w:val="20"/>
          <w:szCs w:val="20"/>
          <w:lang w:eastAsia="en-US"/>
          <w14:ligatures w14:val="standardContextual"/>
        </w:rPr>
        <w:t>e</w:t>
      </w:r>
      <w:r w:rsidR="006469FD" w:rsidRPr="00054889">
        <w:rPr>
          <w:rFonts w:ascii="Lato" w:eastAsiaTheme="minorHAnsi" w:hAnsi="Lato" w:cstheme="minorBidi"/>
          <w:kern w:val="2"/>
          <w:sz w:val="20"/>
          <w:szCs w:val="20"/>
          <w:lang w:eastAsia="en-US"/>
          <w14:ligatures w14:val="standardContextual"/>
        </w:rPr>
        <w:t xml:space="preserve"> stymulujące rozwój technologiczny, organizacyjny i kompetencyjny w </w:t>
      </w:r>
      <w:r w:rsidR="000079F7" w:rsidRPr="00054889">
        <w:rPr>
          <w:rFonts w:ascii="Lato" w:eastAsiaTheme="minorHAnsi" w:hAnsi="Lato" w:cstheme="minorBidi"/>
          <w:kern w:val="2"/>
          <w:sz w:val="20"/>
          <w:szCs w:val="20"/>
          <w:lang w:eastAsia="en-US"/>
          <w14:ligatures w14:val="standardContextual"/>
        </w:rPr>
        <w:t xml:space="preserve">krajowej </w:t>
      </w:r>
      <w:r w:rsidR="006469FD" w:rsidRPr="00054889">
        <w:rPr>
          <w:rFonts w:ascii="Lato" w:eastAsiaTheme="minorHAnsi" w:hAnsi="Lato" w:cstheme="minorBidi"/>
          <w:kern w:val="2"/>
          <w:sz w:val="20"/>
          <w:szCs w:val="20"/>
          <w:lang w:eastAsia="en-US"/>
          <w14:ligatures w14:val="standardContextual"/>
        </w:rPr>
        <w:t xml:space="preserve">gospodarce. Odpowiednio zaprojektowane postępowania </w:t>
      </w:r>
      <w:r w:rsidRPr="00054889">
        <w:rPr>
          <w:rFonts w:ascii="Lato" w:eastAsiaTheme="minorHAnsi" w:hAnsi="Lato" w:cstheme="minorBidi"/>
          <w:kern w:val="2"/>
          <w:sz w:val="20"/>
          <w:szCs w:val="20"/>
          <w:lang w:eastAsia="en-US"/>
          <w14:ligatures w14:val="standardContextual"/>
        </w:rPr>
        <w:t>powinny</w:t>
      </w:r>
      <w:r w:rsidR="006469FD" w:rsidRPr="00054889">
        <w:rPr>
          <w:rFonts w:ascii="Lato" w:eastAsiaTheme="minorHAnsi" w:hAnsi="Lato" w:cstheme="minorBidi"/>
          <w:kern w:val="2"/>
          <w:sz w:val="20"/>
          <w:szCs w:val="20"/>
          <w:lang w:eastAsia="en-US"/>
          <w14:ligatures w14:val="standardContextual"/>
        </w:rPr>
        <w:t xml:space="preserve"> stanowić impuls do wdrażania nowych rozwiązań, podnoszenia jakości produktów i usług oraz zwiększania zdolności badawczo-rozwojowych</w:t>
      </w:r>
      <w:r w:rsidR="000079F7" w:rsidRPr="00054889">
        <w:rPr>
          <w:rFonts w:ascii="Lato" w:eastAsiaTheme="minorHAnsi" w:hAnsi="Lato" w:cstheme="minorBidi"/>
          <w:kern w:val="2"/>
          <w:sz w:val="20"/>
          <w:szCs w:val="20"/>
          <w:lang w:eastAsia="en-US"/>
          <w14:ligatures w14:val="standardContextual"/>
        </w:rPr>
        <w:t xml:space="preserve"> krajowych</w:t>
      </w:r>
      <w:r w:rsidR="006469FD" w:rsidRPr="00054889">
        <w:rPr>
          <w:rFonts w:ascii="Lato" w:eastAsiaTheme="minorHAnsi" w:hAnsi="Lato" w:cstheme="minorBidi"/>
          <w:kern w:val="2"/>
          <w:sz w:val="20"/>
          <w:szCs w:val="20"/>
          <w:lang w:eastAsia="en-US"/>
          <w14:ligatures w14:val="standardContextual"/>
        </w:rPr>
        <w:t xml:space="preserve"> podmiotów</w:t>
      </w:r>
      <w:r w:rsidR="001F514F">
        <w:rPr>
          <w:rFonts w:ascii="Lato" w:eastAsiaTheme="minorHAnsi" w:hAnsi="Lato" w:cstheme="minorBidi"/>
          <w:kern w:val="2"/>
          <w:sz w:val="20"/>
          <w:szCs w:val="20"/>
          <w:lang w:eastAsia="en-US"/>
          <w14:ligatures w14:val="standardContextual"/>
        </w:rPr>
        <w:t>, w tym w zakresie technologii podwójnego zastosowania</w:t>
      </w:r>
      <w:r w:rsidR="00F91DAB">
        <w:rPr>
          <w:rFonts w:ascii="Lato" w:eastAsiaTheme="minorHAnsi" w:hAnsi="Lato" w:cstheme="minorBidi"/>
          <w:kern w:val="2"/>
          <w:sz w:val="20"/>
          <w:szCs w:val="20"/>
          <w:lang w:eastAsia="en-US"/>
          <w14:ligatures w14:val="standardContextual"/>
        </w:rPr>
        <w:t xml:space="preserve"> (</w:t>
      </w:r>
      <w:r w:rsidR="00F91DAB" w:rsidRPr="00F91DAB">
        <w:rPr>
          <w:rFonts w:ascii="Lato" w:eastAsiaTheme="minorHAnsi" w:hAnsi="Lato" w:cstheme="minorBidi"/>
          <w:i/>
          <w:kern w:val="2"/>
          <w:sz w:val="20"/>
          <w:szCs w:val="20"/>
          <w:lang w:eastAsia="en-US"/>
          <w14:ligatures w14:val="standardContextual"/>
        </w:rPr>
        <w:t>dual-</w:t>
      </w:r>
      <w:proofErr w:type="spellStart"/>
      <w:r w:rsidR="00F91DAB" w:rsidRPr="00F91DAB">
        <w:rPr>
          <w:rFonts w:ascii="Lato" w:eastAsiaTheme="minorHAnsi" w:hAnsi="Lato" w:cstheme="minorBidi"/>
          <w:i/>
          <w:kern w:val="2"/>
          <w:sz w:val="20"/>
          <w:szCs w:val="20"/>
          <w:lang w:eastAsia="en-US"/>
          <w14:ligatures w14:val="standardContextual"/>
        </w:rPr>
        <w:t>use</w:t>
      </w:r>
      <w:proofErr w:type="spellEnd"/>
      <w:r w:rsidR="00F91DAB">
        <w:rPr>
          <w:rFonts w:ascii="Lato" w:eastAsiaTheme="minorHAnsi" w:hAnsi="Lato" w:cstheme="minorBidi"/>
          <w:kern w:val="2"/>
          <w:sz w:val="20"/>
          <w:szCs w:val="20"/>
          <w:lang w:eastAsia="en-US"/>
          <w14:ligatures w14:val="standardContextual"/>
        </w:rPr>
        <w:t>)</w:t>
      </w:r>
      <w:r w:rsidR="001F514F">
        <w:rPr>
          <w:rFonts w:ascii="Lato" w:eastAsiaTheme="minorHAnsi" w:hAnsi="Lato" w:cstheme="minorBidi"/>
          <w:kern w:val="2"/>
          <w:sz w:val="20"/>
          <w:szCs w:val="20"/>
          <w:lang w:eastAsia="en-US"/>
          <w14:ligatures w14:val="standardContextual"/>
        </w:rPr>
        <w:t>.</w:t>
      </w:r>
    </w:p>
    <w:p w14:paraId="52880B03" w14:textId="32FBF303" w:rsidR="006469FD" w:rsidRPr="00054889" w:rsidRDefault="00A63F27" w:rsidP="00C859A0">
      <w:pPr>
        <w:pStyle w:val="NormalnyWeb"/>
        <w:widowControl w:val="0"/>
        <w:numPr>
          <w:ilvl w:val="1"/>
          <w:numId w:val="35"/>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Wzmacnianie </w:t>
      </w:r>
      <w:r w:rsidR="006469FD" w:rsidRPr="00054889">
        <w:rPr>
          <w:rFonts w:ascii="Lato" w:eastAsiaTheme="minorHAnsi" w:hAnsi="Lato" w:cstheme="minorBidi"/>
          <w:kern w:val="2"/>
          <w:sz w:val="20"/>
          <w:szCs w:val="20"/>
          <w:lang w:eastAsia="en-US"/>
          <w14:ligatures w14:val="standardContextual"/>
        </w:rPr>
        <w:t xml:space="preserve">rozwiązań nowatorskich w procesie zakupowym może </w:t>
      </w:r>
      <w:r w:rsidRPr="00054889">
        <w:rPr>
          <w:rFonts w:ascii="Lato" w:eastAsiaTheme="minorHAnsi" w:hAnsi="Lato" w:cstheme="minorBidi"/>
          <w:kern w:val="2"/>
          <w:sz w:val="20"/>
          <w:szCs w:val="20"/>
          <w:lang w:eastAsia="en-US"/>
          <w14:ligatures w14:val="standardContextual"/>
        </w:rPr>
        <w:t xml:space="preserve">przyczynić się </w:t>
      </w:r>
      <w:r w:rsidR="006469FD" w:rsidRPr="00054889">
        <w:rPr>
          <w:rFonts w:ascii="Lato" w:eastAsiaTheme="minorHAnsi" w:hAnsi="Lato" w:cstheme="minorBidi"/>
          <w:kern w:val="2"/>
          <w:sz w:val="20"/>
          <w:szCs w:val="20"/>
          <w:lang w:eastAsia="en-US"/>
          <w14:ligatures w14:val="standardContextual"/>
        </w:rPr>
        <w:t xml:space="preserve">do </w:t>
      </w:r>
      <w:r w:rsidRPr="00054889">
        <w:rPr>
          <w:rFonts w:ascii="Lato" w:eastAsiaTheme="minorHAnsi" w:hAnsi="Lato" w:cstheme="minorBidi"/>
          <w:kern w:val="2"/>
          <w:sz w:val="20"/>
          <w:szCs w:val="20"/>
          <w:lang w:eastAsia="en-US"/>
          <w14:ligatures w14:val="standardContextual"/>
        </w:rPr>
        <w:t>eliminowania</w:t>
      </w:r>
      <w:r w:rsidR="006469FD" w:rsidRPr="00054889">
        <w:rPr>
          <w:rFonts w:ascii="Lato" w:eastAsiaTheme="minorHAnsi" w:hAnsi="Lato" w:cstheme="minorBidi"/>
          <w:kern w:val="2"/>
          <w:sz w:val="20"/>
          <w:szCs w:val="20"/>
          <w:lang w:eastAsia="en-US"/>
          <w14:ligatures w14:val="standardContextual"/>
        </w:rPr>
        <w:t xml:space="preserve"> technologii przestarzałych oraz </w:t>
      </w:r>
      <w:r w:rsidR="00AF5E00" w:rsidRPr="00054889">
        <w:rPr>
          <w:rFonts w:ascii="Lato" w:eastAsiaTheme="minorHAnsi" w:hAnsi="Lato" w:cstheme="minorBidi"/>
          <w:kern w:val="2"/>
          <w:sz w:val="20"/>
          <w:szCs w:val="20"/>
          <w:lang w:eastAsia="en-US"/>
          <w14:ligatures w14:val="standardContextual"/>
        </w:rPr>
        <w:t xml:space="preserve">podnosić </w:t>
      </w:r>
      <w:r w:rsidR="006469FD" w:rsidRPr="00054889">
        <w:rPr>
          <w:rFonts w:ascii="Lato" w:eastAsiaTheme="minorHAnsi" w:hAnsi="Lato" w:cstheme="minorBidi"/>
          <w:kern w:val="2"/>
          <w:sz w:val="20"/>
          <w:szCs w:val="20"/>
          <w:lang w:eastAsia="en-US"/>
          <w14:ligatures w14:val="standardContextual"/>
        </w:rPr>
        <w:t>zdolność rynku do adaptacji</w:t>
      </w:r>
      <w:r w:rsidR="00206430" w:rsidRPr="00054889">
        <w:rPr>
          <w:rFonts w:ascii="Lato" w:eastAsiaTheme="minorHAnsi" w:hAnsi="Lato" w:cstheme="minorBidi"/>
          <w:kern w:val="2"/>
          <w:sz w:val="20"/>
          <w:szCs w:val="20"/>
          <w:lang w:eastAsia="en-US"/>
          <w14:ligatures w14:val="standardContextual"/>
        </w:rPr>
        <w:t xml:space="preserve"> w</w:t>
      </w:r>
      <w:r w:rsidR="001120B2">
        <w:rPr>
          <w:rFonts w:ascii="Lato" w:eastAsiaTheme="minorHAnsi" w:hAnsi="Lato" w:cstheme="minorBidi"/>
          <w:kern w:val="2"/>
          <w:sz w:val="20"/>
          <w:szCs w:val="20"/>
          <w:lang w:eastAsia="en-US"/>
          <w14:ligatures w14:val="standardContextual"/>
        </w:rPr>
        <w:t> </w:t>
      </w:r>
      <w:r w:rsidR="00206430" w:rsidRPr="00054889">
        <w:rPr>
          <w:rFonts w:ascii="Lato" w:eastAsiaTheme="minorHAnsi" w:hAnsi="Lato" w:cstheme="minorBidi"/>
          <w:kern w:val="2"/>
          <w:sz w:val="20"/>
          <w:szCs w:val="20"/>
          <w:lang w:eastAsia="en-US"/>
          <w14:ligatures w14:val="standardContextual"/>
        </w:rPr>
        <w:t>zmieniających się warunkach</w:t>
      </w:r>
      <w:r w:rsidR="006469FD" w:rsidRPr="00054889">
        <w:rPr>
          <w:rFonts w:ascii="Lato" w:eastAsiaTheme="minorHAnsi" w:hAnsi="Lato" w:cstheme="minorBidi"/>
          <w:kern w:val="2"/>
          <w:sz w:val="20"/>
          <w:szCs w:val="20"/>
          <w:lang w:eastAsia="en-US"/>
          <w14:ligatures w14:val="standardContextual"/>
        </w:rPr>
        <w:t xml:space="preserve">. </w:t>
      </w:r>
      <w:r w:rsidR="00970A02" w:rsidRPr="00054889">
        <w:rPr>
          <w:rFonts w:ascii="Lato" w:eastAsiaTheme="minorHAnsi" w:hAnsi="Lato" w:cstheme="minorBidi"/>
          <w:kern w:val="2"/>
          <w:sz w:val="20"/>
          <w:szCs w:val="20"/>
          <w:lang w:eastAsia="en-US"/>
          <w14:ligatures w14:val="standardContextual"/>
        </w:rPr>
        <w:t>O</w:t>
      </w:r>
      <w:r w:rsidR="006469FD" w:rsidRPr="00054889">
        <w:rPr>
          <w:rFonts w:ascii="Lato" w:eastAsiaTheme="minorHAnsi" w:hAnsi="Lato" w:cstheme="minorBidi"/>
          <w:kern w:val="2"/>
          <w:sz w:val="20"/>
          <w:szCs w:val="20"/>
          <w:lang w:eastAsia="en-US"/>
          <w14:ligatures w14:val="standardContextual"/>
        </w:rPr>
        <w:t>twartość na rozwiązania o wyższym poziomie zaawansowania technicznego sprzyja tworzeniu przewagi konkurencyjnej, zwiększa specjalizację przedsiębiorstw oraz umożliwia budowanie kompetencji pozostających w</w:t>
      </w:r>
      <w:r w:rsidR="001120B2">
        <w:rPr>
          <w:rFonts w:ascii="Lato" w:eastAsiaTheme="minorHAnsi" w:hAnsi="Lato" w:cstheme="minorBidi"/>
          <w:kern w:val="2"/>
          <w:sz w:val="20"/>
          <w:szCs w:val="20"/>
          <w:lang w:eastAsia="en-US"/>
          <w14:ligatures w14:val="standardContextual"/>
        </w:rPr>
        <w:t> </w:t>
      </w:r>
      <w:r w:rsidR="006469FD" w:rsidRPr="00054889">
        <w:rPr>
          <w:rFonts w:ascii="Lato" w:eastAsiaTheme="minorHAnsi" w:hAnsi="Lato" w:cstheme="minorBidi"/>
          <w:kern w:val="2"/>
          <w:sz w:val="20"/>
          <w:szCs w:val="20"/>
          <w:lang w:eastAsia="en-US"/>
          <w14:ligatures w14:val="standardContextual"/>
        </w:rPr>
        <w:t>krajowym obrocie gospodarczym.</w:t>
      </w:r>
    </w:p>
    <w:p w14:paraId="1886168A" w14:textId="7D4F5134" w:rsidR="00970A02" w:rsidRPr="00054889" w:rsidRDefault="006469FD" w:rsidP="00C859A0">
      <w:pPr>
        <w:pStyle w:val="NormalnyWeb"/>
        <w:widowControl w:val="0"/>
        <w:numPr>
          <w:ilvl w:val="1"/>
          <w:numId w:val="35"/>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Zamówienia mogą również odgrywać istotną rolę w skracaniu dystansu technologicznego poprzez wspieranie współpracy pomiędzy wykonawcami, jednostkami naukowymi i</w:t>
      </w:r>
      <w:r w:rsidR="001120B2">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ośrodkami badawczymi</w:t>
      </w:r>
      <w:r w:rsidR="00D154B0" w:rsidRPr="00054889">
        <w:rPr>
          <w:rFonts w:ascii="Lato" w:eastAsiaTheme="minorHAnsi" w:hAnsi="Lato" w:cstheme="minorBidi"/>
          <w:kern w:val="2"/>
          <w:sz w:val="20"/>
          <w:szCs w:val="20"/>
          <w:lang w:eastAsia="en-US"/>
          <w14:ligatures w14:val="standardContextual"/>
        </w:rPr>
        <w:t xml:space="preserve">, co może odbywać się m.in. w formule </w:t>
      </w:r>
      <w:r w:rsidR="00085A55" w:rsidRPr="00054889">
        <w:rPr>
          <w:rFonts w:ascii="Lato" w:eastAsiaTheme="minorHAnsi" w:hAnsi="Lato" w:cstheme="minorBidi"/>
          <w:kern w:val="2"/>
          <w:sz w:val="20"/>
          <w:szCs w:val="20"/>
          <w:lang w:eastAsia="en-US"/>
          <w14:ligatures w14:val="standardContextual"/>
        </w:rPr>
        <w:t>wdrażania i promowania programów akceleracyjnych dla lokalnych start-</w:t>
      </w:r>
      <w:proofErr w:type="spellStart"/>
      <w:r w:rsidR="00085A55" w:rsidRPr="00054889">
        <w:rPr>
          <w:rFonts w:ascii="Lato" w:eastAsiaTheme="minorHAnsi" w:hAnsi="Lato" w:cstheme="minorBidi"/>
          <w:kern w:val="2"/>
          <w:sz w:val="20"/>
          <w:szCs w:val="20"/>
          <w:lang w:eastAsia="en-US"/>
          <w14:ligatures w14:val="standardContextual"/>
        </w:rPr>
        <w:t>upów</w:t>
      </w:r>
      <w:proofErr w:type="spellEnd"/>
      <w:r w:rsidR="00085A55" w:rsidRPr="00054889">
        <w:rPr>
          <w:rFonts w:ascii="Lato" w:eastAsiaTheme="minorHAnsi" w:hAnsi="Lato" w:cstheme="minorBidi"/>
          <w:kern w:val="2"/>
          <w:sz w:val="20"/>
          <w:szCs w:val="20"/>
          <w:lang w:eastAsia="en-US"/>
          <w14:ligatures w14:val="standardContextual"/>
        </w:rPr>
        <w:t xml:space="preserve"> przez </w:t>
      </w:r>
      <w:r w:rsidR="00F91DAB">
        <w:rPr>
          <w:rFonts w:ascii="Lato" w:eastAsiaTheme="minorHAnsi" w:hAnsi="Lato" w:cstheme="minorBidi"/>
          <w:kern w:val="2"/>
          <w:sz w:val="20"/>
          <w:szCs w:val="20"/>
          <w:lang w:eastAsia="en-US"/>
          <w14:ligatures w14:val="standardContextual"/>
        </w:rPr>
        <w:t xml:space="preserve">spółki z udziałem Skarbu Państwa. </w:t>
      </w:r>
    </w:p>
    <w:p w14:paraId="481B414A" w14:textId="005238E7" w:rsidR="006469FD" w:rsidRPr="00054889" w:rsidRDefault="00970A02" w:rsidP="00C859A0">
      <w:pPr>
        <w:pStyle w:val="NormalnyWeb"/>
        <w:widowControl w:val="0"/>
        <w:numPr>
          <w:ilvl w:val="1"/>
          <w:numId w:val="35"/>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Wykorzystanie zamówień jako instrumentu wspierającego innowacje sprzyja tworzeniu nowych specjalizacji, zwiększa poziom zaawansowania technologicznego realizowanych projektów oraz umożliwia utrwalanie kompetencji badawczo-rozwojowych w Polsce. W</w:t>
      </w:r>
      <w:r w:rsidR="001120B2">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dłuższej perspektywie przekłada się to na wzrost zdolności konkurencyjnej przedsiębiorstw krajowych oraz umocnienie ich pozycji w łańcuchach dostaw o znaczeniu strategicznym.</w:t>
      </w:r>
    </w:p>
    <w:p w14:paraId="1B0F946C" w14:textId="77777777" w:rsidR="00B01B59" w:rsidRPr="00054889" w:rsidRDefault="00970A02"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lastRenderedPageBreak/>
        <w:t xml:space="preserve">Rekomenduje </w:t>
      </w:r>
      <w:r w:rsidR="006469FD" w:rsidRPr="00054889">
        <w:rPr>
          <w:rFonts w:ascii="Lato" w:eastAsiaTheme="minorHAnsi" w:hAnsi="Lato" w:cstheme="minorBidi"/>
          <w:kern w:val="2"/>
          <w:sz w:val="20"/>
          <w:szCs w:val="20"/>
          <w:lang w:eastAsia="en-US"/>
          <w14:ligatures w14:val="standardContextual"/>
        </w:rPr>
        <w:t>się w szczególności:</w:t>
      </w:r>
    </w:p>
    <w:p w14:paraId="483C148E" w14:textId="77777777" w:rsidR="001F514F" w:rsidRDefault="006469FD" w:rsidP="00FD2F03">
      <w:pPr>
        <w:pStyle w:val="NormalnyWeb"/>
        <w:widowControl w:val="0"/>
        <w:numPr>
          <w:ilvl w:val="1"/>
          <w:numId w:val="17"/>
        </w:numPr>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 xml:space="preserve">Formułowanie wymagań w sposób sprzyjający </w:t>
      </w:r>
      <w:r w:rsidR="004F54F9" w:rsidRPr="00054889">
        <w:rPr>
          <w:rFonts w:ascii="Lato" w:eastAsiaTheme="minorHAnsi" w:hAnsi="Lato" w:cstheme="minorBidi"/>
          <w:b/>
          <w:bCs/>
          <w:kern w:val="2"/>
          <w:sz w:val="20"/>
          <w:szCs w:val="20"/>
          <w:lang w:eastAsia="en-US"/>
          <w14:ligatures w14:val="standardContextual"/>
        </w:rPr>
        <w:t xml:space="preserve">innowacyjnym </w:t>
      </w:r>
      <w:r w:rsidRPr="00054889">
        <w:rPr>
          <w:rFonts w:ascii="Lato" w:eastAsiaTheme="minorHAnsi" w:hAnsi="Lato" w:cstheme="minorBidi"/>
          <w:b/>
          <w:bCs/>
          <w:kern w:val="2"/>
          <w:sz w:val="20"/>
          <w:szCs w:val="20"/>
          <w:lang w:eastAsia="en-US"/>
          <w14:ligatures w14:val="standardContextual"/>
        </w:rPr>
        <w:t>rozwiązaniom</w:t>
      </w:r>
      <w:r w:rsidRPr="00054889">
        <w:rPr>
          <w:rFonts w:ascii="Lato" w:eastAsiaTheme="minorHAnsi" w:hAnsi="Lato" w:cstheme="minorBidi"/>
          <w:kern w:val="2"/>
          <w:sz w:val="20"/>
          <w:szCs w:val="20"/>
          <w:lang w:eastAsia="en-US"/>
          <w14:ligatures w14:val="standardContextual"/>
        </w:rPr>
        <w:t xml:space="preserve"> </w:t>
      </w:r>
    </w:p>
    <w:p w14:paraId="103533FA" w14:textId="5D3B1C8A" w:rsidR="00B01B59" w:rsidRPr="00054889" w:rsidRDefault="00970A02" w:rsidP="00BE0158">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O</w:t>
      </w:r>
      <w:r w:rsidR="006469FD" w:rsidRPr="00054889">
        <w:rPr>
          <w:rFonts w:ascii="Lato" w:eastAsiaTheme="minorHAnsi" w:hAnsi="Lato" w:cstheme="minorBidi"/>
          <w:kern w:val="2"/>
          <w:sz w:val="20"/>
          <w:szCs w:val="20"/>
          <w:lang w:eastAsia="en-US"/>
          <w14:ligatures w14:val="standardContextual"/>
        </w:rPr>
        <w:t>pisywanie przedmiotu zamówienia w sposób funkcjonalny, umożliwiający proponowanie rozwiązań innowacyjnych</w:t>
      </w:r>
      <w:r w:rsidR="009B6079">
        <w:rPr>
          <w:rFonts w:ascii="Lato" w:eastAsiaTheme="minorHAnsi" w:hAnsi="Lato" w:cstheme="minorBidi"/>
          <w:kern w:val="2"/>
          <w:sz w:val="20"/>
          <w:szCs w:val="20"/>
          <w:lang w:eastAsia="en-US"/>
          <w14:ligatures w14:val="standardContextual"/>
        </w:rPr>
        <w:t xml:space="preserve">, w tym powiązanych z </w:t>
      </w:r>
      <w:r w:rsidR="00F91DAB">
        <w:rPr>
          <w:rFonts w:ascii="Lato" w:eastAsiaTheme="minorHAnsi" w:hAnsi="Lato" w:cstheme="minorBidi"/>
          <w:kern w:val="2"/>
          <w:sz w:val="20"/>
          <w:szCs w:val="20"/>
          <w:lang w:eastAsia="en-US"/>
          <w14:ligatures w14:val="standardContextual"/>
        </w:rPr>
        <w:t>automatyzacją i robotyzacją procesów produkcyjnych</w:t>
      </w:r>
      <w:r w:rsidR="009B6079">
        <w:rPr>
          <w:rFonts w:ascii="Lato" w:eastAsiaTheme="minorHAnsi" w:hAnsi="Lato" w:cstheme="minorBidi"/>
          <w:kern w:val="2"/>
          <w:sz w:val="20"/>
          <w:szCs w:val="20"/>
          <w:lang w:eastAsia="en-US"/>
          <w14:ligatures w14:val="standardContextual"/>
        </w:rPr>
        <w:t xml:space="preserve"> oraz technologii podwójnego zastosowania</w:t>
      </w:r>
      <w:r w:rsidR="006469FD" w:rsidRPr="00054889">
        <w:rPr>
          <w:rFonts w:ascii="Lato" w:eastAsiaTheme="minorHAnsi" w:hAnsi="Lato" w:cstheme="minorBidi"/>
          <w:kern w:val="2"/>
          <w:sz w:val="20"/>
          <w:szCs w:val="20"/>
          <w:lang w:eastAsia="en-US"/>
          <w14:ligatures w14:val="standardContextual"/>
        </w:rPr>
        <w:t>, o ile zapewniają one wymagany poziom bezpieczeństwa i efektywności.</w:t>
      </w:r>
    </w:p>
    <w:p w14:paraId="32B8C145" w14:textId="77777777" w:rsidR="006B221A" w:rsidRPr="00054889" w:rsidRDefault="006469FD" w:rsidP="00FD2F03">
      <w:pPr>
        <w:pStyle w:val="NormalnyWeb"/>
        <w:widowControl w:val="0"/>
        <w:numPr>
          <w:ilvl w:val="1"/>
          <w:numId w:val="17"/>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Wspieranie współpracy z sektorem nauki i badań</w:t>
      </w:r>
    </w:p>
    <w:p w14:paraId="42E19103" w14:textId="10875446" w:rsidR="00B01B59" w:rsidRPr="00054889" w:rsidRDefault="00970A02"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U</w:t>
      </w:r>
      <w:r w:rsidR="006469FD" w:rsidRPr="00054889">
        <w:rPr>
          <w:rFonts w:ascii="Lato" w:eastAsiaTheme="minorHAnsi" w:hAnsi="Lato" w:cstheme="minorBidi"/>
          <w:kern w:val="2"/>
          <w:sz w:val="20"/>
          <w:szCs w:val="20"/>
          <w:lang w:eastAsia="en-US"/>
          <w14:ligatures w14:val="standardContextual"/>
        </w:rPr>
        <w:t xml:space="preserve">względnianie mechanizmów sprzyjających współdziałaniu wykonawców </w:t>
      </w:r>
      <w:r w:rsidR="006B221A" w:rsidRPr="00054889">
        <w:rPr>
          <w:rFonts w:ascii="Lato" w:eastAsiaTheme="minorHAnsi" w:hAnsi="Lato" w:cstheme="minorBidi"/>
          <w:kern w:val="2"/>
          <w:sz w:val="20"/>
          <w:szCs w:val="20"/>
          <w:lang w:eastAsia="en-US"/>
          <w14:ligatures w14:val="standardContextual"/>
        </w:rPr>
        <w:br/>
      </w:r>
      <w:r w:rsidR="006469FD" w:rsidRPr="00054889">
        <w:rPr>
          <w:rFonts w:ascii="Lato" w:eastAsiaTheme="minorHAnsi" w:hAnsi="Lato" w:cstheme="minorBidi"/>
          <w:kern w:val="2"/>
          <w:sz w:val="20"/>
          <w:szCs w:val="20"/>
          <w:lang w:eastAsia="en-US"/>
          <w14:ligatures w14:val="standardContextual"/>
        </w:rPr>
        <w:t xml:space="preserve">z uczelniami, instytutami badawczymi lub centrami rozwojowymi, jeżeli pozostaje to </w:t>
      </w:r>
      <w:r w:rsidR="006B221A" w:rsidRPr="00054889">
        <w:rPr>
          <w:rFonts w:ascii="Lato" w:eastAsiaTheme="minorHAnsi" w:hAnsi="Lato" w:cstheme="minorBidi"/>
          <w:kern w:val="2"/>
          <w:sz w:val="20"/>
          <w:szCs w:val="20"/>
          <w:lang w:eastAsia="en-US"/>
          <w14:ligatures w14:val="standardContextual"/>
        </w:rPr>
        <w:br/>
      </w:r>
      <w:r w:rsidR="006469FD" w:rsidRPr="00054889">
        <w:rPr>
          <w:rFonts w:ascii="Lato" w:eastAsiaTheme="minorHAnsi" w:hAnsi="Lato" w:cstheme="minorBidi"/>
          <w:kern w:val="2"/>
          <w:sz w:val="20"/>
          <w:szCs w:val="20"/>
          <w:lang w:eastAsia="en-US"/>
          <w14:ligatures w14:val="standardContextual"/>
        </w:rPr>
        <w:t>w związku z charakterem zamówienia.</w:t>
      </w:r>
    </w:p>
    <w:p w14:paraId="2FED3634" w14:textId="77777777" w:rsidR="00AF39CE" w:rsidRPr="00054889" w:rsidRDefault="006469FD" w:rsidP="00FD2F03">
      <w:pPr>
        <w:pStyle w:val="NormalnyWeb"/>
        <w:widowControl w:val="0"/>
        <w:numPr>
          <w:ilvl w:val="1"/>
          <w:numId w:val="17"/>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Wykorzystywanie instrumentów prawnych umożliwiających rozwój innowacji</w:t>
      </w:r>
    </w:p>
    <w:p w14:paraId="398AA119" w14:textId="51124FBC" w:rsidR="00B01B59" w:rsidRPr="00054889" w:rsidRDefault="00970A02"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K</w:t>
      </w:r>
      <w:r w:rsidR="006469FD" w:rsidRPr="00054889">
        <w:rPr>
          <w:rFonts w:ascii="Lato" w:eastAsiaTheme="minorHAnsi" w:hAnsi="Lato" w:cstheme="minorBidi"/>
          <w:kern w:val="2"/>
          <w:sz w:val="20"/>
          <w:szCs w:val="20"/>
          <w:lang w:eastAsia="en-US"/>
          <w14:ligatures w14:val="standardContextual"/>
        </w:rPr>
        <w:t xml:space="preserve">orzystanie z trybów i narzędzi przewidzianych </w:t>
      </w:r>
      <w:r w:rsidR="00F91DAB">
        <w:rPr>
          <w:rFonts w:ascii="Lato" w:eastAsiaTheme="minorHAnsi" w:hAnsi="Lato" w:cstheme="minorBidi"/>
          <w:kern w:val="2"/>
          <w:sz w:val="20"/>
          <w:szCs w:val="20"/>
          <w:lang w:eastAsia="en-US"/>
          <w14:ligatures w14:val="standardContextual"/>
        </w:rPr>
        <w:t>wewnętrznymi regulacjami zakupowymi spółek z udziałem Skarbu Państwa na potrzeby pozyskiwania najnowszych rozwiązań technologicznych</w:t>
      </w:r>
      <w:r w:rsidR="006469FD" w:rsidRPr="00054889">
        <w:rPr>
          <w:rFonts w:ascii="Lato" w:eastAsiaTheme="minorHAnsi" w:hAnsi="Lato" w:cstheme="minorBidi"/>
          <w:kern w:val="2"/>
          <w:sz w:val="20"/>
          <w:szCs w:val="20"/>
          <w:lang w:eastAsia="en-US"/>
          <w14:ligatures w14:val="standardContextual"/>
        </w:rPr>
        <w:t>, w sytuacjach uzasadnionych specyfiką projektu.</w:t>
      </w:r>
    </w:p>
    <w:p w14:paraId="2D31F32E" w14:textId="77777777" w:rsidR="006B221A" w:rsidRPr="00054889" w:rsidRDefault="006469FD" w:rsidP="00FD2F03">
      <w:pPr>
        <w:pStyle w:val="NormalnyWeb"/>
        <w:widowControl w:val="0"/>
        <w:numPr>
          <w:ilvl w:val="1"/>
          <w:numId w:val="17"/>
        </w:numPr>
        <w:spacing w:before="0" w:beforeAutospacing="0" w:after="120" w:afterAutospacing="0" w:line="360" w:lineRule="auto"/>
        <w:ind w:left="993" w:hanging="357"/>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Uwzględnianie działań związanych z rozwojem kompetencji specjalistycznych</w:t>
      </w:r>
    </w:p>
    <w:p w14:paraId="0DF3EA4D" w14:textId="6153233F" w:rsidR="00815785" w:rsidRDefault="00815785"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W</w:t>
      </w:r>
      <w:r w:rsidR="006469FD" w:rsidRPr="00054889">
        <w:rPr>
          <w:rFonts w:ascii="Lato" w:eastAsiaTheme="minorHAnsi" w:hAnsi="Lato" w:cstheme="minorBidi"/>
          <w:kern w:val="2"/>
          <w:sz w:val="20"/>
          <w:szCs w:val="20"/>
          <w:lang w:eastAsia="en-US"/>
          <w14:ligatures w14:val="standardContextual"/>
        </w:rPr>
        <w:t>łączanie elementów sprzyjających szkoleniom, przekazywaniu wiedzy oraz budowaniu zaplecza eksperckiego w trakcie realizacji zamówienia, jeżeli jest to powiązane z</w:t>
      </w:r>
      <w:r w:rsidR="001120B2">
        <w:rPr>
          <w:rFonts w:ascii="Lato" w:eastAsiaTheme="minorHAnsi" w:hAnsi="Lato" w:cstheme="minorBidi"/>
          <w:kern w:val="2"/>
          <w:sz w:val="20"/>
          <w:szCs w:val="20"/>
          <w:lang w:eastAsia="en-US"/>
          <w14:ligatures w14:val="standardContextual"/>
        </w:rPr>
        <w:t> </w:t>
      </w:r>
      <w:r w:rsidR="006469FD" w:rsidRPr="00054889">
        <w:rPr>
          <w:rFonts w:ascii="Lato" w:eastAsiaTheme="minorHAnsi" w:hAnsi="Lato" w:cstheme="minorBidi"/>
          <w:kern w:val="2"/>
          <w:sz w:val="20"/>
          <w:szCs w:val="20"/>
          <w:lang w:eastAsia="en-US"/>
          <w14:ligatures w14:val="standardContextual"/>
        </w:rPr>
        <w:t>jego przedmiotem.</w:t>
      </w:r>
    </w:p>
    <w:p w14:paraId="7F13E13E" w14:textId="00C18C57" w:rsidR="00815785" w:rsidRPr="00BE0158" w:rsidRDefault="00A024E2" w:rsidP="00FD2F03">
      <w:pPr>
        <w:pStyle w:val="NormalnyWeb"/>
        <w:widowControl w:val="0"/>
        <w:numPr>
          <w:ilvl w:val="1"/>
          <w:numId w:val="17"/>
        </w:numPr>
        <w:spacing w:before="0" w:beforeAutospacing="0" w:after="120" w:afterAutospacing="0" w:line="360" w:lineRule="auto"/>
        <w:ind w:left="981" w:hanging="357"/>
        <w:jc w:val="both"/>
        <w:rPr>
          <w:rFonts w:ascii="Lato" w:eastAsiaTheme="minorHAnsi" w:hAnsi="Lato" w:cstheme="minorBidi"/>
          <w:b/>
          <w:bCs/>
          <w:kern w:val="2"/>
          <w:sz w:val="20"/>
          <w:szCs w:val="20"/>
          <w:lang w:eastAsia="en-US"/>
          <w14:ligatures w14:val="standardContextual"/>
        </w:rPr>
      </w:pPr>
      <w:r>
        <w:rPr>
          <w:rFonts w:ascii="Lato" w:eastAsiaTheme="minorHAnsi" w:hAnsi="Lato" w:cstheme="minorBidi"/>
          <w:b/>
          <w:bCs/>
          <w:kern w:val="2"/>
          <w:sz w:val="20"/>
          <w:szCs w:val="20"/>
          <w:lang w:eastAsia="en-US"/>
          <w14:ligatures w14:val="standardContextual"/>
        </w:rPr>
        <w:t>Zabezpieczenie p</w:t>
      </w:r>
      <w:r w:rsidR="00815785" w:rsidRPr="00BE0158">
        <w:rPr>
          <w:rFonts w:ascii="Lato" w:eastAsiaTheme="minorHAnsi" w:hAnsi="Lato" w:cstheme="minorBidi"/>
          <w:b/>
          <w:bCs/>
          <w:kern w:val="2"/>
          <w:sz w:val="20"/>
          <w:szCs w:val="20"/>
          <w:lang w:eastAsia="en-US"/>
          <w14:ligatures w14:val="standardContextual"/>
        </w:rPr>
        <w:t>raw własności intelektualnej</w:t>
      </w:r>
    </w:p>
    <w:p w14:paraId="505AF054" w14:textId="0DD95BC6" w:rsidR="000079F7" w:rsidRPr="00054889" w:rsidRDefault="00A024E2" w:rsidP="00BE0158">
      <w:pPr>
        <w:pStyle w:val="NormalnyWeb"/>
        <w:widowControl w:val="0"/>
        <w:spacing w:before="0" w:beforeAutospacing="0" w:after="120" w:afterAutospacing="0" w:line="360" w:lineRule="auto"/>
        <w:ind w:left="964"/>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R</w:t>
      </w:r>
      <w:r w:rsidR="007A209B">
        <w:rPr>
          <w:rFonts w:ascii="Lato" w:eastAsiaTheme="minorHAnsi" w:hAnsi="Lato" w:cstheme="minorBidi"/>
          <w:kern w:val="2"/>
          <w:sz w:val="20"/>
          <w:szCs w:val="20"/>
          <w:lang w:eastAsia="en-US"/>
          <w14:ligatures w14:val="standardContextual"/>
        </w:rPr>
        <w:t>ozłożeni</w:t>
      </w:r>
      <w:r w:rsidR="00EC1588">
        <w:rPr>
          <w:rFonts w:ascii="Lato" w:eastAsiaTheme="minorHAnsi" w:hAnsi="Lato" w:cstheme="minorBidi"/>
          <w:kern w:val="2"/>
          <w:sz w:val="20"/>
          <w:szCs w:val="20"/>
          <w:lang w:eastAsia="en-US"/>
          <w14:ligatures w14:val="standardContextual"/>
        </w:rPr>
        <w:t>e</w:t>
      </w:r>
      <w:r w:rsidR="007A209B">
        <w:rPr>
          <w:rFonts w:ascii="Lato" w:eastAsiaTheme="minorHAnsi" w:hAnsi="Lato" w:cstheme="minorBidi"/>
          <w:kern w:val="2"/>
          <w:sz w:val="20"/>
          <w:szCs w:val="20"/>
          <w:lang w:eastAsia="en-US"/>
          <w14:ligatures w14:val="standardContextual"/>
        </w:rPr>
        <w:t xml:space="preserve"> wzajemnych uprawnień i obowiązków w zakresie praw własności intelektualnej </w:t>
      </w:r>
      <w:r w:rsidR="00815785">
        <w:rPr>
          <w:rFonts w:ascii="Lato" w:eastAsiaTheme="minorHAnsi" w:hAnsi="Lato" w:cstheme="minorBidi"/>
          <w:kern w:val="2"/>
          <w:sz w:val="20"/>
          <w:szCs w:val="20"/>
          <w:lang w:eastAsia="en-US"/>
          <w14:ligatures w14:val="standardContextual"/>
        </w:rPr>
        <w:t>do rozwiązań innowacyjnych</w:t>
      </w:r>
      <w:r>
        <w:rPr>
          <w:rFonts w:ascii="Lato" w:eastAsiaTheme="minorHAnsi" w:hAnsi="Lato" w:cstheme="minorBidi"/>
          <w:kern w:val="2"/>
          <w:sz w:val="20"/>
          <w:szCs w:val="20"/>
          <w:lang w:eastAsia="en-US"/>
          <w14:ligatures w14:val="standardContextual"/>
        </w:rPr>
        <w:t xml:space="preserve"> na potrzeby inwestycji</w:t>
      </w:r>
      <w:r w:rsidR="00815785">
        <w:rPr>
          <w:rFonts w:ascii="Lato" w:eastAsiaTheme="minorHAnsi" w:hAnsi="Lato" w:cstheme="minorBidi"/>
          <w:kern w:val="2"/>
          <w:sz w:val="20"/>
          <w:szCs w:val="20"/>
          <w:lang w:eastAsia="en-US"/>
          <w14:ligatures w14:val="standardContextual"/>
        </w:rPr>
        <w:t xml:space="preserve"> powinno zabezpieczyć interes </w:t>
      </w:r>
      <w:r>
        <w:rPr>
          <w:rFonts w:ascii="Lato" w:eastAsiaTheme="minorHAnsi" w:hAnsi="Lato" w:cstheme="minorBidi"/>
          <w:kern w:val="2"/>
          <w:sz w:val="20"/>
          <w:szCs w:val="20"/>
          <w:lang w:eastAsia="en-US"/>
          <w14:ligatures w14:val="standardContextual"/>
        </w:rPr>
        <w:t>spółek z</w:t>
      </w:r>
      <w:r w:rsidR="00C859A0">
        <w:rPr>
          <w:rFonts w:ascii="Lato" w:eastAsiaTheme="minorHAnsi" w:hAnsi="Lato" w:cstheme="minorBidi"/>
          <w:kern w:val="2"/>
          <w:sz w:val="20"/>
          <w:szCs w:val="20"/>
          <w:lang w:eastAsia="en-US"/>
          <w14:ligatures w14:val="standardContextual"/>
        </w:rPr>
        <w:t> </w:t>
      </w:r>
      <w:r>
        <w:rPr>
          <w:rFonts w:ascii="Lato" w:eastAsiaTheme="minorHAnsi" w:hAnsi="Lato" w:cstheme="minorBidi"/>
          <w:kern w:val="2"/>
          <w:sz w:val="20"/>
          <w:szCs w:val="20"/>
          <w:lang w:eastAsia="en-US"/>
          <w14:ligatures w14:val="standardContextual"/>
        </w:rPr>
        <w:t>udziałem Skarbu Państwa</w:t>
      </w:r>
      <w:r w:rsidR="00815785">
        <w:rPr>
          <w:rFonts w:ascii="Lato" w:eastAsiaTheme="minorHAnsi" w:hAnsi="Lato" w:cstheme="minorBidi"/>
          <w:kern w:val="2"/>
          <w:sz w:val="20"/>
          <w:szCs w:val="20"/>
          <w:lang w:eastAsia="en-US"/>
          <w14:ligatures w14:val="standardContextual"/>
        </w:rPr>
        <w:t xml:space="preserve"> w zakresie możliwości jak najszerszego korzystania z tych praw przy jednoczesnym zachowaniu uprawnień przez wykonawcę.  </w:t>
      </w:r>
    </w:p>
    <w:p w14:paraId="009E3045" w14:textId="4BC2A227" w:rsidR="003D1E50"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p>
    <w:p w14:paraId="59C6DF34" w14:textId="5BB75390" w:rsidR="00DA61F2" w:rsidRDefault="005F23C2" w:rsidP="00241EEF">
      <w:pPr>
        <w:pStyle w:val="podrozdzial"/>
      </w:pPr>
      <w:bookmarkStart w:id="13" w:name="_Toc228873237"/>
      <w:r w:rsidRPr="00054889">
        <w:t>ESG</w:t>
      </w:r>
      <w:r w:rsidR="000B55D5">
        <w:rPr>
          <w:rStyle w:val="Odwoanieprzypisudolnego"/>
        </w:rPr>
        <w:footnoteReference w:id="4"/>
      </w:r>
      <w:r w:rsidR="00AF5E00" w:rsidRPr="00054889">
        <w:t>,</w:t>
      </w:r>
      <w:r w:rsidRPr="00054889">
        <w:t xml:space="preserve"> ŚRODOWISKOWE</w:t>
      </w:r>
      <w:r w:rsidR="00AF5E00" w:rsidRPr="00054889">
        <w:t xml:space="preserve">, </w:t>
      </w:r>
      <w:r w:rsidRPr="00054889">
        <w:t>SPOŁECZNE</w:t>
      </w:r>
      <w:bookmarkEnd w:id="13"/>
    </w:p>
    <w:p w14:paraId="0439B4C1" w14:textId="77777777" w:rsidR="00BE0158" w:rsidRDefault="00BE0158" w:rsidP="00BE0158">
      <w:pPr>
        <w:pStyle w:val="Akapitzlist"/>
        <w:widowControl w:val="0"/>
        <w:spacing w:after="120" w:line="360" w:lineRule="auto"/>
        <w:contextualSpacing w:val="0"/>
        <w:rPr>
          <w:rFonts w:ascii="Lato" w:hAnsi="Lato"/>
          <w:b/>
          <w:bCs/>
          <w:sz w:val="20"/>
          <w:szCs w:val="20"/>
        </w:rPr>
      </w:pPr>
    </w:p>
    <w:p w14:paraId="068A165D" w14:textId="7E8C934E" w:rsidR="006469FD" w:rsidRPr="00054889" w:rsidRDefault="0005369B" w:rsidP="007D0DA7">
      <w:pPr>
        <w:pStyle w:val="NormalnyWeb"/>
        <w:widowControl w:val="0"/>
        <w:numPr>
          <w:ilvl w:val="1"/>
          <w:numId w:val="36"/>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Zalecane jest </w:t>
      </w:r>
      <w:r w:rsidR="006469FD" w:rsidRPr="00054889">
        <w:rPr>
          <w:rFonts w:ascii="Lato" w:eastAsiaTheme="minorHAnsi" w:hAnsi="Lato" w:cstheme="minorBidi"/>
          <w:kern w:val="2"/>
          <w:sz w:val="20"/>
          <w:szCs w:val="20"/>
          <w:lang w:eastAsia="en-US"/>
          <w14:ligatures w14:val="standardContextual"/>
        </w:rPr>
        <w:t xml:space="preserve">uwzględnianie </w:t>
      </w:r>
      <w:r w:rsidR="00A024E2">
        <w:rPr>
          <w:rFonts w:ascii="Lato" w:eastAsiaTheme="minorHAnsi" w:hAnsi="Lato" w:cstheme="minorBidi"/>
          <w:kern w:val="2"/>
          <w:sz w:val="20"/>
          <w:szCs w:val="20"/>
          <w:lang w:eastAsia="en-US"/>
          <w14:ligatures w14:val="standardContextual"/>
        </w:rPr>
        <w:t xml:space="preserve">przez spółki z udziałem Skarbu Państwa </w:t>
      </w:r>
      <w:r w:rsidR="006469FD" w:rsidRPr="00054889">
        <w:rPr>
          <w:rFonts w:ascii="Lato" w:eastAsiaTheme="minorHAnsi" w:hAnsi="Lato" w:cstheme="minorBidi"/>
          <w:kern w:val="2"/>
          <w:sz w:val="20"/>
          <w:szCs w:val="20"/>
          <w:lang w:eastAsia="en-US"/>
          <w14:ligatures w14:val="standardContextual"/>
        </w:rPr>
        <w:t>czynników środowiskowych i</w:t>
      </w:r>
      <w:r w:rsidR="00C859A0">
        <w:rPr>
          <w:rFonts w:ascii="Lato" w:eastAsiaTheme="minorHAnsi" w:hAnsi="Lato" w:cstheme="minorBidi"/>
          <w:kern w:val="2"/>
          <w:sz w:val="20"/>
          <w:szCs w:val="20"/>
          <w:lang w:eastAsia="en-US"/>
          <w14:ligatures w14:val="standardContextual"/>
        </w:rPr>
        <w:t> </w:t>
      </w:r>
      <w:r w:rsidR="006469FD" w:rsidRPr="00054889">
        <w:rPr>
          <w:rFonts w:ascii="Lato" w:eastAsiaTheme="minorHAnsi" w:hAnsi="Lato" w:cstheme="minorBidi"/>
          <w:kern w:val="2"/>
          <w:sz w:val="20"/>
          <w:szCs w:val="20"/>
          <w:lang w:eastAsia="en-US"/>
          <w14:ligatures w14:val="standardContextual"/>
        </w:rPr>
        <w:t>społecznych w sposób adekwatny do charakteru zamówienia</w:t>
      </w:r>
      <w:r w:rsidR="00A024E2">
        <w:rPr>
          <w:rFonts w:ascii="Lato" w:eastAsiaTheme="minorHAnsi" w:hAnsi="Lato" w:cstheme="minorBidi"/>
          <w:kern w:val="2"/>
          <w:sz w:val="20"/>
          <w:szCs w:val="20"/>
          <w:lang w:eastAsia="en-US"/>
          <w14:ligatures w14:val="standardContextual"/>
        </w:rPr>
        <w:t xml:space="preserve"> projektowanego na potrzeby realizacji kluczowych procesów inwestycyjnych</w:t>
      </w:r>
      <w:r w:rsidR="006469FD" w:rsidRPr="00054889">
        <w:rPr>
          <w:rFonts w:ascii="Lato" w:eastAsiaTheme="minorHAnsi" w:hAnsi="Lato" w:cstheme="minorBidi"/>
          <w:kern w:val="2"/>
          <w:sz w:val="20"/>
          <w:szCs w:val="20"/>
          <w:lang w:eastAsia="en-US"/>
          <w14:ligatures w14:val="standardContextual"/>
        </w:rPr>
        <w:t xml:space="preserve"> oraz jego skali, aby realizacja projektów przyczyniała się do ograniczania negatywnego oddziaływania na otoczenie oraz podnoszenia standardów odpowiedzialności w łańcuchu dostaw. Integracja elementów ESG w procesie zakupowym może wspierać rozwój nowoczesnych technologii, poprawę jakości warunków pracy oraz budowę bardziej </w:t>
      </w:r>
      <w:r w:rsidR="006469FD" w:rsidRPr="00054889">
        <w:rPr>
          <w:rFonts w:ascii="Lato" w:eastAsiaTheme="minorHAnsi" w:hAnsi="Lato" w:cstheme="minorBidi"/>
          <w:kern w:val="2"/>
          <w:sz w:val="20"/>
          <w:szCs w:val="20"/>
          <w:lang w:eastAsia="en-US"/>
          <w14:ligatures w14:val="standardContextual"/>
        </w:rPr>
        <w:lastRenderedPageBreak/>
        <w:t>zrównoważonych modeli biznesowych.</w:t>
      </w:r>
    </w:p>
    <w:p w14:paraId="7A88A694" w14:textId="19D2FCF8" w:rsidR="006469FD" w:rsidRPr="00054889" w:rsidRDefault="0005369B" w:rsidP="00C859A0">
      <w:pPr>
        <w:pStyle w:val="NormalnyWeb"/>
        <w:widowControl w:val="0"/>
        <w:numPr>
          <w:ilvl w:val="1"/>
          <w:numId w:val="36"/>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O</w:t>
      </w:r>
      <w:r w:rsidR="006469FD" w:rsidRPr="00054889">
        <w:rPr>
          <w:rFonts w:ascii="Lato" w:eastAsiaTheme="minorHAnsi" w:hAnsi="Lato" w:cstheme="minorBidi"/>
          <w:kern w:val="2"/>
          <w:sz w:val="20"/>
          <w:szCs w:val="20"/>
          <w:lang w:eastAsia="en-US"/>
          <w14:ligatures w14:val="standardContextual"/>
        </w:rPr>
        <w:t xml:space="preserve">dniesienia do aspektów środowiskowych i społecznych w postępowaniach </w:t>
      </w:r>
      <w:r w:rsidRPr="00054889">
        <w:rPr>
          <w:rFonts w:ascii="Lato" w:eastAsiaTheme="minorHAnsi" w:hAnsi="Lato" w:cstheme="minorBidi"/>
          <w:kern w:val="2"/>
          <w:sz w:val="20"/>
          <w:szCs w:val="20"/>
          <w:lang w:eastAsia="en-US"/>
          <w14:ligatures w14:val="standardContextual"/>
        </w:rPr>
        <w:t>ma</w:t>
      </w:r>
      <w:r w:rsidR="00A024E2">
        <w:rPr>
          <w:rFonts w:ascii="Lato" w:eastAsiaTheme="minorHAnsi" w:hAnsi="Lato" w:cstheme="minorBidi"/>
          <w:kern w:val="2"/>
          <w:sz w:val="20"/>
          <w:szCs w:val="20"/>
          <w:lang w:eastAsia="en-US"/>
          <w14:ligatures w14:val="standardContextual"/>
        </w:rPr>
        <w:t>ją</w:t>
      </w:r>
      <w:r w:rsidRPr="00054889">
        <w:rPr>
          <w:rFonts w:ascii="Lato" w:eastAsiaTheme="minorHAnsi" w:hAnsi="Lato" w:cstheme="minorBidi"/>
          <w:kern w:val="2"/>
          <w:sz w:val="20"/>
          <w:szCs w:val="20"/>
          <w:lang w:eastAsia="en-US"/>
          <w14:ligatures w14:val="standardContextual"/>
        </w:rPr>
        <w:t xml:space="preserve"> na celu ograniczenie</w:t>
      </w:r>
      <w:r w:rsidR="006469FD" w:rsidRPr="00054889">
        <w:rPr>
          <w:rFonts w:ascii="Lato" w:eastAsiaTheme="minorHAnsi" w:hAnsi="Lato" w:cstheme="minorBidi"/>
          <w:kern w:val="2"/>
          <w:sz w:val="20"/>
          <w:szCs w:val="20"/>
          <w:lang w:eastAsia="en-US"/>
          <w14:ligatures w14:val="standardContextual"/>
        </w:rPr>
        <w:t xml:space="preserve"> wybor</w:t>
      </w:r>
      <w:r w:rsidRPr="00054889">
        <w:rPr>
          <w:rFonts w:ascii="Lato" w:eastAsiaTheme="minorHAnsi" w:hAnsi="Lato" w:cstheme="minorBidi"/>
          <w:kern w:val="2"/>
          <w:sz w:val="20"/>
          <w:szCs w:val="20"/>
          <w:lang w:eastAsia="en-US"/>
          <w14:ligatures w14:val="standardContextual"/>
        </w:rPr>
        <w:t>u</w:t>
      </w:r>
      <w:r w:rsidR="006469FD" w:rsidRPr="00054889">
        <w:rPr>
          <w:rFonts w:ascii="Lato" w:eastAsiaTheme="minorHAnsi" w:hAnsi="Lato" w:cstheme="minorBidi"/>
          <w:kern w:val="2"/>
          <w:sz w:val="20"/>
          <w:szCs w:val="20"/>
          <w:lang w:eastAsia="en-US"/>
          <w14:ligatures w14:val="standardContextual"/>
        </w:rPr>
        <w:t xml:space="preserve"> rozwiązań krótkoterminowych, obciążonych wyższymi kosztami eksploatacyjnymi lub ryzykiem </w:t>
      </w:r>
      <w:proofErr w:type="spellStart"/>
      <w:r w:rsidR="006469FD" w:rsidRPr="00054889">
        <w:rPr>
          <w:rFonts w:ascii="Lato" w:eastAsiaTheme="minorHAnsi" w:hAnsi="Lato" w:cstheme="minorBidi"/>
          <w:kern w:val="2"/>
          <w:sz w:val="20"/>
          <w:szCs w:val="20"/>
          <w:lang w:eastAsia="en-US"/>
          <w14:ligatures w14:val="standardContextual"/>
        </w:rPr>
        <w:t>reputacyjnym</w:t>
      </w:r>
      <w:proofErr w:type="spellEnd"/>
      <w:r w:rsidR="006469FD"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R</w:t>
      </w:r>
      <w:r w:rsidR="006469FD" w:rsidRPr="00054889">
        <w:rPr>
          <w:rFonts w:ascii="Lato" w:eastAsiaTheme="minorHAnsi" w:hAnsi="Lato" w:cstheme="minorBidi"/>
          <w:kern w:val="2"/>
          <w:sz w:val="20"/>
          <w:szCs w:val="20"/>
          <w:lang w:eastAsia="en-US"/>
          <w14:ligatures w14:val="standardContextual"/>
        </w:rPr>
        <w:t xml:space="preserve">acjonalne i mierzalne wymagania w tym zakresie mogą stymulować rozwój technologii niskoemisyjnych, wzmacniać </w:t>
      </w:r>
      <w:r w:rsidR="00A024E2">
        <w:rPr>
          <w:rFonts w:ascii="Lato" w:eastAsiaTheme="minorHAnsi" w:hAnsi="Lato" w:cstheme="minorBidi"/>
          <w:kern w:val="2"/>
          <w:sz w:val="20"/>
          <w:szCs w:val="20"/>
          <w:lang w:eastAsia="en-US"/>
          <w14:ligatures w14:val="standardContextual"/>
        </w:rPr>
        <w:t>krajowe</w:t>
      </w:r>
      <w:r w:rsidR="006469FD" w:rsidRPr="00054889">
        <w:rPr>
          <w:rFonts w:ascii="Lato" w:eastAsiaTheme="minorHAnsi" w:hAnsi="Lato" w:cstheme="minorBidi"/>
          <w:kern w:val="2"/>
          <w:sz w:val="20"/>
          <w:szCs w:val="20"/>
          <w:lang w:eastAsia="en-US"/>
          <w14:ligatures w14:val="standardContextual"/>
        </w:rPr>
        <w:t xml:space="preserve"> zaplecze produkcyjne</w:t>
      </w:r>
      <w:r w:rsidR="00A024E2">
        <w:rPr>
          <w:rFonts w:ascii="Lato" w:eastAsiaTheme="minorHAnsi" w:hAnsi="Lato" w:cstheme="minorBidi"/>
          <w:kern w:val="2"/>
          <w:sz w:val="20"/>
          <w:szCs w:val="20"/>
          <w:lang w:eastAsia="en-US"/>
          <w14:ligatures w14:val="standardContextual"/>
        </w:rPr>
        <w:t xml:space="preserve"> poprzez transport komponentów na krótsze odległości</w:t>
      </w:r>
      <w:r w:rsidR="006469FD" w:rsidRPr="00054889">
        <w:rPr>
          <w:rFonts w:ascii="Lato" w:eastAsiaTheme="minorHAnsi" w:hAnsi="Lato" w:cstheme="minorBidi"/>
          <w:kern w:val="2"/>
          <w:sz w:val="20"/>
          <w:szCs w:val="20"/>
          <w:lang w:eastAsia="en-US"/>
          <w14:ligatures w14:val="standardContextual"/>
        </w:rPr>
        <w:t xml:space="preserve"> oraz sprzyjać podnoszeniu standardów pracy w przedsiębiorstwach uczestniczących w realizacji zamówień.</w:t>
      </w:r>
    </w:p>
    <w:p w14:paraId="676B6FD4" w14:textId="4BFFEEF3" w:rsidR="006469FD" w:rsidRPr="00054889" w:rsidRDefault="006469FD" w:rsidP="00C859A0">
      <w:pPr>
        <w:pStyle w:val="NormalnyWeb"/>
        <w:widowControl w:val="0"/>
        <w:numPr>
          <w:ilvl w:val="1"/>
          <w:numId w:val="36"/>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Włączenie elementów ESG powinno odbywać się z poszanowaniem zasady proporcjonalności.</w:t>
      </w:r>
      <w:r w:rsidR="0005369B" w:rsidRPr="00054889">
        <w:rPr>
          <w:rFonts w:ascii="Lato" w:eastAsiaTheme="minorHAnsi" w:hAnsi="Lato" w:cstheme="minorBidi"/>
          <w:kern w:val="2"/>
          <w:sz w:val="20"/>
          <w:szCs w:val="20"/>
          <w:lang w:eastAsia="en-US"/>
          <w14:ligatures w14:val="standardContextual"/>
        </w:rPr>
        <w:t xml:space="preserve"> Sprzyja także wyborowi rozwiązań bardziej efektywnych w całym okresie użytkowania, ogranicza negatywne oddziaływanie projektów na otoczenie oraz wspiera rozwój przedsiębiorstw oferujących technologie i usługi o podwyższonych standardach odpowiedzialności.</w:t>
      </w:r>
      <w:r w:rsidR="000079F7" w:rsidRPr="00054889">
        <w:rPr>
          <w:rFonts w:ascii="Lato" w:eastAsiaTheme="minorHAnsi" w:hAnsi="Lato" w:cstheme="minorBidi"/>
          <w:kern w:val="2"/>
          <w:sz w:val="20"/>
          <w:szCs w:val="20"/>
          <w:lang w:eastAsia="en-US"/>
          <w14:ligatures w14:val="standardContextual"/>
        </w:rPr>
        <w:t xml:space="preserve"> </w:t>
      </w:r>
      <w:r w:rsidR="0005369B" w:rsidRPr="00054889">
        <w:rPr>
          <w:rFonts w:ascii="Lato" w:eastAsiaTheme="minorHAnsi" w:hAnsi="Lato" w:cstheme="minorBidi"/>
          <w:kern w:val="2"/>
          <w:sz w:val="20"/>
          <w:szCs w:val="20"/>
          <w:lang w:eastAsia="en-US"/>
          <w14:ligatures w14:val="standardContextual"/>
        </w:rPr>
        <w:t>W dłuższej perspektywie umożliwia łączenie celów ekonomicznych z</w:t>
      </w:r>
      <w:r w:rsidR="00312BE6">
        <w:rPr>
          <w:rFonts w:ascii="Lato" w:eastAsiaTheme="minorHAnsi" w:hAnsi="Lato" w:cstheme="minorBidi"/>
          <w:kern w:val="2"/>
          <w:sz w:val="20"/>
          <w:szCs w:val="20"/>
          <w:lang w:eastAsia="en-US"/>
          <w14:ligatures w14:val="standardContextual"/>
        </w:rPr>
        <w:t> </w:t>
      </w:r>
      <w:r w:rsidR="0005369B" w:rsidRPr="00054889">
        <w:rPr>
          <w:rFonts w:ascii="Lato" w:eastAsiaTheme="minorHAnsi" w:hAnsi="Lato" w:cstheme="minorBidi"/>
          <w:kern w:val="2"/>
          <w:sz w:val="20"/>
          <w:szCs w:val="20"/>
          <w:lang w:eastAsia="en-US"/>
          <w14:ligatures w14:val="standardContextual"/>
        </w:rPr>
        <w:t>budową nowoczesnej i konkurencyjnej gospodarki.</w:t>
      </w:r>
    </w:p>
    <w:p w14:paraId="2A0F6E8A" w14:textId="44FCB118" w:rsidR="00B01B59" w:rsidRPr="00054889" w:rsidRDefault="0005369B" w:rsidP="00097032">
      <w:pPr>
        <w:widowControl w:val="0"/>
        <w:spacing w:after="120" w:line="360" w:lineRule="auto"/>
        <w:rPr>
          <w:rFonts w:ascii="Lato" w:hAnsi="Lato"/>
          <w:sz w:val="20"/>
          <w:szCs w:val="20"/>
        </w:rPr>
      </w:pPr>
      <w:r w:rsidRPr="00054889">
        <w:rPr>
          <w:rFonts w:ascii="Lato" w:hAnsi="Lato"/>
          <w:sz w:val="20"/>
          <w:szCs w:val="20"/>
        </w:rPr>
        <w:t xml:space="preserve">Rekomenduje </w:t>
      </w:r>
      <w:r w:rsidR="006469FD" w:rsidRPr="00054889">
        <w:rPr>
          <w:rFonts w:ascii="Lato" w:hAnsi="Lato"/>
          <w:sz w:val="20"/>
          <w:szCs w:val="20"/>
        </w:rPr>
        <w:t>się w szczególności:</w:t>
      </w:r>
    </w:p>
    <w:p w14:paraId="3807999B" w14:textId="77777777" w:rsidR="006B221A" w:rsidRPr="00054889" w:rsidRDefault="006469FD" w:rsidP="00FD2F03">
      <w:pPr>
        <w:pStyle w:val="NormalnyWeb"/>
        <w:widowControl w:val="0"/>
        <w:numPr>
          <w:ilvl w:val="1"/>
          <w:numId w:val="18"/>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Uwzględnianie śladu węglowego i efektywności energetycznej</w:t>
      </w:r>
    </w:p>
    <w:p w14:paraId="374693A1" w14:textId="35A84C5C" w:rsidR="0060035B" w:rsidRPr="00054889" w:rsidRDefault="0005369B"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S</w:t>
      </w:r>
      <w:r w:rsidR="006469FD" w:rsidRPr="00054889">
        <w:rPr>
          <w:rFonts w:ascii="Lato" w:eastAsiaTheme="minorHAnsi" w:hAnsi="Lato" w:cstheme="minorBidi"/>
          <w:kern w:val="2"/>
          <w:sz w:val="20"/>
          <w:szCs w:val="20"/>
          <w:lang w:eastAsia="en-US"/>
          <w14:ligatures w14:val="standardContextual"/>
        </w:rPr>
        <w:t>tosowanie kryteriów odnoszących się do poziomu emisji gazów cieplarnianych, zużycia energii lub efektywności energetycznej, w zakresie możliwym do zweryfikowania i</w:t>
      </w:r>
      <w:r w:rsidR="002C44D0">
        <w:rPr>
          <w:rFonts w:ascii="Lato" w:eastAsiaTheme="minorHAnsi" w:hAnsi="Lato" w:cstheme="minorBidi"/>
          <w:kern w:val="2"/>
          <w:sz w:val="20"/>
          <w:szCs w:val="20"/>
          <w:lang w:eastAsia="en-US"/>
          <w14:ligatures w14:val="standardContextual"/>
        </w:rPr>
        <w:t> </w:t>
      </w:r>
      <w:r w:rsidR="006469FD" w:rsidRPr="00054889">
        <w:rPr>
          <w:rFonts w:ascii="Lato" w:eastAsiaTheme="minorHAnsi" w:hAnsi="Lato" w:cstheme="minorBidi"/>
          <w:kern w:val="2"/>
          <w:sz w:val="20"/>
          <w:szCs w:val="20"/>
          <w:lang w:eastAsia="en-US"/>
          <w14:ligatures w14:val="standardContextual"/>
        </w:rPr>
        <w:t>adekwatnym do charakteru projektu</w:t>
      </w:r>
      <w:r w:rsidR="0060035B" w:rsidRPr="00054889">
        <w:rPr>
          <w:rFonts w:ascii="Lato" w:eastAsiaTheme="minorHAnsi" w:hAnsi="Lato" w:cstheme="minorBidi"/>
          <w:kern w:val="2"/>
          <w:sz w:val="20"/>
          <w:szCs w:val="20"/>
          <w:lang w:eastAsia="en-US"/>
          <w14:ligatures w14:val="standardContextual"/>
        </w:rPr>
        <w:t>.</w:t>
      </w:r>
      <w:r w:rsidR="006438C4" w:rsidRPr="00054889">
        <w:rPr>
          <w:rFonts w:ascii="Lato" w:eastAsiaTheme="minorHAnsi" w:hAnsi="Lato" w:cstheme="minorBidi"/>
          <w:kern w:val="2"/>
          <w:sz w:val="20"/>
          <w:szCs w:val="20"/>
          <w:lang w:eastAsia="en-US"/>
          <w14:ligatures w14:val="standardContextual"/>
        </w:rPr>
        <w:t xml:space="preserve"> Spółk</w:t>
      </w:r>
      <w:r w:rsidR="00A024E2">
        <w:rPr>
          <w:rFonts w:ascii="Lato" w:eastAsiaTheme="minorHAnsi" w:hAnsi="Lato" w:cstheme="minorBidi"/>
          <w:kern w:val="2"/>
          <w:sz w:val="20"/>
          <w:szCs w:val="20"/>
          <w:lang w:eastAsia="en-US"/>
          <w14:ligatures w14:val="standardContextual"/>
        </w:rPr>
        <w:t>i z udziałem Skarbu Państwa</w:t>
      </w:r>
      <w:r w:rsidR="006438C4" w:rsidRPr="00054889">
        <w:rPr>
          <w:rFonts w:ascii="Lato" w:eastAsiaTheme="minorHAnsi" w:hAnsi="Lato" w:cstheme="minorBidi"/>
          <w:kern w:val="2"/>
          <w:sz w:val="20"/>
          <w:szCs w:val="20"/>
          <w:lang w:eastAsia="en-US"/>
          <w14:ligatures w14:val="standardContextual"/>
        </w:rPr>
        <w:t xml:space="preserve"> mo</w:t>
      </w:r>
      <w:r w:rsidR="00CA4152">
        <w:rPr>
          <w:rFonts w:ascii="Lato" w:eastAsiaTheme="minorHAnsi" w:hAnsi="Lato" w:cstheme="minorBidi"/>
          <w:kern w:val="2"/>
          <w:sz w:val="20"/>
          <w:szCs w:val="20"/>
          <w:lang w:eastAsia="en-US"/>
          <w14:ligatures w14:val="standardContextual"/>
        </w:rPr>
        <w:t>gą</w:t>
      </w:r>
      <w:r w:rsidR="006438C4" w:rsidRPr="00054889">
        <w:rPr>
          <w:rFonts w:ascii="Lato" w:eastAsiaTheme="minorHAnsi" w:hAnsi="Lato" w:cstheme="minorBidi"/>
          <w:kern w:val="2"/>
          <w:sz w:val="20"/>
          <w:szCs w:val="20"/>
          <w:lang w:eastAsia="en-US"/>
          <w14:ligatures w14:val="standardContextual"/>
        </w:rPr>
        <w:t xml:space="preserve"> określać wymogi dotyczące emisji CO₂ i efektywności energetycznej jako mierzalne kryteria oceny ofert. Wymogi powinny obejmować szacunkowe roczne zużycie energii, poziom emisji w</w:t>
      </w:r>
      <w:r w:rsidR="00312BE6">
        <w:rPr>
          <w:rFonts w:ascii="Lato" w:eastAsiaTheme="minorHAnsi" w:hAnsi="Lato" w:cstheme="minorBidi"/>
          <w:kern w:val="2"/>
          <w:sz w:val="20"/>
          <w:szCs w:val="20"/>
          <w:lang w:eastAsia="en-US"/>
          <w14:ligatures w14:val="standardContextual"/>
        </w:rPr>
        <w:t> </w:t>
      </w:r>
      <w:r w:rsidR="006438C4" w:rsidRPr="00054889">
        <w:rPr>
          <w:rFonts w:ascii="Lato" w:eastAsiaTheme="minorHAnsi" w:hAnsi="Lato" w:cstheme="minorBidi"/>
          <w:kern w:val="2"/>
          <w:sz w:val="20"/>
          <w:szCs w:val="20"/>
          <w:lang w:eastAsia="en-US"/>
          <w14:ligatures w14:val="standardContextual"/>
        </w:rPr>
        <w:t>całym cyklu życia produktu, czy certyfikaty</w:t>
      </w:r>
      <w:r w:rsidR="00A024E2">
        <w:rPr>
          <w:rFonts w:ascii="Lato" w:eastAsiaTheme="minorHAnsi" w:hAnsi="Lato" w:cstheme="minorBidi"/>
          <w:kern w:val="2"/>
          <w:sz w:val="20"/>
          <w:szCs w:val="20"/>
          <w:lang w:eastAsia="en-US"/>
          <w14:ligatures w14:val="standardContextual"/>
        </w:rPr>
        <w:t xml:space="preserve"> w zakresie</w:t>
      </w:r>
      <w:r w:rsidR="006438C4" w:rsidRPr="00054889">
        <w:rPr>
          <w:rFonts w:ascii="Lato" w:eastAsiaTheme="minorHAnsi" w:hAnsi="Lato" w:cstheme="minorBidi"/>
          <w:kern w:val="2"/>
          <w:sz w:val="20"/>
          <w:szCs w:val="20"/>
          <w:lang w:eastAsia="en-US"/>
          <w14:ligatures w14:val="standardContextual"/>
        </w:rPr>
        <w:t xml:space="preserve"> efektywności energetycznej</w:t>
      </w:r>
      <w:r w:rsidR="00A024E2">
        <w:rPr>
          <w:rFonts w:ascii="Lato" w:eastAsiaTheme="minorHAnsi" w:hAnsi="Lato" w:cstheme="minorBidi"/>
          <w:kern w:val="2"/>
          <w:sz w:val="20"/>
          <w:szCs w:val="20"/>
          <w:lang w:eastAsia="en-US"/>
          <w14:ligatures w14:val="standardContextual"/>
        </w:rPr>
        <w:t xml:space="preserve"> proponowanych rozwiązań</w:t>
      </w:r>
      <w:r w:rsidR="006438C4" w:rsidRPr="00054889">
        <w:rPr>
          <w:rFonts w:ascii="Lato" w:eastAsiaTheme="minorHAnsi" w:hAnsi="Lato" w:cstheme="minorBidi"/>
          <w:kern w:val="2"/>
          <w:sz w:val="20"/>
          <w:szCs w:val="20"/>
          <w:lang w:eastAsia="en-US"/>
          <w14:ligatures w14:val="standardContextual"/>
        </w:rPr>
        <w:t>.</w:t>
      </w:r>
    </w:p>
    <w:p w14:paraId="4AFA31A8" w14:textId="77777777" w:rsidR="006B221A" w:rsidRPr="00054889" w:rsidRDefault="006469FD" w:rsidP="00FD2F03">
      <w:pPr>
        <w:pStyle w:val="NormalnyWeb"/>
        <w:widowControl w:val="0"/>
        <w:numPr>
          <w:ilvl w:val="1"/>
          <w:numId w:val="18"/>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Ograniczanie emisji związanych z transportem i logistyką</w:t>
      </w:r>
    </w:p>
    <w:p w14:paraId="357102B1" w14:textId="6162C2F6" w:rsidR="00B01B59" w:rsidRPr="00054889" w:rsidRDefault="00281C7E"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A</w:t>
      </w:r>
      <w:r w:rsidR="006469FD" w:rsidRPr="00054889">
        <w:rPr>
          <w:rFonts w:ascii="Lato" w:eastAsiaTheme="minorHAnsi" w:hAnsi="Lato" w:cstheme="minorBidi"/>
          <w:kern w:val="2"/>
          <w:sz w:val="20"/>
          <w:szCs w:val="20"/>
          <w:lang w:eastAsia="en-US"/>
          <w14:ligatures w14:val="standardContextual"/>
        </w:rPr>
        <w:t>nalizowanie wpływu organizacji dostaw na poziom emisji oraz premiowanie rozwiązań redukujących transport na duże odległości, jeżeli ma to znaczenie dla realizowanego projektu.</w:t>
      </w:r>
      <w:r w:rsidR="00DA74D7" w:rsidRPr="00054889">
        <w:rPr>
          <w:rFonts w:ascii="Lato" w:eastAsiaTheme="minorHAnsi" w:hAnsi="Lato" w:cstheme="minorBidi"/>
          <w:kern w:val="2"/>
          <w:sz w:val="20"/>
          <w:szCs w:val="20"/>
          <w:lang w:eastAsia="en-US"/>
          <w14:ligatures w14:val="standardContextual"/>
        </w:rPr>
        <w:t xml:space="preserve"> Spółk</w:t>
      </w:r>
      <w:r w:rsidR="00A024E2">
        <w:rPr>
          <w:rFonts w:ascii="Lato" w:eastAsiaTheme="minorHAnsi" w:hAnsi="Lato" w:cstheme="minorBidi"/>
          <w:kern w:val="2"/>
          <w:sz w:val="20"/>
          <w:szCs w:val="20"/>
          <w:lang w:eastAsia="en-US"/>
          <w14:ligatures w14:val="standardContextual"/>
        </w:rPr>
        <w:t>i z udziałem Skarbu Państwa</w:t>
      </w:r>
      <w:r w:rsidR="00DA74D7" w:rsidRPr="00054889">
        <w:rPr>
          <w:rFonts w:ascii="Lato" w:eastAsiaTheme="minorHAnsi" w:hAnsi="Lato" w:cstheme="minorBidi"/>
          <w:kern w:val="2"/>
          <w:sz w:val="20"/>
          <w:szCs w:val="20"/>
          <w:lang w:eastAsia="en-US"/>
          <w14:ligatures w14:val="standardContextual"/>
        </w:rPr>
        <w:t xml:space="preserve"> powinn</w:t>
      </w:r>
      <w:r w:rsidR="00A024E2">
        <w:rPr>
          <w:rFonts w:ascii="Lato" w:eastAsiaTheme="minorHAnsi" w:hAnsi="Lato" w:cstheme="minorBidi"/>
          <w:kern w:val="2"/>
          <w:sz w:val="20"/>
          <w:szCs w:val="20"/>
          <w:lang w:eastAsia="en-US"/>
          <w14:ligatures w14:val="standardContextual"/>
        </w:rPr>
        <w:t>y</w:t>
      </w:r>
      <w:r w:rsidR="00DA74D7" w:rsidRPr="00054889">
        <w:rPr>
          <w:rFonts w:ascii="Lato" w:eastAsiaTheme="minorHAnsi" w:hAnsi="Lato" w:cstheme="minorBidi"/>
          <w:kern w:val="2"/>
          <w:sz w:val="20"/>
          <w:szCs w:val="20"/>
          <w:lang w:eastAsia="en-US"/>
          <w14:ligatures w14:val="standardContextual"/>
        </w:rPr>
        <w:t xml:space="preserve"> oceniać plany logistyczne oferentów pod kątem emisji </w:t>
      </w:r>
      <w:r w:rsidR="00A024E2">
        <w:rPr>
          <w:rFonts w:ascii="Lato" w:eastAsiaTheme="minorHAnsi" w:hAnsi="Lato" w:cstheme="minorBidi"/>
          <w:kern w:val="2"/>
          <w:sz w:val="20"/>
          <w:szCs w:val="20"/>
          <w:lang w:eastAsia="en-US"/>
          <w14:ligatures w14:val="standardContextual"/>
        </w:rPr>
        <w:t xml:space="preserve">generowanych przez </w:t>
      </w:r>
      <w:r w:rsidR="00DA74D7" w:rsidRPr="00054889">
        <w:rPr>
          <w:rFonts w:ascii="Lato" w:eastAsiaTheme="minorHAnsi" w:hAnsi="Lato" w:cstheme="minorBidi"/>
          <w:kern w:val="2"/>
          <w:sz w:val="20"/>
          <w:szCs w:val="20"/>
          <w:lang w:eastAsia="en-US"/>
          <w14:ligatures w14:val="standardContextual"/>
        </w:rPr>
        <w:t>transport. Kryteria mogą obejmować: miejsce magazynowania (preferowane bliskie lokalizacji dostaw), czy proponowane środki transportu</w:t>
      </w:r>
      <w:r w:rsidR="00A024E2">
        <w:rPr>
          <w:rFonts w:ascii="Lato" w:eastAsiaTheme="minorHAnsi" w:hAnsi="Lato" w:cstheme="minorBidi"/>
          <w:kern w:val="2"/>
          <w:sz w:val="20"/>
          <w:szCs w:val="20"/>
          <w:lang w:eastAsia="en-US"/>
          <w14:ligatures w14:val="standardContextual"/>
        </w:rPr>
        <w:t xml:space="preserve">. </w:t>
      </w:r>
    </w:p>
    <w:p w14:paraId="7C9DBA4B" w14:textId="77777777" w:rsidR="006B221A" w:rsidRPr="00054889" w:rsidRDefault="006469FD" w:rsidP="00FD2F03">
      <w:pPr>
        <w:pStyle w:val="NormalnyWeb"/>
        <w:widowControl w:val="0"/>
        <w:numPr>
          <w:ilvl w:val="1"/>
          <w:numId w:val="18"/>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Uwzględnianie oddziaływania na społeczności lokalne</w:t>
      </w:r>
    </w:p>
    <w:p w14:paraId="7397A6BD" w14:textId="7EAAE19A" w:rsidR="00B01B59" w:rsidRPr="00054889" w:rsidRDefault="00281C7E"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O</w:t>
      </w:r>
      <w:r w:rsidR="006469FD" w:rsidRPr="00054889">
        <w:rPr>
          <w:rFonts w:ascii="Lato" w:eastAsiaTheme="minorHAnsi" w:hAnsi="Lato" w:cstheme="minorBidi"/>
          <w:kern w:val="2"/>
          <w:sz w:val="20"/>
          <w:szCs w:val="20"/>
          <w:lang w:eastAsia="en-US"/>
          <w14:ligatures w14:val="standardContextual"/>
        </w:rPr>
        <w:t>cenę wpływu realizacji zamówienia na otoczenie społeczne, w tym na rynek pracy, warunki zatrudnienia oraz relacje z lokalnymi interesariuszami, w zakresie związanym z przedmiotem zamówienia.</w:t>
      </w:r>
    </w:p>
    <w:p w14:paraId="7D32AB43" w14:textId="77777777" w:rsidR="006B221A" w:rsidRPr="00054889" w:rsidRDefault="006469FD" w:rsidP="00FD2F03">
      <w:pPr>
        <w:pStyle w:val="NormalnyWeb"/>
        <w:widowControl w:val="0"/>
        <w:numPr>
          <w:ilvl w:val="1"/>
          <w:numId w:val="18"/>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Podnoszenie standardów bezpieczeństwa i jakości pracy</w:t>
      </w:r>
    </w:p>
    <w:p w14:paraId="575BC294" w14:textId="00007728" w:rsidR="003D1E50" w:rsidRDefault="00281C7E"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U</w:t>
      </w:r>
      <w:r w:rsidR="006469FD" w:rsidRPr="00054889">
        <w:rPr>
          <w:rFonts w:ascii="Lato" w:eastAsiaTheme="minorHAnsi" w:hAnsi="Lato" w:cstheme="minorBidi"/>
          <w:kern w:val="2"/>
          <w:sz w:val="20"/>
          <w:szCs w:val="20"/>
          <w:lang w:eastAsia="en-US"/>
          <w14:ligatures w14:val="standardContextual"/>
        </w:rPr>
        <w:t xml:space="preserve">względnianie rozwiązań wykraczających poza minimalne wymogi ustawowe </w:t>
      </w:r>
      <w:r w:rsidR="006469FD" w:rsidRPr="00054889">
        <w:rPr>
          <w:rFonts w:ascii="Lato" w:eastAsiaTheme="minorHAnsi" w:hAnsi="Lato" w:cstheme="minorBidi"/>
          <w:kern w:val="2"/>
          <w:sz w:val="20"/>
          <w:szCs w:val="20"/>
          <w:lang w:eastAsia="en-US"/>
          <w14:ligatures w14:val="standardContextual"/>
        </w:rPr>
        <w:br/>
        <w:t xml:space="preserve">w obszarze bezpieczeństwa i organizacji pracy, jeżeli przyczyniają się one do poprawy jakości realizacji oraz ograniczenia </w:t>
      </w:r>
      <w:proofErr w:type="spellStart"/>
      <w:r w:rsidR="006469FD" w:rsidRPr="00054889">
        <w:rPr>
          <w:rFonts w:ascii="Lato" w:eastAsiaTheme="minorHAnsi" w:hAnsi="Lato" w:cstheme="minorBidi"/>
          <w:kern w:val="2"/>
          <w:sz w:val="20"/>
          <w:szCs w:val="20"/>
          <w:lang w:eastAsia="en-US"/>
          <w14:ligatures w14:val="standardContextual"/>
        </w:rPr>
        <w:t>ryzyk</w:t>
      </w:r>
      <w:proofErr w:type="spellEnd"/>
      <w:r w:rsidR="006469FD" w:rsidRPr="00054889">
        <w:rPr>
          <w:rFonts w:ascii="Lato" w:eastAsiaTheme="minorHAnsi" w:hAnsi="Lato" w:cstheme="minorBidi"/>
          <w:kern w:val="2"/>
          <w:sz w:val="20"/>
          <w:szCs w:val="20"/>
          <w:lang w:eastAsia="en-US"/>
          <w14:ligatures w14:val="standardContextual"/>
        </w:rPr>
        <w:t xml:space="preserve"> w trakcie wykonywania</w:t>
      </w:r>
      <w:r w:rsidR="006469FD" w:rsidRPr="00054889">
        <w:rPr>
          <w:rFonts w:ascii="Lato" w:eastAsiaTheme="minorHAnsi" w:hAnsi="Lato" w:cstheme="minorBidi"/>
          <w:b/>
          <w:bCs/>
          <w:kern w:val="2"/>
          <w:sz w:val="20"/>
          <w:szCs w:val="20"/>
          <w:lang w:eastAsia="en-US"/>
          <w14:ligatures w14:val="standardContextual"/>
        </w:rPr>
        <w:t xml:space="preserve"> </w:t>
      </w:r>
      <w:r w:rsidR="006469FD" w:rsidRPr="00054889">
        <w:rPr>
          <w:rFonts w:ascii="Lato" w:eastAsiaTheme="minorHAnsi" w:hAnsi="Lato" w:cstheme="minorBidi"/>
          <w:kern w:val="2"/>
          <w:sz w:val="20"/>
          <w:szCs w:val="20"/>
          <w:lang w:eastAsia="en-US"/>
          <w14:ligatures w14:val="standardContextual"/>
        </w:rPr>
        <w:t>zamówienia.</w:t>
      </w:r>
      <w:r w:rsidR="00A024E2">
        <w:rPr>
          <w:rFonts w:ascii="Lato" w:eastAsiaTheme="minorHAnsi" w:hAnsi="Lato" w:cstheme="minorBidi"/>
          <w:kern w:val="2"/>
          <w:sz w:val="20"/>
          <w:szCs w:val="20"/>
          <w:lang w:eastAsia="en-US"/>
          <w14:ligatures w14:val="standardContextual"/>
        </w:rPr>
        <w:t xml:space="preserve"> </w:t>
      </w:r>
    </w:p>
    <w:p w14:paraId="1B51A9AE" w14:textId="77777777" w:rsidR="008036A0" w:rsidRPr="00054889" w:rsidRDefault="008036A0"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p>
    <w:p w14:paraId="682243C5" w14:textId="360238EA" w:rsidR="00281C7E" w:rsidRDefault="00281C7E" w:rsidP="00782ABE">
      <w:pPr>
        <w:pStyle w:val="podrozdzial"/>
        <w:spacing w:after="240"/>
        <w:ind w:left="714" w:hanging="357"/>
      </w:pPr>
      <w:bookmarkStart w:id="14" w:name="_Toc228873238"/>
      <w:r w:rsidRPr="00054889">
        <w:lastRenderedPageBreak/>
        <w:t>LOKALNA OBECNOŚĆ OPERACYJNA</w:t>
      </w:r>
      <w:bookmarkEnd w:id="14"/>
    </w:p>
    <w:p w14:paraId="1307BEC7" w14:textId="43851972" w:rsidR="007F7FEE" w:rsidRPr="00054889" w:rsidRDefault="008D2269" w:rsidP="007D0DA7">
      <w:pPr>
        <w:pStyle w:val="NormalnyWeb"/>
        <w:widowControl w:val="0"/>
        <w:numPr>
          <w:ilvl w:val="1"/>
          <w:numId w:val="37"/>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T</w:t>
      </w:r>
      <w:r w:rsidR="007F7FEE" w:rsidRPr="00054889">
        <w:rPr>
          <w:rFonts w:ascii="Lato" w:eastAsiaTheme="minorHAnsi" w:hAnsi="Lato" w:cstheme="minorBidi"/>
          <w:kern w:val="2"/>
          <w:sz w:val="20"/>
          <w:szCs w:val="20"/>
          <w:lang w:eastAsia="en-US"/>
          <w14:ligatures w14:val="standardContextual"/>
        </w:rPr>
        <w:t xml:space="preserve">worzenie warunków sprzyjających utrwalaniu zdolności operacyjnych na terytorium </w:t>
      </w:r>
      <w:r w:rsidR="00D35039">
        <w:rPr>
          <w:rFonts w:ascii="Lato" w:eastAsiaTheme="minorHAnsi" w:hAnsi="Lato" w:cstheme="minorBidi"/>
          <w:kern w:val="2"/>
          <w:sz w:val="20"/>
          <w:szCs w:val="20"/>
          <w:lang w:eastAsia="en-US"/>
          <w14:ligatures w14:val="standardContextual"/>
        </w:rPr>
        <w:t>Polski</w:t>
      </w:r>
      <w:r w:rsidR="007F7FEE" w:rsidRPr="00054889">
        <w:rPr>
          <w:rFonts w:ascii="Lato" w:eastAsiaTheme="minorHAnsi" w:hAnsi="Lato" w:cstheme="minorBidi"/>
          <w:kern w:val="2"/>
          <w:sz w:val="20"/>
          <w:szCs w:val="20"/>
          <w:lang w:eastAsia="en-US"/>
          <w14:ligatures w14:val="standardContextual"/>
        </w:rPr>
        <w:t xml:space="preserve"> oraz wzmacnianiu powiązań pomiędzy wykonawcami, podwykonawcami i dostawcami funkcjonującymi w krajowym obrocie gospodarczym</w:t>
      </w:r>
      <w:r w:rsidRPr="00054889">
        <w:rPr>
          <w:rFonts w:ascii="Lato" w:eastAsiaTheme="minorHAnsi" w:hAnsi="Lato" w:cstheme="minorBidi"/>
          <w:kern w:val="2"/>
          <w:sz w:val="20"/>
          <w:szCs w:val="20"/>
          <w:lang w:eastAsia="en-US"/>
          <w14:ligatures w14:val="standardContextual"/>
        </w:rPr>
        <w:t xml:space="preserve"> powinno być </w:t>
      </w:r>
      <w:r w:rsidR="003C66DE" w:rsidRPr="00054889">
        <w:rPr>
          <w:rFonts w:ascii="Lato" w:eastAsiaTheme="minorHAnsi" w:hAnsi="Lato" w:cstheme="minorBidi"/>
          <w:kern w:val="2"/>
          <w:sz w:val="20"/>
          <w:szCs w:val="20"/>
          <w:lang w:eastAsia="en-US"/>
          <w14:ligatures w14:val="standardContextual"/>
        </w:rPr>
        <w:t xml:space="preserve">jednym z </w:t>
      </w:r>
      <w:r w:rsidRPr="00054889">
        <w:rPr>
          <w:rFonts w:ascii="Lato" w:eastAsiaTheme="minorHAnsi" w:hAnsi="Lato" w:cstheme="minorBidi"/>
          <w:kern w:val="2"/>
          <w:sz w:val="20"/>
          <w:szCs w:val="20"/>
          <w:lang w:eastAsia="en-US"/>
          <w14:ligatures w14:val="standardContextual"/>
        </w:rPr>
        <w:t>podstawowych celów polityk zakupowych</w:t>
      </w:r>
      <w:r w:rsidR="007F7FEE" w:rsidRPr="00054889">
        <w:rPr>
          <w:rFonts w:ascii="Lato" w:eastAsiaTheme="minorHAnsi" w:hAnsi="Lato" w:cstheme="minorBidi"/>
          <w:kern w:val="2"/>
          <w:sz w:val="20"/>
          <w:szCs w:val="20"/>
          <w:lang w:eastAsia="en-US"/>
          <w14:ligatures w14:val="standardContextual"/>
        </w:rPr>
        <w:t>. Zamówienia mogą odgrywać istotną rolę w budowaniu trwałych struktur organizacyjnych, technicznych i serwisowych, które pozostają aktywne również po zakończeniu konkretnego projektu.</w:t>
      </w:r>
    </w:p>
    <w:p w14:paraId="2B2E92D1" w14:textId="6D82CE99" w:rsidR="007F7FEE" w:rsidRPr="00054889" w:rsidRDefault="007F7FEE" w:rsidP="00C859A0">
      <w:pPr>
        <w:pStyle w:val="NormalnyWeb"/>
        <w:widowControl w:val="0"/>
        <w:numPr>
          <w:ilvl w:val="1"/>
          <w:numId w:val="37"/>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Realizacja inwestycji bez zakorzenienia operacyjnego w kraju może prowadzić do ogranicz</w:t>
      </w:r>
      <w:r w:rsidR="00A142A5" w:rsidRPr="00054889">
        <w:rPr>
          <w:rFonts w:ascii="Lato" w:eastAsiaTheme="minorHAnsi" w:hAnsi="Lato" w:cstheme="minorBidi"/>
          <w:kern w:val="2"/>
          <w:sz w:val="20"/>
          <w:szCs w:val="20"/>
          <w:lang w:eastAsia="en-US"/>
          <w14:ligatures w14:val="standardContextual"/>
        </w:rPr>
        <w:t xml:space="preserve">enia </w:t>
      </w:r>
      <w:r w:rsidRPr="00054889">
        <w:rPr>
          <w:rFonts w:ascii="Lato" w:eastAsiaTheme="minorHAnsi" w:hAnsi="Lato" w:cstheme="minorBidi"/>
          <w:kern w:val="2"/>
          <w:sz w:val="20"/>
          <w:szCs w:val="20"/>
          <w:lang w:eastAsia="en-US"/>
          <w14:ligatures w14:val="standardContextual"/>
        </w:rPr>
        <w:t xml:space="preserve">transferu wiedzy, braku trwałych efektów rozwojowych oraz uzależnienia od zewnętrznych struktur decyzyjnych. </w:t>
      </w:r>
      <w:r w:rsidR="008D2269" w:rsidRPr="00054889">
        <w:rPr>
          <w:rFonts w:ascii="Lato" w:eastAsiaTheme="minorHAnsi" w:hAnsi="Lato" w:cstheme="minorBidi"/>
          <w:kern w:val="2"/>
          <w:sz w:val="20"/>
          <w:szCs w:val="20"/>
          <w:lang w:eastAsia="en-US"/>
          <w14:ligatures w14:val="standardContextual"/>
        </w:rPr>
        <w:t>R</w:t>
      </w:r>
      <w:r w:rsidRPr="00054889">
        <w:rPr>
          <w:rFonts w:ascii="Lato" w:eastAsiaTheme="minorHAnsi" w:hAnsi="Lato" w:cstheme="minorBidi"/>
          <w:kern w:val="2"/>
          <w:sz w:val="20"/>
          <w:szCs w:val="20"/>
          <w:lang w:eastAsia="en-US"/>
          <w14:ligatures w14:val="standardContextual"/>
        </w:rPr>
        <w:t>ozwiązania sprzyjające obecności zaplecza technicznego, kadry zarządzającej i zespołów wykonawczych w Polsce przyczyniają się do wzrostu kompetencji lokalnych przedsiębiorstw oraz zwiększają zdolność rynku do realizacji kolejnych przedsięwzięć.</w:t>
      </w:r>
    </w:p>
    <w:p w14:paraId="7B25DC5B" w14:textId="14611B64" w:rsidR="0060035B" w:rsidRPr="00054889" w:rsidRDefault="007F7FEE" w:rsidP="00C859A0">
      <w:pPr>
        <w:pStyle w:val="NormalnyWeb"/>
        <w:widowControl w:val="0"/>
        <w:numPr>
          <w:ilvl w:val="1"/>
          <w:numId w:val="37"/>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Wzmacnianie krajowych łańcuchów dostaw powinno polegać </w:t>
      </w:r>
      <w:r w:rsidR="00A142A5" w:rsidRPr="00054889">
        <w:rPr>
          <w:rFonts w:ascii="Lato" w:eastAsiaTheme="minorHAnsi" w:hAnsi="Lato" w:cstheme="minorBidi"/>
          <w:kern w:val="2"/>
          <w:sz w:val="20"/>
          <w:szCs w:val="20"/>
          <w:lang w:eastAsia="en-US"/>
          <w14:ligatures w14:val="standardContextual"/>
        </w:rPr>
        <w:t xml:space="preserve">na </w:t>
      </w:r>
      <w:r w:rsidRPr="00054889">
        <w:rPr>
          <w:rFonts w:ascii="Lato" w:eastAsiaTheme="minorHAnsi" w:hAnsi="Lato" w:cstheme="minorBidi"/>
          <w:kern w:val="2"/>
          <w:sz w:val="20"/>
          <w:szCs w:val="20"/>
          <w:lang w:eastAsia="en-US"/>
          <w14:ligatures w14:val="standardContextual"/>
        </w:rPr>
        <w:t>tworzeniu warunków, w</w:t>
      </w:r>
      <w:r w:rsidR="00710FC8">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 xml:space="preserve">których podmioty działające w Polsce </w:t>
      </w:r>
      <w:r w:rsidR="008D2269" w:rsidRPr="00054889">
        <w:rPr>
          <w:rFonts w:ascii="Lato" w:eastAsiaTheme="minorHAnsi" w:hAnsi="Lato" w:cstheme="minorBidi"/>
          <w:kern w:val="2"/>
          <w:sz w:val="20"/>
          <w:szCs w:val="20"/>
          <w:lang w:eastAsia="en-US"/>
          <w14:ligatures w14:val="standardContextual"/>
        </w:rPr>
        <w:t xml:space="preserve">będą </w:t>
      </w:r>
      <w:r w:rsidRPr="00054889">
        <w:rPr>
          <w:rFonts w:ascii="Lato" w:eastAsiaTheme="minorHAnsi" w:hAnsi="Lato" w:cstheme="minorBidi"/>
          <w:kern w:val="2"/>
          <w:sz w:val="20"/>
          <w:szCs w:val="20"/>
          <w:lang w:eastAsia="en-US"/>
          <w14:ligatures w14:val="standardContextual"/>
        </w:rPr>
        <w:t>mog</w:t>
      </w:r>
      <w:r w:rsidR="008D2269" w:rsidRPr="00054889">
        <w:rPr>
          <w:rFonts w:ascii="Lato" w:eastAsiaTheme="minorHAnsi" w:hAnsi="Lato" w:cstheme="minorBidi"/>
          <w:kern w:val="2"/>
          <w:sz w:val="20"/>
          <w:szCs w:val="20"/>
          <w:lang w:eastAsia="en-US"/>
          <w14:ligatures w14:val="standardContextual"/>
        </w:rPr>
        <w:t>ł</w:t>
      </w:r>
      <w:r w:rsidR="00C36EAD" w:rsidRPr="00054889">
        <w:rPr>
          <w:rFonts w:ascii="Lato" w:eastAsiaTheme="minorHAnsi" w:hAnsi="Lato" w:cstheme="minorBidi"/>
          <w:kern w:val="2"/>
          <w:sz w:val="20"/>
          <w:szCs w:val="20"/>
          <w:lang w:eastAsia="en-US"/>
          <w14:ligatures w14:val="standardContextual"/>
        </w:rPr>
        <w:t>y</w:t>
      </w:r>
      <w:r w:rsidRPr="00054889">
        <w:rPr>
          <w:rFonts w:ascii="Lato" w:eastAsiaTheme="minorHAnsi" w:hAnsi="Lato" w:cstheme="minorBidi"/>
          <w:kern w:val="2"/>
          <w:sz w:val="20"/>
          <w:szCs w:val="20"/>
          <w:lang w:eastAsia="en-US"/>
          <w14:ligatures w14:val="standardContextual"/>
        </w:rPr>
        <w:t xml:space="preserve"> realnie konkurować jakością, </w:t>
      </w:r>
      <w:r w:rsidR="008D2269" w:rsidRPr="00054889">
        <w:rPr>
          <w:rFonts w:ascii="Lato" w:eastAsiaTheme="minorHAnsi" w:hAnsi="Lato" w:cstheme="minorBidi"/>
          <w:kern w:val="2"/>
          <w:sz w:val="20"/>
          <w:szCs w:val="20"/>
          <w:lang w:eastAsia="en-US"/>
          <w14:ligatures w14:val="standardContextual"/>
        </w:rPr>
        <w:t xml:space="preserve">kulturą </w:t>
      </w:r>
      <w:r w:rsidRPr="00054889">
        <w:rPr>
          <w:rFonts w:ascii="Lato" w:eastAsiaTheme="minorHAnsi" w:hAnsi="Lato" w:cstheme="minorBidi"/>
          <w:kern w:val="2"/>
          <w:sz w:val="20"/>
          <w:szCs w:val="20"/>
          <w:lang w:eastAsia="en-US"/>
          <w14:ligatures w14:val="standardContextual"/>
        </w:rPr>
        <w:t>organizacją i</w:t>
      </w:r>
      <w:r w:rsidR="00C859A0">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poziomem technologicznym.</w:t>
      </w:r>
    </w:p>
    <w:p w14:paraId="419B48D1" w14:textId="069FEEC0" w:rsidR="0060035B" w:rsidRPr="00054889" w:rsidRDefault="0060035B" w:rsidP="00C859A0">
      <w:pPr>
        <w:pStyle w:val="NormalnyWeb"/>
        <w:widowControl w:val="0"/>
        <w:numPr>
          <w:ilvl w:val="1"/>
          <w:numId w:val="37"/>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C859A0">
        <w:rPr>
          <w:rFonts w:ascii="Lato" w:eastAsiaTheme="minorHAnsi" w:hAnsi="Lato" w:cstheme="minorBidi"/>
          <w:kern w:val="2"/>
          <w:sz w:val="20"/>
          <w:szCs w:val="20"/>
          <w:lang w:eastAsia="en-US"/>
          <w14:ligatures w14:val="standardContextual"/>
        </w:rPr>
        <w:t>Rozwiązania</w:t>
      </w:r>
      <w:r w:rsidRPr="00054889">
        <w:rPr>
          <w:rFonts w:ascii="Lato" w:hAnsi="Lato"/>
          <w:sz w:val="20"/>
          <w:szCs w:val="20"/>
        </w:rPr>
        <w:t xml:space="preserve"> sprzyjające lokalnej obecności operacyjnej prowadzą do powstawania trwałych struktur wykonawczych, zwiększają samodzielność technologiczną rynku krajowego oraz wzmacniają zdolność przedsiębiorstw do uczestnictwa w kolejnych inwestycjach. W efekcie zamówienia stają się narzędziem długofalowego rozwoju konkurencyjnej i odpornej gospodarki.</w:t>
      </w:r>
    </w:p>
    <w:p w14:paraId="7380AD02" w14:textId="77777777" w:rsidR="00B01B59" w:rsidRPr="00054889" w:rsidRDefault="007F7FEE"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Zaleca się w szczególności:</w:t>
      </w:r>
    </w:p>
    <w:p w14:paraId="068E0BEB" w14:textId="77777777" w:rsidR="00F330B9" w:rsidRPr="00054889" w:rsidRDefault="007F7FEE" w:rsidP="00FD2F03">
      <w:pPr>
        <w:pStyle w:val="NormalnyWeb"/>
        <w:widowControl w:val="0"/>
        <w:numPr>
          <w:ilvl w:val="1"/>
          <w:numId w:val="19"/>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Wspieranie tworzenia zaplecza technicznego i serwisowego w Polsce</w:t>
      </w:r>
    </w:p>
    <w:p w14:paraId="4A773A2F" w14:textId="40DA7362" w:rsidR="00B01B59" w:rsidRPr="00054889" w:rsidRDefault="00710FC8"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Projektowanie</w:t>
      </w:r>
      <w:r w:rsidR="007F7FEE" w:rsidRPr="00054889">
        <w:rPr>
          <w:rFonts w:ascii="Lato" w:eastAsiaTheme="minorHAnsi" w:hAnsi="Lato" w:cstheme="minorBidi"/>
          <w:kern w:val="2"/>
          <w:sz w:val="20"/>
          <w:szCs w:val="20"/>
          <w:lang w:eastAsia="en-US"/>
          <w14:ligatures w14:val="standardContextual"/>
        </w:rPr>
        <w:t xml:space="preserve"> rozwiązań umożliwiających rozwój infrastruktury technicznej, centrów serwisowych</w:t>
      </w:r>
      <w:r>
        <w:rPr>
          <w:rFonts w:ascii="Lato" w:eastAsiaTheme="minorHAnsi" w:hAnsi="Lato" w:cstheme="minorBidi"/>
          <w:kern w:val="2"/>
          <w:sz w:val="20"/>
          <w:szCs w:val="20"/>
          <w:lang w:eastAsia="en-US"/>
          <w14:ligatures w14:val="standardContextual"/>
        </w:rPr>
        <w:t>, centrów danych</w:t>
      </w:r>
      <w:r w:rsidR="007F7FEE" w:rsidRPr="00054889">
        <w:rPr>
          <w:rFonts w:ascii="Lato" w:eastAsiaTheme="minorHAnsi" w:hAnsi="Lato" w:cstheme="minorBidi"/>
          <w:kern w:val="2"/>
          <w:sz w:val="20"/>
          <w:szCs w:val="20"/>
          <w:lang w:eastAsia="en-US"/>
          <w14:ligatures w14:val="standardContextual"/>
        </w:rPr>
        <w:t xml:space="preserve"> oraz zespołów wsparcia funkcjonujących na terytorium RP, o</w:t>
      </w:r>
      <w:r>
        <w:rPr>
          <w:rFonts w:ascii="Lato" w:eastAsiaTheme="minorHAnsi" w:hAnsi="Lato" w:cstheme="minorBidi"/>
          <w:kern w:val="2"/>
          <w:sz w:val="20"/>
          <w:szCs w:val="20"/>
          <w:lang w:eastAsia="en-US"/>
          <w14:ligatures w14:val="standardContextual"/>
        </w:rPr>
        <w:t> </w:t>
      </w:r>
      <w:r w:rsidR="007F7FEE" w:rsidRPr="00054889">
        <w:rPr>
          <w:rFonts w:ascii="Lato" w:eastAsiaTheme="minorHAnsi" w:hAnsi="Lato" w:cstheme="minorBidi"/>
          <w:kern w:val="2"/>
          <w:sz w:val="20"/>
          <w:szCs w:val="20"/>
          <w:lang w:eastAsia="en-US"/>
          <w14:ligatures w14:val="standardContextual"/>
        </w:rPr>
        <w:t>ile pozostaje to powiązane z przedmiotem zamówienia</w:t>
      </w:r>
      <w:r>
        <w:rPr>
          <w:rFonts w:ascii="Lato" w:eastAsiaTheme="minorHAnsi" w:hAnsi="Lato" w:cstheme="minorBidi"/>
          <w:kern w:val="2"/>
          <w:sz w:val="20"/>
          <w:szCs w:val="20"/>
          <w:lang w:eastAsia="en-US"/>
          <w14:ligatures w14:val="standardContextual"/>
        </w:rPr>
        <w:t xml:space="preserve"> na potrzeby realizacji inwestycji</w:t>
      </w:r>
      <w:r w:rsidR="007F7FEE" w:rsidRPr="00054889">
        <w:rPr>
          <w:rFonts w:ascii="Lato" w:eastAsiaTheme="minorHAnsi" w:hAnsi="Lato" w:cstheme="minorBidi"/>
          <w:kern w:val="2"/>
          <w:sz w:val="20"/>
          <w:szCs w:val="20"/>
          <w:lang w:eastAsia="en-US"/>
          <w14:ligatures w14:val="standardContextual"/>
        </w:rPr>
        <w:t>.</w:t>
      </w:r>
    </w:p>
    <w:p w14:paraId="6567F9CE" w14:textId="77777777" w:rsidR="00F330B9" w:rsidRPr="00054889" w:rsidRDefault="007F7FEE" w:rsidP="00FD2F03">
      <w:pPr>
        <w:pStyle w:val="NormalnyWeb"/>
        <w:widowControl w:val="0"/>
        <w:numPr>
          <w:ilvl w:val="1"/>
          <w:numId w:val="19"/>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Zwiększanie udziału podwykonawców i dostawców działających w kraju</w:t>
      </w:r>
    </w:p>
    <w:p w14:paraId="20EE7EE2" w14:textId="3D625A79" w:rsidR="00F330B9" w:rsidRPr="00054889" w:rsidRDefault="00710FC8"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W przypadku kontraktów w formule EPC</w:t>
      </w:r>
      <w:r w:rsidR="00841632">
        <w:rPr>
          <w:rFonts w:ascii="Lato" w:eastAsiaTheme="minorHAnsi" w:hAnsi="Lato" w:cstheme="minorBidi"/>
          <w:kern w:val="2"/>
          <w:sz w:val="20"/>
          <w:szCs w:val="20"/>
          <w:lang w:eastAsia="en-US"/>
          <w14:ligatures w14:val="standardContextual"/>
        </w:rPr>
        <w:t xml:space="preserve"> (</w:t>
      </w:r>
      <w:r w:rsidR="00841632" w:rsidRPr="00841632">
        <w:rPr>
          <w:rFonts w:ascii="Lato" w:eastAsiaTheme="minorHAnsi" w:hAnsi="Lato" w:cstheme="minorBidi"/>
          <w:i/>
          <w:kern w:val="2"/>
          <w:sz w:val="20"/>
          <w:szCs w:val="20"/>
          <w:lang w:eastAsia="en-US"/>
          <w14:ligatures w14:val="standardContextual"/>
        </w:rPr>
        <w:t xml:space="preserve">Engineering, </w:t>
      </w:r>
      <w:proofErr w:type="spellStart"/>
      <w:r w:rsidR="00841632" w:rsidRPr="00841632">
        <w:rPr>
          <w:rFonts w:ascii="Lato" w:eastAsiaTheme="minorHAnsi" w:hAnsi="Lato" w:cstheme="minorBidi"/>
          <w:i/>
          <w:kern w:val="2"/>
          <w:sz w:val="20"/>
          <w:szCs w:val="20"/>
          <w:lang w:eastAsia="en-US"/>
          <w14:ligatures w14:val="standardContextual"/>
        </w:rPr>
        <w:t>Procurement</w:t>
      </w:r>
      <w:proofErr w:type="spellEnd"/>
      <w:r w:rsidR="00841632" w:rsidRPr="00841632">
        <w:rPr>
          <w:rFonts w:ascii="Lato" w:eastAsiaTheme="minorHAnsi" w:hAnsi="Lato" w:cstheme="minorBidi"/>
          <w:i/>
          <w:kern w:val="2"/>
          <w:sz w:val="20"/>
          <w:szCs w:val="20"/>
          <w:lang w:eastAsia="en-US"/>
          <w14:ligatures w14:val="standardContextual"/>
        </w:rPr>
        <w:t>, Construction</w:t>
      </w:r>
      <w:r w:rsidR="00841632" w:rsidRPr="00841632">
        <w:rPr>
          <w:rFonts w:ascii="Lato" w:eastAsiaTheme="minorHAnsi" w:hAnsi="Lato" w:cstheme="minorBidi"/>
          <w:kern w:val="2"/>
          <w:sz w:val="20"/>
          <w:szCs w:val="20"/>
          <w:lang w:eastAsia="en-US"/>
          <w14:ligatures w14:val="standardContextual"/>
        </w:rPr>
        <w:t>)</w:t>
      </w:r>
      <w:r>
        <w:rPr>
          <w:rFonts w:ascii="Lato" w:eastAsiaTheme="minorHAnsi" w:hAnsi="Lato" w:cstheme="minorBidi"/>
          <w:kern w:val="2"/>
          <w:sz w:val="20"/>
          <w:szCs w:val="20"/>
          <w:lang w:eastAsia="en-US"/>
          <w14:ligatures w14:val="standardContextual"/>
        </w:rPr>
        <w:t xml:space="preserve"> dążenie do możliwości współdecydowania o</w:t>
      </w:r>
      <w:r w:rsidR="00841632">
        <w:rPr>
          <w:rFonts w:ascii="Lato" w:eastAsiaTheme="minorHAnsi" w:hAnsi="Lato" w:cstheme="minorBidi"/>
          <w:kern w:val="2"/>
          <w:sz w:val="20"/>
          <w:szCs w:val="20"/>
          <w:lang w:eastAsia="en-US"/>
          <w14:ligatures w14:val="standardContextual"/>
        </w:rPr>
        <w:t> </w:t>
      </w:r>
      <w:r>
        <w:rPr>
          <w:rFonts w:ascii="Lato" w:eastAsiaTheme="minorHAnsi" w:hAnsi="Lato" w:cstheme="minorBidi"/>
          <w:kern w:val="2"/>
          <w:sz w:val="20"/>
          <w:szCs w:val="20"/>
          <w:lang w:eastAsia="en-US"/>
          <w14:ligatures w14:val="standardContextual"/>
        </w:rPr>
        <w:t>składzie łańcucha dostaw danego wykonawcy, w tym u</w:t>
      </w:r>
      <w:r w:rsidR="007F7FEE" w:rsidRPr="00054889">
        <w:rPr>
          <w:rFonts w:ascii="Lato" w:eastAsiaTheme="minorHAnsi" w:hAnsi="Lato" w:cstheme="minorBidi"/>
          <w:kern w:val="2"/>
          <w:sz w:val="20"/>
          <w:szCs w:val="20"/>
          <w:lang w:eastAsia="en-US"/>
          <w14:ligatures w14:val="standardContextual"/>
        </w:rPr>
        <w:t>względnianie mechanizmów sprzyjających włączaniu krajowych podmiotów</w:t>
      </w:r>
      <w:r>
        <w:rPr>
          <w:rFonts w:ascii="Lato" w:eastAsiaTheme="minorHAnsi" w:hAnsi="Lato" w:cstheme="minorBidi"/>
          <w:kern w:val="2"/>
          <w:sz w:val="20"/>
          <w:szCs w:val="20"/>
          <w:lang w:eastAsia="en-US"/>
          <w14:ligatures w14:val="standardContextual"/>
        </w:rPr>
        <w:t xml:space="preserve"> </w:t>
      </w:r>
      <w:r w:rsidR="007F7FEE" w:rsidRPr="00054889">
        <w:rPr>
          <w:rFonts w:ascii="Lato" w:eastAsiaTheme="minorHAnsi" w:hAnsi="Lato" w:cstheme="minorBidi"/>
          <w:kern w:val="2"/>
          <w:sz w:val="20"/>
          <w:szCs w:val="20"/>
          <w:lang w:eastAsia="en-US"/>
          <w14:ligatures w14:val="standardContextual"/>
        </w:rPr>
        <w:t>w realizację zamówienia, przy zachowaniu zasad konkurencji i przejrzystości.</w:t>
      </w:r>
    </w:p>
    <w:p w14:paraId="7725A5A5" w14:textId="77777777" w:rsidR="00F330B9" w:rsidRPr="00054889" w:rsidRDefault="007F7FEE" w:rsidP="00FD2F03">
      <w:pPr>
        <w:pStyle w:val="NormalnyWeb"/>
        <w:widowControl w:val="0"/>
        <w:numPr>
          <w:ilvl w:val="1"/>
          <w:numId w:val="19"/>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Tworzenie warunków dla długoterminowej współpracy</w:t>
      </w:r>
    </w:p>
    <w:p w14:paraId="259680C7" w14:textId="6113DBCD" w:rsidR="00B01B59" w:rsidRPr="00054889" w:rsidRDefault="008D2269"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K</w:t>
      </w:r>
      <w:r w:rsidR="007F7FEE" w:rsidRPr="00054889">
        <w:rPr>
          <w:rFonts w:ascii="Lato" w:eastAsiaTheme="minorHAnsi" w:hAnsi="Lato" w:cstheme="minorBidi"/>
          <w:kern w:val="2"/>
          <w:sz w:val="20"/>
          <w:szCs w:val="20"/>
          <w:lang w:eastAsia="en-US"/>
          <w14:ligatures w14:val="standardContextual"/>
        </w:rPr>
        <w:t>ształtowanie postępowań</w:t>
      </w:r>
      <w:r w:rsidR="00710FC8">
        <w:rPr>
          <w:rFonts w:ascii="Lato" w:eastAsiaTheme="minorHAnsi" w:hAnsi="Lato" w:cstheme="minorBidi"/>
          <w:kern w:val="2"/>
          <w:sz w:val="20"/>
          <w:szCs w:val="20"/>
          <w:lang w:eastAsia="en-US"/>
          <w14:ligatures w14:val="standardContextual"/>
        </w:rPr>
        <w:t xml:space="preserve"> na potrzeby realizacji inwestycji</w:t>
      </w:r>
      <w:r w:rsidR="007F7FEE" w:rsidRPr="00054889">
        <w:rPr>
          <w:rFonts w:ascii="Lato" w:eastAsiaTheme="minorHAnsi" w:hAnsi="Lato" w:cstheme="minorBidi"/>
          <w:kern w:val="2"/>
          <w:sz w:val="20"/>
          <w:szCs w:val="20"/>
          <w:lang w:eastAsia="en-US"/>
          <w14:ligatures w14:val="standardContextual"/>
        </w:rPr>
        <w:t xml:space="preserve"> w sposób umożliwiający budowę trwałych relacji gospodarczych pomiędzy</w:t>
      </w:r>
      <w:r w:rsidR="00710FC8">
        <w:rPr>
          <w:rFonts w:ascii="Lato" w:eastAsiaTheme="minorHAnsi" w:hAnsi="Lato" w:cstheme="minorBidi"/>
          <w:kern w:val="2"/>
          <w:sz w:val="20"/>
          <w:szCs w:val="20"/>
          <w:lang w:eastAsia="en-US"/>
          <w14:ligatures w14:val="standardContextual"/>
        </w:rPr>
        <w:t xml:space="preserve"> spółkami z udziałem Skarbu Państwa a</w:t>
      </w:r>
      <w:r w:rsidR="00841632">
        <w:rPr>
          <w:rFonts w:ascii="Lato" w:eastAsiaTheme="minorHAnsi" w:hAnsi="Lato" w:cstheme="minorBidi"/>
          <w:kern w:val="2"/>
          <w:sz w:val="20"/>
          <w:szCs w:val="20"/>
          <w:lang w:eastAsia="en-US"/>
          <w14:ligatures w14:val="standardContextual"/>
        </w:rPr>
        <w:t> </w:t>
      </w:r>
      <w:r w:rsidR="007F7FEE" w:rsidRPr="00054889">
        <w:rPr>
          <w:rFonts w:ascii="Lato" w:eastAsiaTheme="minorHAnsi" w:hAnsi="Lato" w:cstheme="minorBidi"/>
          <w:kern w:val="2"/>
          <w:sz w:val="20"/>
          <w:szCs w:val="20"/>
          <w:lang w:eastAsia="en-US"/>
          <w14:ligatures w14:val="standardContextual"/>
        </w:rPr>
        <w:t xml:space="preserve">wykonawcami </w:t>
      </w:r>
      <w:r w:rsidR="00710FC8">
        <w:rPr>
          <w:rFonts w:ascii="Lato" w:eastAsiaTheme="minorHAnsi" w:hAnsi="Lato" w:cstheme="minorBidi"/>
          <w:kern w:val="2"/>
          <w:sz w:val="20"/>
          <w:szCs w:val="20"/>
          <w:lang w:eastAsia="en-US"/>
          <w14:ligatures w14:val="standardContextual"/>
        </w:rPr>
        <w:t>i ich</w:t>
      </w:r>
      <w:r w:rsidR="007F7FEE" w:rsidRPr="00054889">
        <w:rPr>
          <w:rFonts w:ascii="Lato" w:eastAsiaTheme="minorHAnsi" w:hAnsi="Lato" w:cstheme="minorBidi"/>
          <w:kern w:val="2"/>
          <w:sz w:val="20"/>
          <w:szCs w:val="20"/>
          <w:lang w:eastAsia="en-US"/>
          <w14:ligatures w14:val="standardContextual"/>
        </w:rPr>
        <w:t xml:space="preserve"> lokalnymi partnerami technologicznymi i produkcyjnymi.</w:t>
      </w:r>
      <w:r w:rsidR="00274A25" w:rsidRPr="00054889">
        <w:rPr>
          <w:rFonts w:ascii="Lato" w:eastAsiaTheme="minorHAnsi" w:hAnsi="Lato" w:cstheme="minorBidi"/>
          <w:kern w:val="2"/>
          <w:sz w:val="20"/>
          <w:szCs w:val="20"/>
          <w:lang w:eastAsia="en-US"/>
          <w14:ligatures w14:val="standardContextual"/>
        </w:rPr>
        <w:t xml:space="preserve"> Spółk</w:t>
      </w:r>
      <w:r w:rsidR="00710FC8">
        <w:rPr>
          <w:rFonts w:ascii="Lato" w:eastAsiaTheme="minorHAnsi" w:hAnsi="Lato" w:cstheme="minorBidi"/>
          <w:kern w:val="2"/>
          <w:sz w:val="20"/>
          <w:szCs w:val="20"/>
          <w:lang w:eastAsia="en-US"/>
          <w14:ligatures w14:val="standardContextual"/>
        </w:rPr>
        <w:t>i z</w:t>
      </w:r>
      <w:r w:rsidR="00312BE6">
        <w:rPr>
          <w:rFonts w:ascii="Lato" w:eastAsiaTheme="minorHAnsi" w:hAnsi="Lato" w:cstheme="minorBidi"/>
          <w:kern w:val="2"/>
          <w:sz w:val="20"/>
          <w:szCs w:val="20"/>
          <w:lang w:eastAsia="en-US"/>
          <w14:ligatures w14:val="standardContextual"/>
        </w:rPr>
        <w:t> </w:t>
      </w:r>
      <w:r w:rsidR="00710FC8">
        <w:rPr>
          <w:rFonts w:ascii="Lato" w:eastAsiaTheme="minorHAnsi" w:hAnsi="Lato" w:cstheme="minorBidi"/>
          <w:kern w:val="2"/>
          <w:sz w:val="20"/>
          <w:szCs w:val="20"/>
          <w:lang w:eastAsia="en-US"/>
          <w14:ligatures w14:val="standardContextual"/>
        </w:rPr>
        <w:t>udziałem Skarbu Państwa</w:t>
      </w:r>
      <w:r w:rsidR="00274A25" w:rsidRPr="00054889">
        <w:rPr>
          <w:rFonts w:ascii="Lato" w:eastAsiaTheme="minorHAnsi" w:hAnsi="Lato" w:cstheme="minorBidi"/>
          <w:kern w:val="2"/>
          <w:sz w:val="20"/>
          <w:szCs w:val="20"/>
          <w:lang w:eastAsia="en-US"/>
          <w14:ligatures w14:val="standardContextual"/>
        </w:rPr>
        <w:t xml:space="preserve"> powinn</w:t>
      </w:r>
      <w:r w:rsidR="00312BE6">
        <w:rPr>
          <w:rFonts w:ascii="Lato" w:eastAsiaTheme="minorHAnsi" w:hAnsi="Lato" w:cstheme="minorBidi"/>
          <w:kern w:val="2"/>
          <w:sz w:val="20"/>
          <w:szCs w:val="20"/>
          <w:lang w:eastAsia="en-US"/>
          <w14:ligatures w14:val="standardContextual"/>
        </w:rPr>
        <w:t>y</w:t>
      </w:r>
      <w:r w:rsidR="00274A25" w:rsidRPr="00054889">
        <w:rPr>
          <w:rFonts w:ascii="Lato" w:eastAsiaTheme="minorHAnsi" w:hAnsi="Lato" w:cstheme="minorBidi"/>
          <w:kern w:val="2"/>
          <w:sz w:val="20"/>
          <w:szCs w:val="20"/>
          <w:lang w:eastAsia="en-US"/>
          <w14:ligatures w14:val="standardContextual"/>
        </w:rPr>
        <w:t xml:space="preserve"> formułować wymogi dotyczące serwisu i wsparcia technicznego w taki sposób, aby sprzyjały długoterminowej współpracy z partnerami zlokalizowanymi blisko lokalizacji zamówienia. Wymogi mogą obejmować: dostęp do serwisu w określonym terminie (co naturaln</w:t>
      </w:r>
      <w:r w:rsidR="00AD1459">
        <w:rPr>
          <w:rFonts w:ascii="Lato" w:eastAsiaTheme="minorHAnsi" w:hAnsi="Lato" w:cstheme="minorBidi"/>
          <w:kern w:val="2"/>
          <w:sz w:val="20"/>
          <w:szCs w:val="20"/>
          <w:lang w:eastAsia="en-US"/>
          <w14:ligatures w14:val="standardContextual"/>
        </w:rPr>
        <w:t>i</w:t>
      </w:r>
      <w:r w:rsidR="00274A25" w:rsidRPr="00054889">
        <w:rPr>
          <w:rFonts w:ascii="Lato" w:eastAsiaTheme="minorHAnsi" w:hAnsi="Lato" w:cstheme="minorBidi"/>
          <w:kern w:val="2"/>
          <w:sz w:val="20"/>
          <w:szCs w:val="20"/>
          <w:lang w:eastAsia="en-US"/>
          <w14:ligatures w14:val="standardContextual"/>
        </w:rPr>
        <w:t xml:space="preserve">e sprzyjać będzie współpracy z partnerami bliżej </w:t>
      </w:r>
      <w:r w:rsidR="00274A25" w:rsidRPr="00054889">
        <w:rPr>
          <w:rFonts w:ascii="Lato" w:eastAsiaTheme="minorHAnsi" w:hAnsi="Lato" w:cstheme="minorBidi"/>
          <w:kern w:val="2"/>
          <w:sz w:val="20"/>
          <w:szCs w:val="20"/>
          <w:lang w:eastAsia="en-US"/>
          <w14:ligatures w14:val="standardContextual"/>
        </w:rPr>
        <w:lastRenderedPageBreak/>
        <w:t>położonymi), dostęp do szkolenia pracowników (co może być realizowane poprzez lokalne ośrodki szkoleniowe), czy dostęp do części zamiennych z lokalnych magazynów. W umowach mogą być zaznaczone możliwości przedłużenia współpracy poza okres wdrożenia.</w:t>
      </w:r>
    </w:p>
    <w:p w14:paraId="1A344D56" w14:textId="77777777" w:rsidR="00F330B9" w:rsidRPr="00054889" w:rsidRDefault="007F7FEE" w:rsidP="00FD2F03">
      <w:pPr>
        <w:pStyle w:val="NormalnyWeb"/>
        <w:widowControl w:val="0"/>
        <w:numPr>
          <w:ilvl w:val="1"/>
          <w:numId w:val="19"/>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Wspieranie przekazywania kompetencji w ramach realizacji projektu</w:t>
      </w:r>
    </w:p>
    <w:p w14:paraId="7DE46865" w14:textId="16A59C4B" w:rsidR="003D1E50" w:rsidRDefault="00C36EAD"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U</w:t>
      </w:r>
      <w:r w:rsidR="007F7FEE" w:rsidRPr="00054889">
        <w:rPr>
          <w:rFonts w:ascii="Lato" w:eastAsiaTheme="minorHAnsi" w:hAnsi="Lato" w:cstheme="minorBidi"/>
          <w:kern w:val="2"/>
          <w:sz w:val="20"/>
          <w:szCs w:val="20"/>
          <w:lang w:eastAsia="en-US"/>
          <w14:ligatures w14:val="standardContextual"/>
        </w:rPr>
        <w:t>względnianie działań sprzyjających utrwalaniu wiedzy i doświadczenia wśród podmiotów funkcjonujących w Polsce, w szczególności w projektach o znaczeniu strategicznym.</w:t>
      </w:r>
    </w:p>
    <w:p w14:paraId="7DCD04C9" w14:textId="77777777" w:rsidR="002C44D0" w:rsidRPr="00054889" w:rsidRDefault="002C44D0"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p>
    <w:p w14:paraId="7FECAF5B" w14:textId="2756C05D" w:rsidR="003D1E50" w:rsidRDefault="003D1E50" w:rsidP="00241EEF">
      <w:pPr>
        <w:pStyle w:val="podrozdzial"/>
      </w:pPr>
      <w:bookmarkStart w:id="15" w:name="_Toc228873239"/>
      <w:r w:rsidRPr="00054889">
        <w:t>MONITORING, RAPORTOWANIE</w:t>
      </w:r>
      <w:bookmarkEnd w:id="15"/>
      <w:r w:rsidRPr="00054889">
        <w:t xml:space="preserve"> </w:t>
      </w:r>
    </w:p>
    <w:p w14:paraId="791F5E85" w14:textId="77777777" w:rsidR="00305C48" w:rsidRPr="00305C48" w:rsidRDefault="00305C48" w:rsidP="00305C48">
      <w:pPr>
        <w:widowControl w:val="0"/>
        <w:spacing w:after="120" w:line="360" w:lineRule="auto"/>
        <w:ind w:left="360"/>
        <w:rPr>
          <w:rFonts w:ascii="Lato" w:hAnsi="Lato"/>
          <w:b/>
          <w:bCs/>
          <w:sz w:val="20"/>
          <w:szCs w:val="20"/>
        </w:rPr>
      </w:pPr>
    </w:p>
    <w:p w14:paraId="36103177" w14:textId="71D0102B" w:rsidR="003D1E50" w:rsidRPr="00054889" w:rsidRDefault="003D1E50" w:rsidP="007D0DA7">
      <w:pPr>
        <w:pStyle w:val="NormalnyWeb"/>
        <w:widowControl w:val="0"/>
        <w:numPr>
          <w:ilvl w:val="1"/>
          <w:numId w:val="38"/>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Istotne znaczenie ma zapewnienie systematycznej oceny wpływu zamówień na rozwój krajowego rynku wykonawców</w:t>
      </w:r>
      <w:r w:rsidR="00710FC8">
        <w:rPr>
          <w:rFonts w:ascii="Lato" w:eastAsiaTheme="minorHAnsi" w:hAnsi="Lato" w:cstheme="minorBidi"/>
          <w:kern w:val="2"/>
          <w:sz w:val="20"/>
          <w:szCs w:val="20"/>
          <w:lang w:eastAsia="en-US"/>
          <w14:ligatures w14:val="standardContextual"/>
        </w:rPr>
        <w:t xml:space="preserve"> w danej branży w przypadku gdy dana spółka z udziałem Skarbu Państwa ma istotny wpływ na ten rynek</w:t>
      </w:r>
      <w:r w:rsidRPr="00054889">
        <w:rPr>
          <w:rFonts w:ascii="Lato" w:eastAsiaTheme="minorHAnsi" w:hAnsi="Lato" w:cstheme="minorBidi"/>
          <w:kern w:val="2"/>
          <w:sz w:val="20"/>
          <w:szCs w:val="20"/>
          <w:lang w:eastAsia="en-US"/>
          <w14:ligatures w14:val="standardContextual"/>
        </w:rPr>
        <w:t xml:space="preserve">, poziom konkurencyjności postępowań oraz stopień zaangażowania podmiotów działających na terytorium </w:t>
      </w:r>
      <w:r w:rsidR="00841632">
        <w:rPr>
          <w:rFonts w:ascii="Lato" w:eastAsiaTheme="minorHAnsi" w:hAnsi="Lato" w:cstheme="minorBidi"/>
          <w:kern w:val="2"/>
          <w:sz w:val="20"/>
          <w:szCs w:val="20"/>
          <w:lang w:eastAsia="en-US"/>
          <w14:ligatures w14:val="standardContextual"/>
        </w:rPr>
        <w:t>Polski</w:t>
      </w:r>
      <w:r w:rsidRPr="00054889">
        <w:rPr>
          <w:rFonts w:ascii="Lato" w:eastAsiaTheme="minorHAnsi" w:hAnsi="Lato" w:cstheme="minorBidi"/>
          <w:kern w:val="2"/>
          <w:sz w:val="20"/>
          <w:szCs w:val="20"/>
          <w:lang w:eastAsia="en-US"/>
          <w14:ligatures w14:val="standardContextual"/>
        </w:rPr>
        <w:t xml:space="preserve"> w realizację projektów. Bez odpowiednich narzędzi pomiaru trudno ocenić skuteczność przyjętych rozwiązań oraz wprowadzać korekty w </w:t>
      </w:r>
      <w:r w:rsidR="00710FC8">
        <w:rPr>
          <w:rFonts w:ascii="Lato" w:eastAsiaTheme="minorHAnsi" w:hAnsi="Lato" w:cstheme="minorBidi"/>
          <w:kern w:val="2"/>
          <w:sz w:val="20"/>
          <w:szCs w:val="20"/>
          <w:lang w:eastAsia="en-US"/>
          <w14:ligatures w14:val="standardContextual"/>
        </w:rPr>
        <w:t xml:space="preserve">wewnętrznej </w:t>
      </w:r>
      <w:r w:rsidRPr="00054889">
        <w:rPr>
          <w:rFonts w:ascii="Lato" w:eastAsiaTheme="minorHAnsi" w:hAnsi="Lato" w:cstheme="minorBidi"/>
          <w:kern w:val="2"/>
          <w:sz w:val="20"/>
          <w:szCs w:val="20"/>
          <w:lang w:eastAsia="en-US"/>
          <w14:ligatures w14:val="standardContextual"/>
        </w:rPr>
        <w:t>polityce zakupowej</w:t>
      </w:r>
      <w:r w:rsidR="00710FC8">
        <w:rPr>
          <w:rFonts w:ascii="Lato" w:eastAsiaTheme="minorHAnsi" w:hAnsi="Lato" w:cstheme="minorBidi"/>
          <w:kern w:val="2"/>
          <w:sz w:val="20"/>
          <w:szCs w:val="20"/>
          <w:lang w:eastAsia="en-US"/>
          <w14:ligatures w14:val="standardContextual"/>
        </w:rPr>
        <w:t xml:space="preserve"> obowiązującej w danej spółce z</w:t>
      </w:r>
      <w:r w:rsidR="00206BBF">
        <w:rPr>
          <w:rFonts w:ascii="Lato" w:eastAsiaTheme="minorHAnsi" w:hAnsi="Lato" w:cstheme="minorBidi"/>
          <w:kern w:val="2"/>
          <w:sz w:val="20"/>
          <w:szCs w:val="20"/>
          <w:lang w:eastAsia="en-US"/>
          <w14:ligatures w14:val="standardContextual"/>
        </w:rPr>
        <w:t> </w:t>
      </w:r>
      <w:r w:rsidR="00710FC8">
        <w:rPr>
          <w:rFonts w:ascii="Lato" w:eastAsiaTheme="minorHAnsi" w:hAnsi="Lato" w:cstheme="minorBidi"/>
          <w:kern w:val="2"/>
          <w:sz w:val="20"/>
          <w:szCs w:val="20"/>
          <w:lang w:eastAsia="en-US"/>
          <w14:ligatures w14:val="standardContextual"/>
        </w:rPr>
        <w:t>udziałem Skarbu Państwa</w:t>
      </w:r>
      <w:r w:rsidRPr="00054889">
        <w:rPr>
          <w:rFonts w:ascii="Lato" w:eastAsiaTheme="minorHAnsi" w:hAnsi="Lato" w:cstheme="minorBidi"/>
          <w:kern w:val="2"/>
          <w:sz w:val="20"/>
          <w:szCs w:val="20"/>
          <w:lang w:eastAsia="en-US"/>
          <w14:ligatures w14:val="standardContextual"/>
        </w:rPr>
        <w:t>.</w:t>
      </w:r>
    </w:p>
    <w:p w14:paraId="2646825E" w14:textId="307C1E10" w:rsidR="003D1E50" w:rsidRPr="00054889" w:rsidRDefault="00710FC8" w:rsidP="00C859A0">
      <w:pPr>
        <w:pStyle w:val="NormalnyWeb"/>
        <w:widowControl w:val="0"/>
        <w:numPr>
          <w:ilvl w:val="1"/>
          <w:numId w:val="38"/>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Wewnętrzne m</w:t>
      </w:r>
      <w:r w:rsidR="003D1E50" w:rsidRPr="00054889">
        <w:rPr>
          <w:rFonts w:ascii="Lato" w:eastAsiaTheme="minorHAnsi" w:hAnsi="Lato" w:cstheme="minorBidi"/>
          <w:kern w:val="2"/>
          <w:sz w:val="20"/>
          <w:szCs w:val="20"/>
          <w:lang w:eastAsia="en-US"/>
          <w14:ligatures w14:val="standardContextual"/>
        </w:rPr>
        <w:t>echanizmy monitorowania powinny umożliwiać analizę zarówno parametrów ekonomicznych, jak i organizacyjnych czy rozwojowych. Dane pozyskiwane w toku realizacji zamówień</w:t>
      </w:r>
      <w:r w:rsidR="00170AA1">
        <w:rPr>
          <w:rFonts w:ascii="Lato" w:eastAsiaTheme="minorHAnsi" w:hAnsi="Lato" w:cstheme="minorBidi"/>
          <w:kern w:val="2"/>
          <w:sz w:val="20"/>
          <w:szCs w:val="20"/>
          <w:lang w:eastAsia="en-US"/>
          <w14:ligatures w14:val="standardContextual"/>
        </w:rPr>
        <w:t xml:space="preserve"> w ramach kluczowych procesów inwestycyjnych</w:t>
      </w:r>
      <w:r w:rsidR="003D1E50" w:rsidRPr="00054889">
        <w:rPr>
          <w:rFonts w:ascii="Lato" w:eastAsiaTheme="minorHAnsi" w:hAnsi="Lato" w:cstheme="minorBidi"/>
          <w:kern w:val="2"/>
          <w:sz w:val="20"/>
          <w:szCs w:val="20"/>
          <w:lang w:eastAsia="en-US"/>
          <w14:ligatures w14:val="standardContextual"/>
        </w:rPr>
        <w:t xml:space="preserve"> mogą stanowić podstawę do identyfikacji barier rynkowych, oceny efektywności zastosowanych kryteriów oraz weryfikacji, czy przyjęte rozwiązania rzeczywiście sprzyjają wzmacnianiu krajowego potencjału wykonawczego.</w:t>
      </w:r>
    </w:p>
    <w:p w14:paraId="6AF84A60" w14:textId="7AFC989D" w:rsidR="00BD6906" w:rsidRPr="00054889" w:rsidRDefault="007036E9" w:rsidP="00C859A0">
      <w:pPr>
        <w:pStyle w:val="NormalnyWeb"/>
        <w:widowControl w:val="0"/>
        <w:numPr>
          <w:ilvl w:val="1"/>
          <w:numId w:val="38"/>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81437C">
        <w:rPr>
          <w:rFonts w:ascii="Lato" w:eastAsiaTheme="minorHAnsi" w:hAnsi="Lato" w:cstheme="minorBidi"/>
          <w:kern w:val="2"/>
          <w:sz w:val="20"/>
          <w:szCs w:val="20"/>
          <w:lang w:eastAsia="en-US"/>
          <w14:ligatures w14:val="standardContextual"/>
        </w:rPr>
        <w:t xml:space="preserve">Spółki z udziałem Skarbu Państwa </w:t>
      </w:r>
      <w:r w:rsidR="00710FC8">
        <w:rPr>
          <w:rFonts w:ascii="Lato" w:eastAsiaTheme="minorHAnsi" w:hAnsi="Lato" w:cstheme="minorBidi"/>
          <w:kern w:val="2"/>
          <w:sz w:val="20"/>
          <w:szCs w:val="20"/>
          <w:lang w:eastAsia="en-US"/>
          <w14:ligatures w14:val="standardContextual"/>
        </w:rPr>
        <w:t>będą</w:t>
      </w:r>
      <w:r w:rsidRPr="0081437C">
        <w:rPr>
          <w:rFonts w:ascii="Lato" w:eastAsiaTheme="minorHAnsi" w:hAnsi="Lato" w:cstheme="minorBidi"/>
          <w:kern w:val="2"/>
          <w:sz w:val="20"/>
          <w:szCs w:val="20"/>
          <w:lang w:eastAsia="en-US"/>
          <w14:ligatures w14:val="standardContextual"/>
        </w:rPr>
        <w:t xml:space="preserve"> raportować</w:t>
      </w:r>
      <w:r w:rsidR="00206BBF">
        <w:rPr>
          <w:rFonts w:ascii="Lato" w:eastAsiaTheme="minorHAnsi" w:hAnsi="Lato" w:cstheme="minorBidi"/>
          <w:kern w:val="2"/>
          <w:sz w:val="20"/>
          <w:szCs w:val="20"/>
          <w:lang w:eastAsia="en-US"/>
          <w14:ligatures w14:val="standardContextual"/>
        </w:rPr>
        <w:t xml:space="preserve"> </w:t>
      </w:r>
      <w:r w:rsidRPr="0081437C">
        <w:rPr>
          <w:rFonts w:ascii="Lato" w:eastAsiaTheme="minorHAnsi" w:hAnsi="Lato" w:cstheme="minorBidi"/>
          <w:kern w:val="2"/>
          <w:sz w:val="20"/>
          <w:szCs w:val="20"/>
          <w:lang w:eastAsia="en-US"/>
          <w14:ligatures w14:val="standardContextual"/>
        </w:rPr>
        <w:t>do Ministerstwa Aktywów Państwowych lub innych podmiotów wykonujących prawa z</w:t>
      </w:r>
      <w:r w:rsidR="00206BBF">
        <w:rPr>
          <w:rFonts w:ascii="Lato" w:eastAsiaTheme="minorHAnsi" w:hAnsi="Lato" w:cstheme="minorBidi"/>
          <w:kern w:val="2"/>
          <w:sz w:val="20"/>
          <w:szCs w:val="20"/>
          <w:lang w:eastAsia="en-US"/>
          <w14:ligatures w14:val="standardContextual"/>
        </w:rPr>
        <w:t> </w:t>
      </w:r>
      <w:r w:rsidRPr="0081437C">
        <w:rPr>
          <w:rFonts w:ascii="Lato" w:eastAsiaTheme="minorHAnsi" w:hAnsi="Lato" w:cstheme="minorBidi"/>
          <w:kern w:val="2"/>
          <w:sz w:val="20"/>
          <w:szCs w:val="20"/>
          <w:lang w:eastAsia="en-US"/>
          <w14:ligatures w14:val="standardContextual"/>
        </w:rPr>
        <w:t>akcji/udziałów</w:t>
      </w:r>
      <w:r w:rsidR="00710FC8">
        <w:rPr>
          <w:rFonts w:ascii="Lato" w:eastAsiaTheme="minorHAnsi" w:hAnsi="Lato" w:cstheme="minorBidi"/>
          <w:kern w:val="2"/>
          <w:sz w:val="20"/>
          <w:szCs w:val="20"/>
          <w:lang w:eastAsia="en-US"/>
          <w14:ligatures w14:val="standardContextual"/>
        </w:rPr>
        <w:t xml:space="preserve"> należących do Skarbu Państwa</w:t>
      </w:r>
      <w:r w:rsidRPr="0081437C">
        <w:rPr>
          <w:rFonts w:ascii="Lato" w:eastAsiaTheme="minorHAnsi" w:hAnsi="Lato" w:cstheme="minorBidi"/>
          <w:kern w:val="2"/>
          <w:sz w:val="20"/>
          <w:szCs w:val="20"/>
          <w:lang w:eastAsia="en-US"/>
          <w14:ligatures w14:val="standardContextual"/>
        </w:rPr>
        <w:t xml:space="preserve"> zgodnie z</w:t>
      </w:r>
      <w:r w:rsidR="00710FC8">
        <w:rPr>
          <w:rFonts w:ascii="Lato" w:eastAsiaTheme="minorHAnsi" w:hAnsi="Lato" w:cstheme="minorBidi"/>
          <w:kern w:val="2"/>
          <w:sz w:val="20"/>
          <w:szCs w:val="20"/>
          <w:lang w:eastAsia="en-US"/>
          <w14:ligatures w14:val="standardContextual"/>
        </w:rPr>
        <w:t xml:space="preserve"> </w:t>
      </w:r>
      <w:r w:rsidRPr="0081437C">
        <w:rPr>
          <w:rFonts w:ascii="Lato" w:eastAsiaTheme="minorHAnsi" w:hAnsi="Lato" w:cstheme="minorBidi"/>
          <w:kern w:val="2"/>
          <w:sz w:val="20"/>
          <w:szCs w:val="20"/>
          <w:lang w:eastAsia="en-US"/>
          <w14:ligatures w14:val="standardContextual"/>
        </w:rPr>
        <w:t>wytycznymi wyznaczonymi</w:t>
      </w:r>
      <w:r w:rsidR="00710FC8">
        <w:rPr>
          <w:rFonts w:ascii="Lato" w:eastAsiaTheme="minorHAnsi" w:hAnsi="Lato" w:cstheme="minorBidi"/>
          <w:kern w:val="2"/>
          <w:sz w:val="20"/>
          <w:szCs w:val="20"/>
          <w:lang w:eastAsia="en-US"/>
          <w14:ligatures w14:val="standardContextual"/>
        </w:rPr>
        <w:t xml:space="preserve"> w</w:t>
      </w:r>
      <w:r w:rsidR="00206BBF">
        <w:rPr>
          <w:rFonts w:ascii="Lato" w:eastAsiaTheme="minorHAnsi" w:hAnsi="Lato" w:cstheme="minorBidi"/>
          <w:kern w:val="2"/>
          <w:sz w:val="20"/>
          <w:szCs w:val="20"/>
          <w:lang w:eastAsia="en-US"/>
          <w14:ligatures w14:val="standardContextual"/>
        </w:rPr>
        <w:t> </w:t>
      </w:r>
      <w:r w:rsidR="00710FC8">
        <w:rPr>
          <w:rFonts w:ascii="Lato" w:eastAsiaTheme="minorHAnsi" w:hAnsi="Lato" w:cstheme="minorBidi"/>
          <w:kern w:val="2"/>
          <w:sz w:val="20"/>
          <w:szCs w:val="20"/>
          <w:lang w:eastAsia="en-US"/>
          <w14:ligatures w14:val="standardContextual"/>
        </w:rPr>
        <w:t>ramach polityki nadzoru właścicielskiego</w:t>
      </w:r>
      <w:r w:rsidRPr="0081437C">
        <w:rPr>
          <w:rFonts w:ascii="Lato" w:eastAsiaTheme="minorHAnsi" w:hAnsi="Lato" w:cstheme="minorBidi"/>
          <w:kern w:val="2"/>
          <w:sz w:val="20"/>
          <w:szCs w:val="20"/>
          <w:lang w:eastAsia="en-US"/>
          <w14:ligatures w14:val="standardContextual"/>
        </w:rPr>
        <w:t xml:space="preserve"> przez MAP i właściwe </w:t>
      </w:r>
      <w:r w:rsidR="00710FC8">
        <w:rPr>
          <w:rFonts w:ascii="Lato" w:eastAsiaTheme="minorHAnsi" w:hAnsi="Lato" w:cstheme="minorBidi"/>
          <w:kern w:val="2"/>
          <w:sz w:val="20"/>
          <w:szCs w:val="20"/>
          <w:lang w:eastAsia="en-US"/>
          <w14:ligatures w14:val="standardContextual"/>
        </w:rPr>
        <w:t>podmioty</w:t>
      </w:r>
      <w:r w:rsidRPr="0081437C">
        <w:rPr>
          <w:rFonts w:ascii="Lato" w:eastAsiaTheme="minorHAnsi" w:hAnsi="Lato" w:cstheme="minorBidi"/>
          <w:kern w:val="2"/>
          <w:sz w:val="20"/>
          <w:szCs w:val="20"/>
          <w:lang w:eastAsia="en-US"/>
          <w14:ligatures w14:val="standardContextual"/>
        </w:rPr>
        <w:t>.</w:t>
      </w:r>
      <w:r w:rsidRPr="00054889">
        <w:rPr>
          <w:rFonts w:ascii="Lato" w:eastAsiaTheme="minorHAnsi" w:hAnsi="Lato" w:cstheme="minorBidi"/>
          <w:kern w:val="2"/>
          <w:sz w:val="20"/>
          <w:szCs w:val="20"/>
          <w:lang w:eastAsia="en-US"/>
          <w14:ligatures w14:val="standardContextual"/>
        </w:rPr>
        <w:t xml:space="preserve"> Raportowanie </w:t>
      </w:r>
      <w:r w:rsidR="00170AA1">
        <w:rPr>
          <w:rFonts w:ascii="Lato" w:eastAsiaTheme="minorHAnsi" w:hAnsi="Lato" w:cstheme="minorBidi"/>
          <w:kern w:val="2"/>
          <w:sz w:val="20"/>
          <w:szCs w:val="20"/>
          <w:lang w:eastAsia="en-US"/>
          <w14:ligatures w14:val="standardContextual"/>
        </w:rPr>
        <w:t>będzie miało</w:t>
      </w:r>
      <w:r w:rsidRPr="00054889">
        <w:rPr>
          <w:rFonts w:ascii="Lato" w:eastAsiaTheme="minorHAnsi" w:hAnsi="Lato" w:cstheme="minorBidi"/>
          <w:kern w:val="2"/>
          <w:sz w:val="20"/>
          <w:szCs w:val="20"/>
          <w:lang w:eastAsia="en-US"/>
          <w14:ligatures w14:val="standardContextual"/>
        </w:rPr>
        <w:t xml:space="preserve"> charakter cykliczny (co najmniej raz w roku) i uwzględniać kryteria krajowości określone w niniejszym dokumencie, umożliwiając systematyczną ocenę postępu w</w:t>
      </w:r>
      <w:r w:rsidR="00206BBF">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 xml:space="preserve">zwiększaniu udziału komponentu krajowego w kluczowych procesach inwestycyjnych. Wzrost </w:t>
      </w:r>
      <w:r w:rsidR="00841632">
        <w:rPr>
          <w:rFonts w:ascii="Lato" w:eastAsiaTheme="minorHAnsi" w:hAnsi="Lato" w:cstheme="minorBidi"/>
          <w:kern w:val="2"/>
          <w:sz w:val="20"/>
          <w:szCs w:val="20"/>
          <w:lang w:eastAsia="en-US"/>
          <w14:ligatures w14:val="standardContextual"/>
        </w:rPr>
        <w:t>udziału komponentu krajowego</w:t>
      </w:r>
      <w:r w:rsidRPr="00054889">
        <w:rPr>
          <w:rFonts w:ascii="Lato" w:eastAsiaTheme="minorHAnsi" w:hAnsi="Lato" w:cstheme="minorBidi"/>
          <w:kern w:val="2"/>
          <w:sz w:val="20"/>
          <w:szCs w:val="20"/>
          <w:lang w:eastAsia="en-US"/>
          <w14:ligatures w14:val="standardContextual"/>
        </w:rPr>
        <w:t xml:space="preserve"> </w:t>
      </w:r>
      <w:r w:rsidR="00170AA1">
        <w:rPr>
          <w:rFonts w:ascii="Lato" w:eastAsiaTheme="minorHAnsi" w:hAnsi="Lato" w:cstheme="minorBidi"/>
          <w:kern w:val="2"/>
          <w:sz w:val="20"/>
          <w:szCs w:val="20"/>
          <w:lang w:eastAsia="en-US"/>
          <w14:ligatures w14:val="standardContextual"/>
        </w:rPr>
        <w:t>przy</w:t>
      </w:r>
      <w:r w:rsidR="00841632">
        <w:rPr>
          <w:rFonts w:ascii="Lato" w:eastAsiaTheme="minorHAnsi" w:hAnsi="Lato" w:cstheme="minorBidi"/>
          <w:kern w:val="2"/>
          <w:sz w:val="20"/>
          <w:szCs w:val="20"/>
          <w:lang w:eastAsia="en-US"/>
          <w14:ligatures w14:val="standardContextual"/>
        </w:rPr>
        <w:t xml:space="preserve"> kluczowych</w:t>
      </w:r>
      <w:r w:rsidR="00170AA1">
        <w:rPr>
          <w:rFonts w:ascii="Lato" w:eastAsiaTheme="minorHAnsi" w:hAnsi="Lato" w:cstheme="minorBidi"/>
          <w:kern w:val="2"/>
          <w:sz w:val="20"/>
          <w:szCs w:val="20"/>
          <w:lang w:eastAsia="en-US"/>
          <w14:ligatures w14:val="standardContextual"/>
        </w:rPr>
        <w:t xml:space="preserve"> inwestycjach </w:t>
      </w:r>
      <w:r w:rsidRPr="00054889">
        <w:rPr>
          <w:rFonts w:ascii="Lato" w:eastAsiaTheme="minorHAnsi" w:hAnsi="Lato" w:cstheme="minorBidi"/>
          <w:kern w:val="2"/>
          <w:sz w:val="20"/>
          <w:szCs w:val="20"/>
          <w:lang w:eastAsia="en-US"/>
          <w14:ligatures w14:val="standardContextual"/>
        </w:rPr>
        <w:t>powinien być elementem strategii każdej spółki</w:t>
      </w:r>
      <w:r w:rsidR="00170AA1">
        <w:rPr>
          <w:rFonts w:ascii="Lato" w:eastAsiaTheme="minorHAnsi" w:hAnsi="Lato" w:cstheme="minorBidi"/>
          <w:kern w:val="2"/>
          <w:sz w:val="20"/>
          <w:szCs w:val="20"/>
          <w:lang w:eastAsia="en-US"/>
          <w14:ligatures w14:val="standardContextual"/>
        </w:rPr>
        <w:t xml:space="preserve"> z udziałem Skarbu Państwa realizującej program inwestycji</w:t>
      </w:r>
      <w:r w:rsidRPr="00054889">
        <w:rPr>
          <w:rFonts w:ascii="Lato" w:eastAsiaTheme="minorHAnsi" w:hAnsi="Lato" w:cstheme="minorBidi"/>
          <w:kern w:val="2"/>
          <w:sz w:val="20"/>
          <w:szCs w:val="20"/>
          <w:lang w:eastAsia="en-US"/>
          <w14:ligatures w14:val="standardContextual"/>
        </w:rPr>
        <w:t xml:space="preserve">, monitorowanym </w:t>
      </w:r>
      <w:r w:rsidR="00841632">
        <w:rPr>
          <w:rFonts w:ascii="Lato" w:eastAsiaTheme="minorHAnsi" w:hAnsi="Lato" w:cstheme="minorBidi"/>
          <w:kern w:val="2"/>
          <w:sz w:val="20"/>
          <w:szCs w:val="20"/>
          <w:lang w:eastAsia="en-US"/>
          <w14:ligatures w14:val="standardContextual"/>
        </w:rPr>
        <w:t>przez organy spółki</w:t>
      </w:r>
      <w:r w:rsidRPr="00054889">
        <w:rPr>
          <w:rFonts w:ascii="Lato" w:eastAsiaTheme="minorHAnsi" w:hAnsi="Lato" w:cstheme="minorBidi"/>
          <w:kern w:val="2"/>
          <w:sz w:val="20"/>
          <w:szCs w:val="20"/>
          <w:lang w:eastAsia="en-US"/>
          <w14:ligatures w14:val="standardContextual"/>
        </w:rPr>
        <w:t>.</w:t>
      </w:r>
    </w:p>
    <w:p w14:paraId="13FC648B" w14:textId="77777777" w:rsidR="0060035B" w:rsidRPr="00054889" w:rsidRDefault="003D1E50" w:rsidP="00097032">
      <w:pPr>
        <w:pStyle w:val="NormalnyWeb"/>
        <w:widowControl w:val="0"/>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Rekomenduje się w szczególności:</w:t>
      </w:r>
    </w:p>
    <w:p w14:paraId="368218EB" w14:textId="77777777" w:rsidR="00F330B9" w:rsidRPr="00054889" w:rsidRDefault="003D1E50" w:rsidP="00FD2F03">
      <w:pPr>
        <w:pStyle w:val="NormalnyWeb"/>
        <w:widowControl w:val="0"/>
        <w:numPr>
          <w:ilvl w:val="1"/>
          <w:numId w:val="20"/>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Określanie mierzalnych wskaźników realizacji zamówienia</w:t>
      </w:r>
    </w:p>
    <w:p w14:paraId="620E9A11" w14:textId="625A3890" w:rsidR="0060035B"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Definiowanie wskaźników odnoszących się do jakości, terminowości, organizacji realizacji oraz poziomu zaangażowania podmiotów krajowych,</w:t>
      </w:r>
      <w:r w:rsidR="000079F7"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w zakresie adekwatnym do charakteru projektu.</w:t>
      </w:r>
    </w:p>
    <w:p w14:paraId="2566BFBE" w14:textId="650E2994" w:rsidR="00F330B9" w:rsidRPr="00054889" w:rsidRDefault="003D1E50" w:rsidP="00FD2F03">
      <w:pPr>
        <w:pStyle w:val="NormalnyWeb"/>
        <w:widowControl w:val="0"/>
        <w:numPr>
          <w:ilvl w:val="1"/>
          <w:numId w:val="20"/>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 xml:space="preserve">Monitorowanie udziału </w:t>
      </w:r>
      <w:r w:rsidR="00D35039">
        <w:rPr>
          <w:rFonts w:ascii="Lato" w:eastAsiaTheme="minorHAnsi" w:hAnsi="Lato" w:cstheme="minorBidi"/>
          <w:b/>
          <w:bCs/>
          <w:kern w:val="2"/>
          <w:sz w:val="20"/>
          <w:szCs w:val="20"/>
          <w:lang w:eastAsia="en-US"/>
          <w14:ligatures w14:val="standardContextual"/>
        </w:rPr>
        <w:t>komponentu krajowego</w:t>
      </w:r>
    </w:p>
    <w:p w14:paraId="715C1DE5" w14:textId="7F566AE6" w:rsidR="0060035B"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Prowadzenie </w:t>
      </w:r>
      <w:r w:rsidR="00170AA1">
        <w:rPr>
          <w:rFonts w:ascii="Lato" w:eastAsiaTheme="minorHAnsi" w:hAnsi="Lato" w:cstheme="minorBidi"/>
          <w:kern w:val="2"/>
          <w:sz w:val="20"/>
          <w:szCs w:val="20"/>
          <w:lang w:eastAsia="en-US"/>
          <w14:ligatures w14:val="standardContextual"/>
        </w:rPr>
        <w:t xml:space="preserve">systematycznych </w:t>
      </w:r>
      <w:r w:rsidRPr="00054889">
        <w:rPr>
          <w:rFonts w:ascii="Lato" w:eastAsiaTheme="minorHAnsi" w:hAnsi="Lato" w:cstheme="minorBidi"/>
          <w:kern w:val="2"/>
          <w:sz w:val="20"/>
          <w:szCs w:val="20"/>
          <w:lang w:eastAsia="en-US"/>
          <w14:ligatures w14:val="standardContextual"/>
        </w:rPr>
        <w:t>analiz dotyczących</w:t>
      </w:r>
      <w:r w:rsidR="00D35039">
        <w:rPr>
          <w:rFonts w:ascii="Lato" w:eastAsiaTheme="minorHAnsi" w:hAnsi="Lato" w:cstheme="minorBidi"/>
          <w:kern w:val="2"/>
          <w:sz w:val="20"/>
          <w:szCs w:val="20"/>
          <w:lang w:eastAsia="en-US"/>
          <w14:ligatures w14:val="standardContextual"/>
        </w:rPr>
        <w:t xml:space="preserve"> udziału komponentu krajowego, w tym np.</w:t>
      </w:r>
      <w:r w:rsidRPr="0005488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lastRenderedPageBreak/>
        <w:t xml:space="preserve">zakresu dostaw, usług lub prac wykonywanych na terytorium </w:t>
      </w:r>
      <w:r w:rsidR="0060306A">
        <w:rPr>
          <w:rFonts w:ascii="Lato" w:eastAsiaTheme="minorHAnsi" w:hAnsi="Lato" w:cstheme="minorBidi"/>
          <w:kern w:val="2"/>
          <w:sz w:val="20"/>
          <w:szCs w:val="20"/>
          <w:lang w:eastAsia="en-US"/>
          <w14:ligatures w14:val="standardContextual"/>
        </w:rPr>
        <w:t>Polski</w:t>
      </w:r>
      <w:r w:rsidRPr="00054889">
        <w:rPr>
          <w:rFonts w:ascii="Lato" w:eastAsiaTheme="minorHAnsi" w:hAnsi="Lato" w:cstheme="minorBidi"/>
          <w:kern w:val="2"/>
          <w:sz w:val="20"/>
          <w:szCs w:val="20"/>
          <w:lang w:eastAsia="en-US"/>
          <w14:ligatures w14:val="standardContextual"/>
        </w:rPr>
        <w:t>, z wykorzystaniem obiektywnych i weryfikowalnych mierników.</w:t>
      </w:r>
    </w:p>
    <w:p w14:paraId="56FDACB8" w14:textId="77777777" w:rsidR="00F330B9" w:rsidRPr="00054889" w:rsidRDefault="003D1E50" w:rsidP="00FD2F03">
      <w:pPr>
        <w:pStyle w:val="NormalnyWeb"/>
        <w:widowControl w:val="0"/>
        <w:numPr>
          <w:ilvl w:val="1"/>
          <w:numId w:val="20"/>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Analizę jakości realizacji i efektywności organizacyjnej</w:t>
      </w:r>
    </w:p>
    <w:p w14:paraId="743F25B5" w14:textId="3B952E09" w:rsidR="0060035B"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Okresowe badanie poziomu realizacji kluczowych parametrów projektu, </w:t>
      </w:r>
      <w:r w:rsidR="0060035B" w:rsidRPr="00054889">
        <w:rPr>
          <w:rFonts w:ascii="Lato" w:eastAsiaTheme="minorHAnsi" w:hAnsi="Lato" w:cstheme="minorBidi"/>
          <w:kern w:val="2"/>
          <w:sz w:val="20"/>
          <w:szCs w:val="20"/>
          <w:lang w:eastAsia="en-US"/>
          <w14:ligatures w14:val="standardContextual"/>
        </w:rPr>
        <w:br/>
      </w:r>
      <w:r w:rsidRPr="00054889">
        <w:rPr>
          <w:rFonts w:ascii="Lato" w:eastAsiaTheme="minorHAnsi" w:hAnsi="Lato" w:cstheme="minorBidi"/>
          <w:kern w:val="2"/>
          <w:sz w:val="20"/>
          <w:szCs w:val="20"/>
          <w:lang w:eastAsia="en-US"/>
          <w14:ligatures w14:val="standardContextual"/>
        </w:rPr>
        <w:t>w tym czasu reakcji, jakości serwisu, stabilności zespołu projektowego czy poziomu współpracy w łańcuchu dostaw.</w:t>
      </w:r>
    </w:p>
    <w:p w14:paraId="13577382" w14:textId="2B5B799F" w:rsidR="00F330B9" w:rsidRPr="00054889" w:rsidRDefault="003D1E50" w:rsidP="00FD2F03">
      <w:pPr>
        <w:pStyle w:val="NormalnyWeb"/>
        <w:widowControl w:val="0"/>
        <w:numPr>
          <w:ilvl w:val="1"/>
          <w:numId w:val="20"/>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Ewaluację po</w:t>
      </w:r>
      <w:r w:rsidR="00A63F27" w:rsidRPr="00054889">
        <w:rPr>
          <w:rFonts w:ascii="Lato" w:eastAsiaTheme="minorHAnsi" w:hAnsi="Lato" w:cstheme="minorBidi"/>
          <w:b/>
          <w:bCs/>
          <w:kern w:val="2"/>
          <w:sz w:val="20"/>
          <w:szCs w:val="20"/>
          <w:lang w:eastAsia="en-US"/>
          <w14:ligatures w14:val="standardContextual"/>
        </w:rPr>
        <w:t xml:space="preserve"> </w:t>
      </w:r>
      <w:r w:rsidRPr="00054889">
        <w:rPr>
          <w:rFonts w:ascii="Lato" w:eastAsiaTheme="minorHAnsi" w:hAnsi="Lato" w:cstheme="minorBidi"/>
          <w:b/>
          <w:bCs/>
          <w:kern w:val="2"/>
          <w:sz w:val="20"/>
          <w:szCs w:val="20"/>
          <w:lang w:eastAsia="en-US"/>
          <w14:ligatures w14:val="standardContextual"/>
        </w:rPr>
        <w:t>zakończeniu realizacji</w:t>
      </w:r>
      <w:r w:rsidR="00170AA1">
        <w:rPr>
          <w:rFonts w:ascii="Lato" w:eastAsiaTheme="minorHAnsi" w:hAnsi="Lato" w:cstheme="minorBidi"/>
          <w:b/>
          <w:bCs/>
          <w:kern w:val="2"/>
          <w:sz w:val="20"/>
          <w:szCs w:val="20"/>
          <w:lang w:eastAsia="en-US"/>
          <w14:ligatures w14:val="standardContextual"/>
        </w:rPr>
        <w:t xml:space="preserve"> inwestycji</w:t>
      </w:r>
    </w:p>
    <w:p w14:paraId="12E12D02" w14:textId="05FBD60E" w:rsidR="00AA5767"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Dokonywanie podsumowań przeprowadzonych postępowań</w:t>
      </w:r>
      <w:r w:rsidR="00170AA1">
        <w:rPr>
          <w:rFonts w:ascii="Lato" w:eastAsiaTheme="minorHAnsi" w:hAnsi="Lato" w:cstheme="minorBidi"/>
          <w:kern w:val="2"/>
          <w:sz w:val="20"/>
          <w:szCs w:val="20"/>
          <w:lang w:eastAsia="en-US"/>
          <w14:ligatures w14:val="standardContextual"/>
        </w:rPr>
        <w:t xml:space="preserve"> na potrzeby realizacji inwestycji</w:t>
      </w:r>
      <w:r w:rsidRPr="00054889">
        <w:rPr>
          <w:rFonts w:ascii="Lato" w:eastAsiaTheme="minorHAnsi" w:hAnsi="Lato" w:cstheme="minorBidi"/>
          <w:kern w:val="2"/>
          <w:sz w:val="20"/>
          <w:szCs w:val="20"/>
          <w:lang w:eastAsia="en-US"/>
          <w14:ligatures w14:val="standardContextual"/>
        </w:rPr>
        <w:t xml:space="preserve"> oraz zrealizowanych zamówień, obejmujących ocenę skuteczności zastosowanych mechanizmów oraz identyfikację dobrych praktyk i obszarów wymagających modyfikacji</w:t>
      </w:r>
      <w:r w:rsidRPr="00054889">
        <w:rPr>
          <w:rFonts w:ascii="Lato" w:eastAsiaTheme="minorHAnsi" w:hAnsi="Lato" w:cstheme="minorBidi"/>
          <w:b/>
          <w:bCs/>
          <w:kern w:val="2"/>
          <w:sz w:val="20"/>
          <w:szCs w:val="20"/>
          <w:lang w:eastAsia="en-US"/>
          <w14:ligatures w14:val="standardContextual"/>
        </w:rPr>
        <w:t>.</w:t>
      </w:r>
    </w:p>
    <w:p w14:paraId="32BBBC1E" w14:textId="45D76F6D" w:rsidR="00AA5767" w:rsidRPr="00054889" w:rsidRDefault="00BF3EF0" w:rsidP="00FD2F03">
      <w:pPr>
        <w:pStyle w:val="NormalnyWeb"/>
        <w:widowControl w:val="0"/>
        <w:numPr>
          <w:ilvl w:val="1"/>
          <w:numId w:val="20"/>
        </w:numPr>
        <w:spacing w:before="0" w:beforeAutospacing="0" w:after="120" w:afterAutospacing="0" w:line="360" w:lineRule="auto"/>
        <w:ind w:left="993" w:hanging="357"/>
        <w:jc w:val="both"/>
        <w:rPr>
          <w:rFonts w:ascii="Lato" w:hAnsi="Lato"/>
          <w:b/>
          <w:bCs/>
          <w:sz w:val="20"/>
          <w:szCs w:val="20"/>
        </w:rPr>
      </w:pPr>
      <w:r w:rsidRPr="00054889">
        <w:rPr>
          <w:rFonts w:ascii="Lato" w:hAnsi="Lato"/>
          <w:b/>
          <w:bCs/>
          <w:sz w:val="20"/>
          <w:szCs w:val="20"/>
        </w:rPr>
        <w:t>Integracja</w:t>
      </w:r>
      <w:r w:rsidR="00AA5767" w:rsidRPr="00054889">
        <w:rPr>
          <w:rFonts w:ascii="Lato" w:hAnsi="Lato"/>
          <w:b/>
          <w:bCs/>
          <w:sz w:val="20"/>
          <w:szCs w:val="20"/>
        </w:rPr>
        <w:t xml:space="preserve"> celów związanych z komponentem krajowym </w:t>
      </w:r>
      <w:r w:rsidRPr="00054889">
        <w:rPr>
          <w:rFonts w:ascii="Lato" w:hAnsi="Lato"/>
          <w:b/>
          <w:bCs/>
          <w:sz w:val="20"/>
          <w:szCs w:val="20"/>
        </w:rPr>
        <w:t xml:space="preserve">ze strategią </w:t>
      </w:r>
      <w:r w:rsidR="0060306A">
        <w:rPr>
          <w:rFonts w:ascii="Lato" w:hAnsi="Lato"/>
          <w:b/>
          <w:bCs/>
          <w:sz w:val="20"/>
          <w:szCs w:val="20"/>
        </w:rPr>
        <w:t>s</w:t>
      </w:r>
      <w:r w:rsidRPr="00054889">
        <w:rPr>
          <w:rFonts w:ascii="Lato" w:hAnsi="Lato"/>
          <w:b/>
          <w:bCs/>
          <w:sz w:val="20"/>
          <w:szCs w:val="20"/>
        </w:rPr>
        <w:t>pół</w:t>
      </w:r>
      <w:r w:rsidR="0060306A">
        <w:rPr>
          <w:rFonts w:ascii="Lato" w:hAnsi="Lato"/>
          <w:b/>
          <w:bCs/>
          <w:sz w:val="20"/>
          <w:szCs w:val="20"/>
        </w:rPr>
        <w:t>ek z udziałem Skarbu Państwa</w:t>
      </w:r>
    </w:p>
    <w:p w14:paraId="202D2C25" w14:textId="426E98F6" w:rsidR="00BF3EF0" w:rsidRPr="0081437C" w:rsidRDefault="00BF3EF0" w:rsidP="00097032">
      <w:pPr>
        <w:pStyle w:val="NormalnyWeb"/>
        <w:widowControl w:val="0"/>
        <w:spacing w:before="0" w:beforeAutospacing="0" w:after="120" w:afterAutospacing="0" w:line="360" w:lineRule="auto"/>
        <w:ind w:left="993"/>
        <w:jc w:val="both"/>
        <w:rPr>
          <w:rFonts w:ascii="Lato" w:eastAsiaTheme="minorHAnsi" w:hAnsi="Lato" w:cstheme="minorBidi"/>
          <w:kern w:val="2"/>
          <w:sz w:val="20"/>
          <w:szCs w:val="20"/>
          <w:lang w:eastAsia="en-US"/>
          <w14:ligatures w14:val="standardContextual"/>
        </w:rPr>
      </w:pPr>
      <w:r w:rsidRPr="0081437C">
        <w:rPr>
          <w:rFonts w:ascii="Lato" w:eastAsiaTheme="minorHAnsi" w:hAnsi="Lato" w:cstheme="minorBidi"/>
          <w:kern w:val="2"/>
          <w:sz w:val="20"/>
          <w:szCs w:val="20"/>
          <w:lang w:eastAsia="en-US"/>
          <w14:ligatures w14:val="standardContextual"/>
        </w:rPr>
        <w:t xml:space="preserve">Włączenie zwiększania udziału komponentu krajowego w kluczowych procesach inwestycyjnych jako elementu strategii </w:t>
      </w:r>
      <w:r w:rsidR="0060306A">
        <w:rPr>
          <w:rFonts w:ascii="Lato" w:eastAsiaTheme="minorHAnsi" w:hAnsi="Lato" w:cstheme="minorBidi"/>
          <w:kern w:val="2"/>
          <w:sz w:val="20"/>
          <w:szCs w:val="20"/>
          <w:lang w:eastAsia="en-US"/>
          <w14:ligatures w14:val="standardContextual"/>
        </w:rPr>
        <w:t>s</w:t>
      </w:r>
      <w:r w:rsidRPr="0081437C">
        <w:rPr>
          <w:rFonts w:ascii="Lato" w:eastAsiaTheme="minorHAnsi" w:hAnsi="Lato" w:cstheme="minorBidi"/>
          <w:kern w:val="2"/>
          <w:sz w:val="20"/>
          <w:szCs w:val="20"/>
          <w:lang w:eastAsia="en-US"/>
          <w14:ligatures w14:val="standardContextual"/>
        </w:rPr>
        <w:t>pół</w:t>
      </w:r>
      <w:r w:rsidR="0060306A">
        <w:rPr>
          <w:rFonts w:ascii="Lato" w:eastAsiaTheme="minorHAnsi" w:hAnsi="Lato" w:cstheme="minorBidi"/>
          <w:kern w:val="2"/>
          <w:sz w:val="20"/>
          <w:szCs w:val="20"/>
          <w:lang w:eastAsia="en-US"/>
          <w14:ligatures w14:val="standardContextual"/>
        </w:rPr>
        <w:t>ek z udziałem Skarbu Państwa</w:t>
      </w:r>
      <w:r w:rsidRPr="0081437C">
        <w:rPr>
          <w:rFonts w:ascii="Lato" w:eastAsiaTheme="minorHAnsi" w:hAnsi="Lato" w:cstheme="minorBidi"/>
          <w:kern w:val="2"/>
          <w:sz w:val="20"/>
          <w:szCs w:val="20"/>
          <w:lang w:eastAsia="en-US"/>
          <w14:ligatures w14:val="standardContextual"/>
        </w:rPr>
        <w:t xml:space="preserve">, </w:t>
      </w:r>
      <w:r w:rsidR="0060306A">
        <w:rPr>
          <w:rFonts w:ascii="Lato" w:eastAsiaTheme="minorHAnsi" w:hAnsi="Lato" w:cstheme="minorBidi"/>
          <w:kern w:val="2"/>
          <w:sz w:val="20"/>
          <w:szCs w:val="20"/>
          <w:lang w:eastAsia="en-US"/>
          <w14:ligatures w14:val="standardContextual"/>
        </w:rPr>
        <w:t xml:space="preserve">systematycznie </w:t>
      </w:r>
      <w:r w:rsidRPr="0081437C">
        <w:rPr>
          <w:rFonts w:ascii="Lato" w:eastAsiaTheme="minorHAnsi" w:hAnsi="Lato" w:cstheme="minorBidi"/>
          <w:kern w:val="2"/>
          <w:sz w:val="20"/>
          <w:szCs w:val="20"/>
          <w:lang w:eastAsia="en-US"/>
          <w14:ligatures w14:val="standardContextual"/>
        </w:rPr>
        <w:t xml:space="preserve">monitorowanego </w:t>
      </w:r>
      <w:r w:rsidR="0060306A">
        <w:rPr>
          <w:rFonts w:ascii="Lato" w:eastAsiaTheme="minorHAnsi" w:hAnsi="Lato" w:cstheme="minorBidi"/>
          <w:kern w:val="2"/>
          <w:sz w:val="20"/>
          <w:szCs w:val="20"/>
          <w:lang w:eastAsia="en-US"/>
          <w14:ligatures w14:val="standardContextual"/>
        </w:rPr>
        <w:t>przez organy spółek</w:t>
      </w:r>
      <w:r w:rsidRPr="0081437C">
        <w:rPr>
          <w:rFonts w:ascii="Lato" w:eastAsiaTheme="minorHAnsi" w:hAnsi="Lato" w:cstheme="minorBidi"/>
          <w:kern w:val="2"/>
          <w:sz w:val="20"/>
          <w:szCs w:val="20"/>
          <w:lang w:eastAsia="en-US"/>
          <w14:ligatures w14:val="standardContextual"/>
        </w:rPr>
        <w:t>.</w:t>
      </w:r>
    </w:p>
    <w:p w14:paraId="11D91FF6" w14:textId="39BF20D3" w:rsidR="0060035B" w:rsidRPr="00054889" w:rsidRDefault="0060035B"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p>
    <w:p w14:paraId="50D012E2" w14:textId="0D2BFCEC" w:rsidR="003D1E50" w:rsidRDefault="003D1E50" w:rsidP="00241EEF">
      <w:pPr>
        <w:pStyle w:val="podrozdzial"/>
      </w:pPr>
      <w:bookmarkStart w:id="16" w:name="_Toc228873240"/>
      <w:r w:rsidRPr="00054889">
        <w:t>FINANSOWANIE, GWARANCJE I WARUNKI KONTRAKTOWE</w:t>
      </w:r>
      <w:bookmarkEnd w:id="16"/>
      <w:r w:rsidRPr="00054889">
        <w:t xml:space="preserve"> </w:t>
      </w:r>
    </w:p>
    <w:p w14:paraId="14A82EC4" w14:textId="77777777" w:rsidR="00305C48" w:rsidRPr="00305C48" w:rsidRDefault="00305C48" w:rsidP="00305C48">
      <w:pPr>
        <w:widowControl w:val="0"/>
        <w:spacing w:after="120" w:line="360" w:lineRule="auto"/>
        <w:ind w:left="360"/>
        <w:rPr>
          <w:rFonts w:ascii="Lato" w:hAnsi="Lato"/>
          <w:b/>
          <w:bCs/>
          <w:sz w:val="20"/>
          <w:szCs w:val="20"/>
        </w:rPr>
      </w:pPr>
    </w:p>
    <w:p w14:paraId="59713859" w14:textId="5547D6DC" w:rsidR="003D1E50" w:rsidRPr="00054889" w:rsidRDefault="003D1E50" w:rsidP="007D0DA7">
      <w:pPr>
        <w:pStyle w:val="NormalnyWeb"/>
        <w:widowControl w:val="0"/>
        <w:numPr>
          <w:ilvl w:val="1"/>
          <w:numId w:val="3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Kształtowanie warunków finansowych i umownych zamówienia</w:t>
      </w:r>
      <w:r w:rsidR="00652854">
        <w:rPr>
          <w:rFonts w:ascii="Lato" w:eastAsiaTheme="minorHAnsi" w:hAnsi="Lato" w:cstheme="minorBidi"/>
          <w:kern w:val="2"/>
          <w:sz w:val="20"/>
          <w:szCs w:val="20"/>
          <w:lang w:eastAsia="en-US"/>
          <w14:ligatures w14:val="standardContextual"/>
        </w:rPr>
        <w:t xml:space="preserve"> na potrzeby realizacji inwestycji</w:t>
      </w:r>
      <w:r w:rsidRPr="00054889">
        <w:rPr>
          <w:rFonts w:ascii="Lato" w:eastAsiaTheme="minorHAnsi" w:hAnsi="Lato" w:cstheme="minorBidi"/>
          <w:kern w:val="2"/>
          <w:sz w:val="20"/>
          <w:szCs w:val="20"/>
          <w:lang w:eastAsia="en-US"/>
          <w14:ligatures w14:val="standardContextual"/>
        </w:rPr>
        <w:t xml:space="preserve"> powinno zapewniać bezpieczeństwo </w:t>
      </w:r>
      <w:r w:rsidR="00652854">
        <w:rPr>
          <w:rFonts w:ascii="Lato" w:eastAsiaTheme="minorHAnsi" w:hAnsi="Lato" w:cstheme="minorBidi"/>
          <w:kern w:val="2"/>
          <w:sz w:val="20"/>
          <w:szCs w:val="20"/>
          <w:lang w:eastAsia="en-US"/>
          <w14:ligatures w14:val="standardContextual"/>
        </w:rPr>
        <w:t>wykonania</w:t>
      </w:r>
      <w:r w:rsidRPr="00054889">
        <w:rPr>
          <w:rFonts w:ascii="Lato" w:eastAsiaTheme="minorHAnsi" w:hAnsi="Lato" w:cstheme="minorBidi"/>
          <w:kern w:val="2"/>
          <w:sz w:val="20"/>
          <w:szCs w:val="20"/>
          <w:lang w:eastAsia="en-US"/>
          <w14:ligatures w14:val="standardContextual"/>
        </w:rPr>
        <w:t xml:space="preserve"> zamówienia przy jednoczesnym utrzymaniu realnej dostępności rynku dla podmiotów zdolnych do jego wykonania. Konstrukcja zabezpieczeń, zasad płatności oraz mechanizmów rozliczeniowych powinna odzwierciedlać skalę przedsięwzięcia i</w:t>
      </w:r>
      <w:r w:rsidR="006641D9">
        <w:rPr>
          <w:rFonts w:ascii="Lato" w:eastAsiaTheme="minorHAnsi" w:hAnsi="Lato" w:cstheme="minorBidi"/>
          <w:kern w:val="2"/>
          <w:sz w:val="20"/>
          <w:szCs w:val="20"/>
          <w:lang w:eastAsia="en-US"/>
          <w14:ligatures w14:val="standardContextual"/>
        </w:rPr>
        <w:t> </w:t>
      </w:r>
      <w:r w:rsidRPr="00054889">
        <w:rPr>
          <w:rFonts w:ascii="Lato" w:eastAsiaTheme="minorHAnsi" w:hAnsi="Lato" w:cstheme="minorBidi"/>
          <w:kern w:val="2"/>
          <w:sz w:val="20"/>
          <w:szCs w:val="20"/>
          <w:lang w:eastAsia="en-US"/>
          <w14:ligatures w14:val="standardContextual"/>
        </w:rPr>
        <w:t>poziom związanego z nim ryzyka.</w:t>
      </w:r>
    </w:p>
    <w:p w14:paraId="678B9CC6" w14:textId="5E4E152A" w:rsidR="003D1E50" w:rsidRPr="00054889" w:rsidRDefault="003D1E50" w:rsidP="006641D9">
      <w:pPr>
        <w:pStyle w:val="NormalnyWeb"/>
        <w:widowControl w:val="0"/>
        <w:numPr>
          <w:ilvl w:val="1"/>
          <w:numId w:val="3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Nadmiernie rozbudowane wymagania dotyczące zabezpieczeń, gwarancji</w:t>
      </w:r>
      <w:r w:rsidR="006641D9">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lub zdolności finansowej mogą prowadzić do wykluczenia podmiotów posiadających odpowiednie kompetencje techniczne, lecz dysponujących ograniczonym kapitałem. Należy jednak stosować adekwatne instrumenty ograniczające ryzyka opóźnień, sporów lub niewykonania zobowiązań. Wyważona konstrukcja kontraktu sprzyja stabilności realizacji zamówienia.</w:t>
      </w:r>
    </w:p>
    <w:p w14:paraId="1062B35B" w14:textId="4C65D459" w:rsidR="003D1E50" w:rsidRDefault="003D1E50" w:rsidP="006641D9">
      <w:pPr>
        <w:pStyle w:val="NormalnyWeb"/>
        <w:widowControl w:val="0"/>
        <w:numPr>
          <w:ilvl w:val="1"/>
          <w:numId w:val="3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Odpowiednie ukształtowanie warunków finansowych może również wpływać na rozwój przedsiębiorców uczestniczących w krajowych łańcuchach dostaw</w:t>
      </w:r>
      <w:r w:rsidR="000B601C">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w szczególności poprzez poprawę płynności finansowej i ograniczenie barier wejścia do postępowań o większej skali. Racjonalnie ukształtowane warunki finansowe</w:t>
      </w:r>
      <w:r w:rsidR="000B601C">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i kontraktowe sprzyjają większej liczbie ofert, umożliwiają udział podmiotów</w:t>
      </w:r>
      <w:r w:rsidR="000B601C">
        <w:rPr>
          <w:rFonts w:ascii="Lato" w:eastAsiaTheme="minorHAnsi" w:hAnsi="Lato" w:cstheme="minorBidi"/>
          <w:kern w:val="2"/>
          <w:sz w:val="20"/>
          <w:szCs w:val="20"/>
          <w:lang w:eastAsia="en-US"/>
          <w14:ligatures w14:val="standardContextual"/>
        </w:rPr>
        <w:t xml:space="preserve"> </w:t>
      </w:r>
      <w:r w:rsidRPr="00054889">
        <w:rPr>
          <w:rFonts w:ascii="Lato" w:eastAsiaTheme="minorHAnsi" w:hAnsi="Lato" w:cstheme="minorBidi"/>
          <w:kern w:val="2"/>
          <w:sz w:val="20"/>
          <w:szCs w:val="20"/>
          <w:lang w:eastAsia="en-US"/>
          <w14:ligatures w14:val="standardContextual"/>
        </w:rPr>
        <w:t xml:space="preserve">o zróżnicowanej skali działalności oraz ograniczają nierównomierny rozkład </w:t>
      </w:r>
      <w:proofErr w:type="spellStart"/>
      <w:r w:rsidRPr="00054889">
        <w:rPr>
          <w:rFonts w:ascii="Lato" w:eastAsiaTheme="minorHAnsi" w:hAnsi="Lato" w:cstheme="minorBidi"/>
          <w:kern w:val="2"/>
          <w:sz w:val="20"/>
          <w:szCs w:val="20"/>
          <w:lang w:eastAsia="en-US"/>
          <w14:ligatures w14:val="standardContextual"/>
        </w:rPr>
        <w:t>ryzyk</w:t>
      </w:r>
      <w:proofErr w:type="spellEnd"/>
      <w:r w:rsidRPr="00054889">
        <w:rPr>
          <w:rFonts w:ascii="Lato" w:eastAsiaTheme="minorHAnsi" w:hAnsi="Lato" w:cstheme="minorBidi"/>
          <w:kern w:val="2"/>
          <w:sz w:val="20"/>
          <w:szCs w:val="20"/>
          <w:lang w:eastAsia="en-US"/>
          <w14:ligatures w14:val="standardContextual"/>
        </w:rPr>
        <w:t xml:space="preserve">. </w:t>
      </w:r>
    </w:p>
    <w:p w14:paraId="23199F88" w14:textId="288C4D17" w:rsidR="003B7909" w:rsidRDefault="000B601C" w:rsidP="006641D9">
      <w:pPr>
        <w:pStyle w:val="NormalnyWeb"/>
        <w:widowControl w:val="0"/>
        <w:numPr>
          <w:ilvl w:val="1"/>
          <w:numId w:val="3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Pr>
          <w:rFonts w:ascii="Lato" w:eastAsiaTheme="minorHAnsi" w:hAnsi="Lato" w:cstheme="minorBidi"/>
          <w:kern w:val="2"/>
          <w:sz w:val="20"/>
          <w:szCs w:val="20"/>
          <w:lang w:eastAsia="en-US"/>
          <w14:ligatures w14:val="standardContextual"/>
        </w:rPr>
        <w:t>Rekomendowane jest zaliczkowanie na potrzeby realizacji inwestycji. D</w:t>
      </w:r>
      <w:r w:rsidR="003B7909" w:rsidRPr="003B7909">
        <w:rPr>
          <w:rFonts w:ascii="Lato" w:eastAsiaTheme="minorHAnsi" w:hAnsi="Lato" w:cstheme="minorBidi"/>
          <w:kern w:val="2"/>
          <w:sz w:val="20"/>
          <w:szCs w:val="20"/>
          <w:lang w:eastAsia="en-US"/>
          <w14:ligatures w14:val="standardContextual"/>
        </w:rPr>
        <w:t xml:space="preserve">la wykonawcy inwestycji, w szczególności wykonawcy </w:t>
      </w:r>
      <w:r>
        <w:rPr>
          <w:rFonts w:ascii="Lato" w:eastAsiaTheme="minorHAnsi" w:hAnsi="Lato" w:cstheme="minorBidi"/>
          <w:kern w:val="2"/>
          <w:sz w:val="20"/>
          <w:szCs w:val="20"/>
          <w:lang w:eastAsia="en-US"/>
          <w14:ligatures w14:val="standardContextual"/>
        </w:rPr>
        <w:t>krajowego</w:t>
      </w:r>
      <w:r w:rsidR="003B7909" w:rsidRPr="003B7909">
        <w:rPr>
          <w:rFonts w:ascii="Lato" w:eastAsiaTheme="minorHAnsi" w:hAnsi="Lato" w:cstheme="minorBidi"/>
          <w:kern w:val="2"/>
          <w:sz w:val="20"/>
          <w:szCs w:val="20"/>
          <w:lang w:eastAsia="en-US"/>
          <w14:ligatures w14:val="standardContextual"/>
        </w:rPr>
        <w:t>, zachowanie</w:t>
      </w:r>
      <w:r>
        <w:rPr>
          <w:rFonts w:ascii="Lato" w:eastAsiaTheme="minorHAnsi" w:hAnsi="Lato" w:cstheme="minorBidi"/>
          <w:kern w:val="2"/>
          <w:sz w:val="20"/>
          <w:szCs w:val="20"/>
          <w:lang w:eastAsia="en-US"/>
          <w14:ligatures w14:val="standardContextual"/>
        </w:rPr>
        <w:t xml:space="preserve"> bieżącej</w:t>
      </w:r>
      <w:r w:rsidR="003B7909" w:rsidRPr="003B7909">
        <w:rPr>
          <w:rFonts w:ascii="Lato" w:eastAsiaTheme="minorHAnsi" w:hAnsi="Lato" w:cstheme="minorBidi"/>
          <w:kern w:val="2"/>
          <w:sz w:val="20"/>
          <w:szCs w:val="20"/>
          <w:lang w:eastAsia="en-US"/>
          <w14:ligatures w14:val="standardContextual"/>
        </w:rPr>
        <w:t xml:space="preserve"> płynności finansowej na projekcie ma kluczowe znaczenie dla powodzenia projektu</w:t>
      </w:r>
      <w:r w:rsidR="00472D58">
        <w:rPr>
          <w:rFonts w:ascii="Lato" w:eastAsiaTheme="minorHAnsi" w:hAnsi="Lato" w:cstheme="minorBidi"/>
          <w:kern w:val="2"/>
          <w:sz w:val="20"/>
          <w:szCs w:val="20"/>
          <w:lang w:eastAsia="en-US"/>
          <w14:ligatures w14:val="standardContextual"/>
        </w:rPr>
        <w:t xml:space="preserve">. </w:t>
      </w:r>
    </w:p>
    <w:p w14:paraId="6C56C0B5" w14:textId="58876A05" w:rsidR="00472D58" w:rsidRPr="00054889" w:rsidRDefault="00472D58" w:rsidP="006641D9">
      <w:pPr>
        <w:pStyle w:val="NormalnyWeb"/>
        <w:widowControl w:val="0"/>
        <w:numPr>
          <w:ilvl w:val="1"/>
          <w:numId w:val="39"/>
        </w:numPr>
        <w:spacing w:before="0" w:beforeAutospacing="0" w:after="120" w:afterAutospacing="0" w:line="360" w:lineRule="auto"/>
        <w:jc w:val="both"/>
        <w:rPr>
          <w:rFonts w:ascii="Lato" w:eastAsiaTheme="minorHAnsi" w:hAnsi="Lato" w:cstheme="minorBidi"/>
          <w:kern w:val="2"/>
          <w:sz w:val="20"/>
          <w:szCs w:val="20"/>
          <w:lang w:eastAsia="en-US"/>
          <w14:ligatures w14:val="standardContextual"/>
        </w:rPr>
      </w:pPr>
      <w:r w:rsidRPr="00472D58">
        <w:rPr>
          <w:rFonts w:ascii="Lato" w:eastAsiaTheme="minorHAnsi" w:hAnsi="Lato" w:cstheme="minorBidi"/>
          <w:kern w:val="2"/>
          <w:sz w:val="20"/>
          <w:szCs w:val="20"/>
          <w:lang w:eastAsia="en-US"/>
          <w14:ligatures w14:val="standardContextual"/>
        </w:rPr>
        <w:lastRenderedPageBreak/>
        <w:t xml:space="preserve">Płatności częściowe oparte na obiektywnie mierzalnych </w:t>
      </w:r>
      <w:r w:rsidR="00BE0158">
        <w:rPr>
          <w:rFonts w:ascii="Lato" w:eastAsiaTheme="minorHAnsi" w:hAnsi="Lato" w:cstheme="minorBidi"/>
          <w:kern w:val="2"/>
          <w:sz w:val="20"/>
          <w:szCs w:val="20"/>
          <w:lang w:eastAsia="en-US"/>
          <w14:ligatures w14:val="standardContextual"/>
        </w:rPr>
        <w:t>e</w:t>
      </w:r>
      <w:r w:rsidRPr="00472D58">
        <w:rPr>
          <w:rFonts w:ascii="Lato" w:eastAsiaTheme="minorHAnsi" w:hAnsi="Lato" w:cstheme="minorBidi"/>
          <w:kern w:val="2"/>
          <w:sz w:val="20"/>
          <w:szCs w:val="20"/>
          <w:lang w:eastAsia="en-US"/>
          <w14:ligatures w14:val="standardContextual"/>
        </w:rPr>
        <w:t xml:space="preserve">tapach </w:t>
      </w:r>
      <w:r w:rsidR="00BE0158">
        <w:rPr>
          <w:rFonts w:ascii="Lato" w:eastAsiaTheme="minorHAnsi" w:hAnsi="Lato" w:cstheme="minorBidi"/>
          <w:kern w:val="2"/>
          <w:sz w:val="20"/>
          <w:szCs w:val="20"/>
          <w:lang w:eastAsia="en-US"/>
          <w14:ligatures w14:val="standardContextual"/>
        </w:rPr>
        <w:t>z</w:t>
      </w:r>
      <w:r w:rsidRPr="00472D58">
        <w:rPr>
          <w:rFonts w:ascii="Lato" w:eastAsiaTheme="minorHAnsi" w:hAnsi="Lato" w:cstheme="minorBidi"/>
          <w:kern w:val="2"/>
          <w:sz w:val="20"/>
          <w:szCs w:val="20"/>
          <w:lang w:eastAsia="en-US"/>
          <w14:ligatures w14:val="standardContextual"/>
        </w:rPr>
        <w:t xml:space="preserve">akresu </w:t>
      </w:r>
      <w:r w:rsidR="00BE0158">
        <w:rPr>
          <w:rFonts w:ascii="Lato" w:eastAsiaTheme="minorHAnsi" w:hAnsi="Lato" w:cstheme="minorBidi"/>
          <w:kern w:val="2"/>
          <w:sz w:val="20"/>
          <w:szCs w:val="20"/>
          <w:lang w:eastAsia="en-US"/>
          <w14:ligatures w14:val="standardContextual"/>
        </w:rPr>
        <w:t>r</w:t>
      </w:r>
      <w:r w:rsidRPr="00472D58">
        <w:rPr>
          <w:rFonts w:ascii="Lato" w:eastAsiaTheme="minorHAnsi" w:hAnsi="Lato" w:cstheme="minorBidi"/>
          <w:kern w:val="2"/>
          <w:sz w:val="20"/>
          <w:szCs w:val="20"/>
          <w:lang w:eastAsia="en-US"/>
          <w14:ligatures w14:val="standardContextual"/>
        </w:rPr>
        <w:t xml:space="preserve">obót lub </w:t>
      </w:r>
      <w:r w:rsidR="000B601C" w:rsidRPr="00472D58">
        <w:rPr>
          <w:rFonts w:ascii="Lato" w:eastAsiaTheme="minorHAnsi" w:hAnsi="Lato" w:cstheme="minorBidi"/>
          <w:kern w:val="2"/>
          <w:sz w:val="20"/>
          <w:szCs w:val="20"/>
          <w:lang w:eastAsia="en-US"/>
          <w14:ligatures w14:val="standardContextual"/>
        </w:rPr>
        <w:t xml:space="preserve">kamieniach milowych </w:t>
      </w:r>
      <w:r w:rsidRPr="00472D58">
        <w:rPr>
          <w:rFonts w:ascii="Lato" w:eastAsiaTheme="minorHAnsi" w:hAnsi="Lato" w:cstheme="minorBidi"/>
          <w:kern w:val="2"/>
          <w:sz w:val="20"/>
          <w:szCs w:val="20"/>
          <w:lang w:eastAsia="en-US"/>
          <w14:ligatures w14:val="standardContextual"/>
        </w:rPr>
        <w:t xml:space="preserve">są rozwiązaniem najbardziej funkcjonalnym </w:t>
      </w:r>
      <w:r w:rsidRPr="00682545">
        <w:rPr>
          <w:rFonts w:ascii="Lato" w:eastAsiaTheme="minorHAnsi" w:hAnsi="Lato" w:cstheme="minorBidi"/>
          <w:kern w:val="2"/>
          <w:sz w:val="20"/>
          <w:szCs w:val="20"/>
          <w:lang w:eastAsia="en-US"/>
          <w14:ligatures w14:val="standardContextual"/>
        </w:rPr>
        <w:t xml:space="preserve">i </w:t>
      </w:r>
      <w:r w:rsidR="006641D9" w:rsidRPr="00682545">
        <w:rPr>
          <w:rFonts w:ascii="Lato" w:eastAsiaTheme="minorHAnsi" w:hAnsi="Lato" w:cstheme="minorBidi"/>
          <w:kern w:val="2"/>
          <w:sz w:val="20"/>
          <w:szCs w:val="20"/>
          <w:lang w:eastAsia="en-US"/>
          <w14:ligatures w14:val="standardContextual"/>
        </w:rPr>
        <w:t>akceptowalnym dla instytucji finansowych, które udzielają wykonawcom finansowania na realizację projektów</w:t>
      </w:r>
      <w:r w:rsidRPr="00472D58">
        <w:rPr>
          <w:rFonts w:ascii="Lato" w:eastAsiaTheme="minorHAnsi" w:hAnsi="Lato" w:cstheme="minorBidi"/>
          <w:kern w:val="2"/>
          <w:sz w:val="20"/>
          <w:szCs w:val="20"/>
          <w:lang w:eastAsia="en-US"/>
          <w14:ligatures w14:val="standardContextual"/>
        </w:rPr>
        <w:t xml:space="preserve">. Umożliwiają bieżące rozliczanie nakładów, stabilizują </w:t>
      </w:r>
      <w:r w:rsidR="000B601C">
        <w:rPr>
          <w:rFonts w:ascii="Lato" w:eastAsiaTheme="minorHAnsi" w:hAnsi="Lato" w:cstheme="minorBidi"/>
          <w:kern w:val="2"/>
          <w:sz w:val="20"/>
          <w:szCs w:val="20"/>
          <w:lang w:eastAsia="en-US"/>
          <w14:ligatures w14:val="standardContextual"/>
        </w:rPr>
        <w:t>przepływy finansowe</w:t>
      </w:r>
      <w:r w:rsidRPr="00472D58">
        <w:rPr>
          <w:rFonts w:ascii="Lato" w:eastAsiaTheme="minorHAnsi" w:hAnsi="Lato" w:cstheme="minorBidi"/>
          <w:kern w:val="2"/>
          <w:sz w:val="20"/>
          <w:szCs w:val="20"/>
          <w:lang w:eastAsia="en-US"/>
          <w14:ligatures w14:val="standardContextual"/>
        </w:rPr>
        <w:t xml:space="preserve"> </w:t>
      </w:r>
      <w:r w:rsidR="003D5167">
        <w:rPr>
          <w:rFonts w:ascii="Lato" w:eastAsiaTheme="minorHAnsi" w:hAnsi="Lato" w:cstheme="minorBidi"/>
          <w:kern w:val="2"/>
          <w:sz w:val="20"/>
          <w:szCs w:val="20"/>
          <w:lang w:eastAsia="en-US"/>
          <w14:ligatures w14:val="standardContextual"/>
        </w:rPr>
        <w:t>w</w:t>
      </w:r>
      <w:r w:rsidRPr="00472D58">
        <w:rPr>
          <w:rFonts w:ascii="Lato" w:eastAsiaTheme="minorHAnsi" w:hAnsi="Lato" w:cstheme="minorBidi"/>
          <w:kern w:val="2"/>
          <w:sz w:val="20"/>
          <w:szCs w:val="20"/>
          <w:lang w:eastAsia="en-US"/>
          <w14:ligatures w14:val="standardContextual"/>
        </w:rPr>
        <w:t xml:space="preserve">ykonawcy </w:t>
      </w:r>
      <w:r w:rsidR="003D5167">
        <w:rPr>
          <w:rFonts w:ascii="Lato" w:eastAsiaTheme="minorHAnsi" w:hAnsi="Lato" w:cstheme="minorBidi"/>
          <w:kern w:val="2"/>
          <w:sz w:val="20"/>
          <w:szCs w:val="20"/>
          <w:lang w:eastAsia="en-US"/>
          <w14:ligatures w14:val="standardContextual"/>
        </w:rPr>
        <w:t>(</w:t>
      </w:r>
      <w:r w:rsidRPr="00472D58">
        <w:rPr>
          <w:rFonts w:ascii="Lato" w:eastAsiaTheme="minorHAnsi" w:hAnsi="Lato" w:cstheme="minorBidi"/>
          <w:kern w:val="2"/>
          <w:sz w:val="20"/>
          <w:szCs w:val="20"/>
          <w:lang w:eastAsia="en-US"/>
          <w14:ligatures w14:val="standardContextual"/>
        </w:rPr>
        <w:t>zwłaszcza MŚP</w:t>
      </w:r>
      <w:r w:rsidR="003D5167">
        <w:rPr>
          <w:rFonts w:ascii="Lato" w:eastAsiaTheme="minorHAnsi" w:hAnsi="Lato" w:cstheme="minorBidi"/>
          <w:kern w:val="2"/>
          <w:sz w:val="20"/>
          <w:szCs w:val="20"/>
          <w:lang w:eastAsia="en-US"/>
          <w14:ligatures w14:val="standardContextual"/>
        </w:rPr>
        <w:t>)</w:t>
      </w:r>
      <w:r w:rsidRPr="00472D58">
        <w:rPr>
          <w:rFonts w:ascii="Lato" w:eastAsiaTheme="minorHAnsi" w:hAnsi="Lato" w:cstheme="minorBidi"/>
          <w:kern w:val="2"/>
          <w:sz w:val="20"/>
          <w:szCs w:val="20"/>
          <w:lang w:eastAsia="en-US"/>
          <w14:ligatures w14:val="standardContextual"/>
        </w:rPr>
        <w:t xml:space="preserve"> oraz dają </w:t>
      </w:r>
      <w:r w:rsidR="000B601C">
        <w:rPr>
          <w:rFonts w:ascii="Lato" w:eastAsiaTheme="minorHAnsi" w:hAnsi="Lato" w:cstheme="minorBidi"/>
          <w:kern w:val="2"/>
          <w:sz w:val="20"/>
          <w:szCs w:val="20"/>
          <w:lang w:eastAsia="en-US"/>
          <w14:ligatures w14:val="standardContextual"/>
        </w:rPr>
        <w:t>spółce z udziałem Skarbu Państwa</w:t>
      </w:r>
      <w:r w:rsidRPr="00472D58">
        <w:rPr>
          <w:rFonts w:ascii="Lato" w:eastAsiaTheme="minorHAnsi" w:hAnsi="Lato" w:cstheme="minorBidi"/>
          <w:kern w:val="2"/>
          <w:sz w:val="20"/>
          <w:szCs w:val="20"/>
          <w:lang w:eastAsia="en-US"/>
          <w14:ligatures w14:val="standardContextual"/>
        </w:rPr>
        <w:t xml:space="preserve"> kontrol</w:t>
      </w:r>
      <w:r w:rsidR="000B601C">
        <w:rPr>
          <w:rFonts w:ascii="Lato" w:eastAsiaTheme="minorHAnsi" w:hAnsi="Lato" w:cstheme="minorBidi"/>
          <w:kern w:val="2"/>
          <w:sz w:val="20"/>
          <w:szCs w:val="20"/>
          <w:lang w:eastAsia="en-US"/>
          <w14:ligatures w14:val="standardContextual"/>
        </w:rPr>
        <w:t>ę</w:t>
      </w:r>
      <w:r w:rsidR="003D5167">
        <w:rPr>
          <w:rFonts w:ascii="Lato" w:eastAsiaTheme="minorHAnsi" w:hAnsi="Lato" w:cstheme="minorBidi"/>
          <w:kern w:val="2"/>
          <w:sz w:val="20"/>
          <w:szCs w:val="20"/>
          <w:lang w:eastAsia="en-US"/>
          <w14:ligatures w14:val="standardContextual"/>
        </w:rPr>
        <w:t xml:space="preserve"> realizacji zamówienia</w:t>
      </w:r>
      <w:r w:rsidRPr="00472D58">
        <w:rPr>
          <w:rFonts w:ascii="Lato" w:eastAsiaTheme="minorHAnsi" w:hAnsi="Lato" w:cstheme="minorBidi"/>
          <w:kern w:val="2"/>
          <w:sz w:val="20"/>
          <w:szCs w:val="20"/>
          <w:lang w:eastAsia="en-US"/>
          <w14:ligatures w14:val="standardContextual"/>
        </w:rPr>
        <w:t>.</w:t>
      </w:r>
    </w:p>
    <w:p w14:paraId="7C70C65B" w14:textId="77777777" w:rsidR="0060035B" w:rsidRPr="00054889" w:rsidRDefault="003D1E50" w:rsidP="00097032">
      <w:pPr>
        <w:pStyle w:val="NormalnyWeb"/>
        <w:widowControl w:val="0"/>
        <w:spacing w:before="0" w:beforeAutospacing="0" w:after="120" w:afterAutospacing="0" w:line="360" w:lineRule="auto"/>
        <w:ind w:left="636"/>
        <w:jc w:val="both"/>
        <w:rPr>
          <w:rFonts w:ascii="Lato" w:eastAsiaTheme="minorHAnsi" w:hAnsi="Lato" w:cstheme="minorBidi"/>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Rekomenduje się w szczególności:</w:t>
      </w:r>
    </w:p>
    <w:p w14:paraId="31ED13AE" w14:textId="77777777" w:rsidR="00F330B9" w:rsidRPr="00054889" w:rsidRDefault="003D1E50" w:rsidP="00FD2F03">
      <w:pPr>
        <w:pStyle w:val="NormalnyWeb"/>
        <w:widowControl w:val="0"/>
        <w:numPr>
          <w:ilvl w:val="1"/>
          <w:numId w:val="21"/>
        </w:numPr>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b/>
          <w:bCs/>
          <w:kern w:val="2"/>
          <w:sz w:val="20"/>
          <w:szCs w:val="20"/>
          <w:lang w:eastAsia="en-US"/>
          <w14:ligatures w14:val="standardContextual"/>
        </w:rPr>
        <w:t>Dostosowanie wysokości zabezpieczenia do rzeczywistego ryzyka</w:t>
      </w:r>
    </w:p>
    <w:p w14:paraId="04A79859" w14:textId="157D1162" w:rsidR="00F330B9" w:rsidRPr="00054889" w:rsidRDefault="003D1E50" w:rsidP="00097032">
      <w:pPr>
        <w:pStyle w:val="NormalnyWeb"/>
        <w:widowControl w:val="0"/>
        <w:spacing w:before="0" w:beforeAutospacing="0" w:after="120" w:afterAutospacing="0" w:line="360" w:lineRule="auto"/>
        <w:ind w:left="993"/>
        <w:jc w:val="both"/>
        <w:rPr>
          <w:rFonts w:ascii="Lato" w:eastAsiaTheme="minorHAnsi" w:hAnsi="Lato" w:cstheme="minorBidi"/>
          <w:b/>
          <w:bCs/>
          <w:kern w:val="2"/>
          <w:sz w:val="20"/>
          <w:szCs w:val="20"/>
          <w:lang w:eastAsia="en-US"/>
          <w14:ligatures w14:val="standardContextual"/>
        </w:rPr>
      </w:pPr>
      <w:r w:rsidRPr="00054889">
        <w:rPr>
          <w:rFonts w:ascii="Lato" w:eastAsiaTheme="minorHAnsi" w:hAnsi="Lato" w:cstheme="minorBidi"/>
          <w:kern w:val="2"/>
          <w:sz w:val="20"/>
          <w:szCs w:val="20"/>
          <w:lang w:eastAsia="en-US"/>
          <w14:ligatures w14:val="standardContextual"/>
        </w:rPr>
        <w:t xml:space="preserve">Określanie poziomu zabezpieczenia należytego wykonania umowy w sposób proporcjonalny do wartości i złożoności zamówienia, tak aby chronić interes </w:t>
      </w:r>
      <w:r w:rsidR="000B601C">
        <w:rPr>
          <w:rFonts w:ascii="Lato" w:eastAsiaTheme="minorHAnsi" w:hAnsi="Lato" w:cstheme="minorBidi"/>
          <w:kern w:val="2"/>
          <w:sz w:val="20"/>
          <w:szCs w:val="20"/>
          <w:lang w:eastAsia="en-US"/>
          <w14:ligatures w14:val="standardContextual"/>
        </w:rPr>
        <w:t>spółki z udziałem Skarbu Państwa</w:t>
      </w:r>
      <w:r w:rsidRPr="00054889">
        <w:rPr>
          <w:rFonts w:ascii="Lato" w:eastAsiaTheme="minorHAnsi" w:hAnsi="Lato" w:cstheme="minorBidi"/>
          <w:kern w:val="2"/>
          <w:sz w:val="20"/>
          <w:szCs w:val="20"/>
          <w:lang w:eastAsia="en-US"/>
          <w14:ligatures w14:val="standardContextual"/>
        </w:rPr>
        <w:t xml:space="preserve"> bez nadmiernego obciążania wykonawców.</w:t>
      </w:r>
    </w:p>
    <w:p w14:paraId="35CA7669" w14:textId="77777777" w:rsidR="00F330B9" w:rsidRPr="00054889" w:rsidRDefault="003D1E50" w:rsidP="00FD2F03">
      <w:pPr>
        <w:pStyle w:val="NormalnyWeb"/>
        <w:widowControl w:val="0"/>
        <w:numPr>
          <w:ilvl w:val="1"/>
          <w:numId w:val="21"/>
        </w:numPr>
        <w:spacing w:before="0" w:beforeAutospacing="0" w:after="120" w:afterAutospacing="0" w:line="360" w:lineRule="auto"/>
        <w:ind w:left="993" w:hanging="357"/>
        <w:jc w:val="both"/>
        <w:rPr>
          <w:rFonts w:ascii="Lato" w:eastAsiaTheme="minorHAnsi" w:hAnsi="Lato" w:cstheme="minorBidi"/>
          <w:b/>
          <w:bCs/>
          <w:kern w:val="2"/>
          <w:sz w:val="20"/>
          <w:szCs w:val="20"/>
          <w:lang w:eastAsia="en-US"/>
          <w14:ligatures w14:val="standardContextual"/>
        </w:rPr>
      </w:pPr>
      <w:r w:rsidRPr="00054889">
        <w:rPr>
          <w:rFonts w:ascii="Lato" w:hAnsi="Lato"/>
          <w:b/>
          <w:bCs/>
          <w:sz w:val="20"/>
          <w:szCs w:val="20"/>
        </w:rPr>
        <w:t>Stosowanie przejrzystych zasad płatności i rozliczeń etapowych</w:t>
      </w:r>
    </w:p>
    <w:p w14:paraId="5A6F0EE6" w14:textId="1EDE19FF" w:rsidR="003D5167" w:rsidRDefault="003D1E50" w:rsidP="00FC1633">
      <w:pPr>
        <w:pStyle w:val="NormalnyWeb"/>
        <w:widowControl w:val="0"/>
        <w:spacing w:after="120" w:line="360" w:lineRule="auto"/>
        <w:ind w:left="964"/>
        <w:jc w:val="both"/>
        <w:rPr>
          <w:rFonts w:ascii="Lato" w:hAnsi="Lato"/>
          <w:sz w:val="20"/>
          <w:szCs w:val="20"/>
        </w:rPr>
      </w:pPr>
      <w:r w:rsidRPr="00837F1F">
        <w:rPr>
          <w:rFonts w:ascii="Lato" w:hAnsi="Lato"/>
          <w:sz w:val="20"/>
          <w:szCs w:val="20"/>
        </w:rPr>
        <w:t xml:space="preserve">Przewidywanie mechanizmów umożliwiających rozliczanie prac w etapach, </w:t>
      </w:r>
      <w:r w:rsidRPr="00837F1F">
        <w:rPr>
          <w:rFonts w:ascii="Lato" w:hAnsi="Lato"/>
          <w:sz w:val="20"/>
          <w:szCs w:val="20"/>
        </w:rPr>
        <w:br/>
        <w:t xml:space="preserve">w powiązaniu z rzeczywistym postępem realizacji, co może wspierać stabilność </w:t>
      </w:r>
      <w:r w:rsidR="00D24A93" w:rsidRPr="00837F1F">
        <w:rPr>
          <w:rFonts w:ascii="Lato" w:hAnsi="Lato"/>
          <w:sz w:val="20"/>
          <w:szCs w:val="20"/>
        </w:rPr>
        <w:t xml:space="preserve">i płynność </w:t>
      </w:r>
      <w:r w:rsidRPr="00837F1F">
        <w:rPr>
          <w:rFonts w:ascii="Lato" w:hAnsi="Lato"/>
          <w:sz w:val="20"/>
          <w:szCs w:val="20"/>
        </w:rPr>
        <w:t>finansową wykonawców i ich podwykonawców</w:t>
      </w:r>
      <w:r w:rsidR="00C636DD" w:rsidRPr="00837F1F">
        <w:rPr>
          <w:rFonts w:ascii="Lato" w:hAnsi="Lato"/>
          <w:sz w:val="20"/>
          <w:szCs w:val="20"/>
        </w:rPr>
        <w:t xml:space="preserve"> zwłaszcza o mniejszej skali działalności</w:t>
      </w:r>
      <w:r w:rsidRPr="00837F1F">
        <w:rPr>
          <w:rFonts w:ascii="Lato" w:hAnsi="Lato"/>
          <w:sz w:val="20"/>
          <w:szCs w:val="20"/>
        </w:rPr>
        <w:t>.</w:t>
      </w:r>
      <w:r w:rsidR="003D5167" w:rsidRPr="00837F1F">
        <w:rPr>
          <w:rFonts w:ascii="Lato" w:hAnsi="Lato"/>
          <w:sz w:val="20"/>
          <w:szCs w:val="20"/>
        </w:rPr>
        <w:t xml:space="preserve"> Aby mechanizm wspierał płynność</w:t>
      </w:r>
      <w:r w:rsidR="00D24A93" w:rsidRPr="00837F1F">
        <w:rPr>
          <w:rFonts w:ascii="Lato" w:hAnsi="Lato"/>
          <w:sz w:val="20"/>
          <w:szCs w:val="20"/>
        </w:rPr>
        <w:t xml:space="preserve"> i stabilność</w:t>
      </w:r>
      <w:r w:rsidR="003D5167" w:rsidRPr="00837F1F">
        <w:rPr>
          <w:rFonts w:ascii="Lato" w:hAnsi="Lato"/>
          <w:sz w:val="20"/>
          <w:szCs w:val="20"/>
        </w:rPr>
        <w:t xml:space="preserve"> łańcucha dostaw</w:t>
      </w:r>
      <w:r w:rsidR="0052475F" w:rsidRPr="00837F1F">
        <w:rPr>
          <w:rFonts w:ascii="Lato" w:hAnsi="Lato"/>
          <w:sz w:val="20"/>
          <w:szCs w:val="20"/>
        </w:rPr>
        <w:t xml:space="preserve"> w ramach danej inwestycji</w:t>
      </w:r>
      <w:r w:rsidR="003D5167" w:rsidRPr="00837F1F">
        <w:rPr>
          <w:rFonts w:ascii="Lato" w:hAnsi="Lato"/>
          <w:sz w:val="20"/>
          <w:szCs w:val="20"/>
        </w:rPr>
        <w:t xml:space="preserve">, </w:t>
      </w:r>
      <w:r w:rsidR="00AF7B9C" w:rsidRPr="00837F1F">
        <w:rPr>
          <w:rFonts w:ascii="Lato" w:hAnsi="Lato"/>
          <w:sz w:val="20"/>
          <w:szCs w:val="20"/>
        </w:rPr>
        <w:t>spółki z udziałem Skarbu Państwa</w:t>
      </w:r>
      <w:r w:rsidR="003D5167" w:rsidRPr="00837F1F">
        <w:rPr>
          <w:rFonts w:ascii="Lato" w:hAnsi="Lato"/>
          <w:sz w:val="20"/>
          <w:szCs w:val="20"/>
        </w:rPr>
        <w:t xml:space="preserve"> </w:t>
      </w:r>
      <w:r w:rsidR="00AF7B9C" w:rsidRPr="00837F1F">
        <w:rPr>
          <w:rFonts w:ascii="Lato" w:hAnsi="Lato"/>
          <w:sz w:val="20"/>
          <w:szCs w:val="20"/>
        </w:rPr>
        <w:t>mogą</w:t>
      </w:r>
      <w:r w:rsidR="003D5167" w:rsidRPr="00837F1F">
        <w:rPr>
          <w:rFonts w:ascii="Lato" w:hAnsi="Lato"/>
          <w:sz w:val="20"/>
          <w:szCs w:val="20"/>
        </w:rPr>
        <w:t xml:space="preserve"> wymagać od </w:t>
      </w:r>
      <w:r w:rsidR="00AF7B9C" w:rsidRPr="00837F1F">
        <w:rPr>
          <w:rFonts w:ascii="Lato" w:hAnsi="Lato"/>
          <w:sz w:val="20"/>
          <w:szCs w:val="20"/>
        </w:rPr>
        <w:t>w</w:t>
      </w:r>
      <w:r w:rsidR="003D5167" w:rsidRPr="00837F1F">
        <w:rPr>
          <w:rFonts w:ascii="Lato" w:hAnsi="Lato"/>
          <w:sz w:val="20"/>
          <w:szCs w:val="20"/>
        </w:rPr>
        <w:t>ykonawcy</w:t>
      </w:r>
      <w:r w:rsidR="00D24A93" w:rsidRPr="00837F1F">
        <w:rPr>
          <w:rFonts w:ascii="Lato" w:hAnsi="Lato"/>
          <w:sz w:val="20"/>
          <w:szCs w:val="20"/>
        </w:rPr>
        <w:t xml:space="preserve"> stosowania</w:t>
      </w:r>
      <w:r w:rsidR="003047D4" w:rsidRPr="00837F1F">
        <w:rPr>
          <w:rFonts w:ascii="Lato" w:hAnsi="Lato"/>
          <w:sz w:val="20"/>
          <w:szCs w:val="20"/>
        </w:rPr>
        <w:t xml:space="preserve"> </w:t>
      </w:r>
      <w:r w:rsidR="00D24A93" w:rsidRPr="00837F1F">
        <w:rPr>
          <w:rFonts w:ascii="Lato" w:hAnsi="Lato"/>
          <w:sz w:val="20"/>
          <w:szCs w:val="20"/>
        </w:rPr>
        <w:t xml:space="preserve">mechanizmu </w:t>
      </w:r>
      <w:r w:rsidR="003D5167" w:rsidRPr="00837F1F">
        <w:rPr>
          <w:rFonts w:ascii="Lato" w:hAnsi="Lato"/>
          <w:sz w:val="20"/>
          <w:szCs w:val="20"/>
        </w:rPr>
        <w:t>dalszej płatności na rzecz podwykonawc</w:t>
      </w:r>
      <w:r w:rsidR="00D24A93" w:rsidRPr="00837F1F">
        <w:rPr>
          <w:rFonts w:ascii="Lato" w:hAnsi="Lato"/>
          <w:sz w:val="20"/>
          <w:szCs w:val="20"/>
        </w:rPr>
        <w:t>ów</w:t>
      </w:r>
      <w:r w:rsidR="00D24A93" w:rsidRPr="00837F1F">
        <w:rPr>
          <w:rFonts w:ascii="Lato" w:hAnsi="Lato"/>
          <w:i/>
          <w:sz w:val="20"/>
          <w:szCs w:val="20"/>
        </w:rPr>
        <w:t xml:space="preserve"> </w:t>
      </w:r>
      <w:r w:rsidR="00D24A93" w:rsidRPr="00837F1F">
        <w:rPr>
          <w:rFonts w:ascii="Lato" w:hAnsi="Lato"/>
          <w:sz w:val="20"/>
          <w:szCs w:val="20"/>
        </w:rPr>
        <w:t xml:space="preserve">(tzw. </w:t>
      </w:r>
      <w:r w:rsidR="00D24A93" w:rsidRPr="00837F1F">
        <w:rPr>
          <w:rFonts w:ascii="Lato" w:hAnsi="Lato"/>
          <w:i/>
          <w:sz w:val="20"/>
          <w:szCs w:val="20"/>
        </w:rPr>
        <w:t>down-</w:t>
      </w:r>
      <w:proofErr w:type="spellStart"/>
      <w:r w:rsidR="00D24A93" w:rsidRPr="00837F1F">
        <w:rPr>
          <w:rFonts w:ascii="Lato" w:hAnsi="Lato"/>
          <w:i/>
          <w:sz w:val="20"/>
          <w:szCs w:val="20"/>
        </w:rPr>
        <w:t>flow</w:t>
      </w:r>
      <w:proofErr w:type="spellEnd"/>
      <w:r w:rsidR="003D5167" w:rsidRPr="00837F1F">
        <w:rPr>
          <w:rFonts w:ascii="Lato" w:hAnsi="Lato"/>
          <w:sz w:val="20"/>
          <w:szCs w:val="20"/>
        </w:rPr>
        <w:t xml:space="preserve">) </w:t>
      </w:r>
      <w:r w:rsidR="00D24A93" w:rsidRPr="00837F1F">
        <w:rPr>
          <w:rFonts w:ascii="Lato" w:hAnsi="Lato"/>
          <w:sz w:val="20"/>
          <w:szCs w:val="20"/>
        </w:rPr>
        <w:t xml:space="preserve">w ustalonych terminach </w:t>
      </w:r>
      <w:r w:rsidR="003D5167" w:rsidRPr="00837F1F">
        <w:rPr>
          <w:rFonts w:ascii="Lato" w:hAnsi="Lato"/>
          <w:sz w:val="20"/>
          <w:szCs w:val="20"/>
        </w:rPr>
        <w:t>wraz z</w:t>
      </w:r>
      <w:r w:rsidR="0066059E" w:rsidRPr="00837F1F">
        <w:rPr>
          <w:rFonts w:ascii="Lato" w:hAnsi="Lato"/>
          <w:sz w:val="20"/>
          <w:szCs w:val="20"/>
        </w:rPr>
        <w:t> </w:t>
      </w:r>
      <w:r w:rsidR="003D5167" w:rsidRPr="00837F1F">
        <w:rPr>
          <w:rFonts w:ascii="Lato" w:hAnsi="Lato"/>
          <w:sz w:val="20"/>
          <w:szCs w:val="20"/>
        </w:rPr>
        <w:t>obowiązkiem przedstawiania oświadczeń</w:t>
      </w:r>
      <w:r w:rsidR="00D24A93" w:rsidRPr="00837F1F">
        <w:rPr>
          <w:rFonts w:ascii="Lato" w:hAnsi="Lato"/>
          <w:sz w:val="20"/>
          <w:szCs w:val="20"/>
        </w:rPr>
        <w:t xml:space="preserve"> podwykonawców</w:t>
      </w:r>
      <w:r w:rsidR="003D5167" w:rsidRPr="00837F1F">
        <w:rPr>
          <w:rFonts w:ascii="Lato" w:hAnsi="Lato"/>
          <w:sz w:val="20"/>
          <w:szCs w:val="20"/>
        </w:rPr>
        <w:t xml:space="preserve"> o</w:t>
      </w:r>
      <w:r w:rsidR="00D24A93" w:rsidRPr="00837F1F">
        <w:rPr>
          <w:rFonts w:ascii="Lato" w:hAnsi="Lato"/>
          <w:sz w:val="20"/>
          <w:szCs w:val="20"/>
        </w:rPr>
        <w:t xml:space="preserve"> przekazanej</w:t>
      </w:r>
      <w:r w:rsidR="003D5167" w:rsidRPr="003D5167">
        <w:rPr>
          <w:rFonts w:ascii="Lato" w:hAnsi="Lato"/>
          <w:sz w:val="20"/>
          <w:szCs w:val="20"/>
        </w:rPr>
        <w:t xml:space="preserve"> zapłacie oraz przewidywać bezpośrednie płatności na rzecz wskazanych </w:t>
      </w:r>
      <w:r w:rsidR="003D5167">
        <w:rPr>
          <w:rFonts w:ascii="Lato" w:hAnsi="Lato"/>
          <w:sz w:val="20"/>
          <w:szCs w:val="20"/>
        </w:rPr>
        <w:t>p</w:t>
      </w:r>
      <w:r w:rsidR="003D5167" w:rsidRPr="003D5167">
        <w:rPr>
          <w:rFonts w:ascii="Lato" w:hAnsi="Lato"/>
          <w:sz w:val="20"/>
          <w:szCs w:val="20"/>
        </w:rPr>
        <w:t>odwykonawców w</w:t>
      </w:r>
      <w:r w:rsidR="0066059E">
        <w:rPr>
          <w:rFonts w:ascii="Lato" w:hAnsi="Lato"/>
          <w:sz w:val="20"/>
          <w:szCs w:val="20"/>
        </w:rPr>
        <w:t> </w:t>
      </w:r>
      <w:r w:rsidR="003D5167" w:rsidRPr="003D5167">
        <w:rPr>
          <w:rFonts w:ascii="Lato" w:hAnsi="Lato"/>
          <w:sz w:val="20"/>
          <w:szCs w:val="20"/>
        </w:rPr>
        <w:t>uzasadnionych przypadkach.</w:t>
      </w:r>
      <w:r w:rsidR="0066059E">
        <w:rPr>
          <w:rFonts w:ascii="Lato" w:hAnsi="Lato"/>
          <w:sz w:val="20"/>
          <w:szCs w:val="20"/>
        </w:rPr>
        <w:t xml:space="preserve"> Takie rozwiązanie sprzyja bardziej sprawiedliwemu podziałowi </w:t>
      </w:r>
      <w:proofErr w:type="spellStart"/>
      <w:r w:rsidR="0066059E">
        <w:rPr>
          <w:rFonts w:ascii="Lato" w:hAnsi="Lato"/>
          <w:sz w:val="20"/>
          <w:szCs w:val="20"/>
        </w:rPr>
        <w:t>ryzyk</w:t>
      </w:r>
      <w:proofErr w:type="spellEnd"/>
      <w:r w:rsidR="0066059E">
        <w:rPr>
          <w:rFonts w:ascii="Lato" w:hAnsi="Lato"/>
          <w:sz w:val="20"/>
          <w:szCs w:val="20"/>
        </w:rPr>
        <w:t xml:space="preserve"> i jest efektywne z punktu widzenia zarządzania płynnością finansową całego łańcucha dostaw angażowanego w realizację inwestycji.</w:t>
      </w:r>
      <w:r w:rsidR="00BC7698">
        <w:rPr>
          <w:rFonts w:ascii="Lato" w:hAnsi="Lato"/>
          <w:sz w:val="20"/>
          <w:szCs w:val="20"/>
        </w:rPr>
        <w:t xml:space="preserve"> Z punktu widzenia zwiększenia udziału komponentu krajowego istotne jest też niezwłoczne a</w:t>
      </w:r>
      <w:r w:rsidR="00BC7698" w:rsidRPr="00BC7698">
        <w:rPr>
          <w:rFonts w:ascii="Lato" w:hAnsi="Lato"/>
          <w:sz w:val="20"/>
          <w:szCs w:val="20"/>
        </w:rPr>
        <w:t>kcept</w:t>
      </w:r>
      <w:r w:rsidR="00BC7698">
        <w:rPr>
          <w:rFonts w:ascii="Lato" w:hAnsi="Lato"/>
          <w:sz w:val="20"/>
          <w:szCs w:val="20"/>
        </w:rPr>
        <w:t>owanie</w:t>
      </w:r>
      <w:r w:rsidR="00BC7698" w:rsidRPr="00BC7698">
        <w:rPr>
          <w:rFonts w:ascii="Lato" w:hAnsi="Lato"/>
          <w:sz w:val="20"/>
          <w:szCs w:val="20"/>
        </w:rPr>
        <w:t xml:space="preserve"> protokołów odbioru </w:t>
      </w:r>
      <w:r w:rsidR="00BC7698">
        <w:rPr>
          <w:rFonts w:ascii="Lato" w:hAnsi="Lato"/>
          <w:sz w:val="20"/>
          <w:szCs w:val="20"/>
        </w:rPr>
        <w:t xml:space="preserve">wykonanych </w:t>
      </w:r>
      <w:r w:rsidR="00BC7698" w:rsidRPr="00BC7698">
        <w:rPr>
          <w:rFonts w:ascii="Lato" w:hAnsi="Lato"/>
          <w:sz w:val="20"/>
          <w:szCs w:val="20"/>
        </w:rPr>
        <w:t>prac,</w:t>
      </w:r>
      <w:r w:rsidR="00BC7698">
        <w:rPr>
          <w:rFonts w:ascii="Lato" w:hAnsi="Lato"/>
          <w:sz w:val="20"/>
          <w:szCs w:val="20"/>
        </w:rPr>
        <w:t xml:space="preserve"> bo to rzutuje</w:t>
      </w:r>
      <w:r w:rsidR="00BC7698" w:rsidRPr="00BC7698">
        <w:rPr>
          <w:rFonts w:ascii="Lato" w:hAnsi="Lato"/>
          <w:sz w:val="20"/>
          <w:szCs w:val="20"/>
        </w:rPr>
        <w:t xml:space="preserve"> </w:t>
      </w:r>
      <w:r w:rsidR="00BC7698">
        <w:rPr>
          <w:rFonts w:ascii="Lato" w:hAnsi="Lato"/>
          <w:sz w:val="20"/>
          <w:szCs w:val="20"/>
        </w:rPr>
        <w:t>na możliwość</w:t>
      </w:r>
      <w:r w:rsidR="00BC7698" w:rsidRPr="00BC7698">
        <w:rPr>
          <w:rFonts w:ascii="Lato" w:hAnsi="Lato"/>
          <w:sz w:val="20"/>
          <w:szCs w:val="20"/>
        </w:rPr>
        <w:t xml:space="preserve"> wystawi</w:t>
      </w:r>
      <w:r w:rsidR="00BC7698">
        <w:rPr>
          <w:rFonts w:ascii="Lato" w:hAnsi="Lato"/>
          <w:sz w:val="20"/>
          <w:szCs w:val="20"/>
        </w:rPr>
        <w:t>a</w:t>
      </w:r>
      <w:r w:rsidR="00BC7698" w:rsidRPr="00BC7698">
        <w:rPr>
          <w:rFonts w:ascii="Lato" w:hAnsi="Lato"/>
          <w:sz w:val="20"/>
          <w:szCs w:val="20"/>
        </w:rPr>
        <w:t>nia faktur w akceptowalnych dla obu stron terminach</w:t>
      </w:r>
      <w:r w:rsidR="00BC7698">
        <w:rPr>
          <w:rFonts w:ascii="Lato" w:hAnsi="Lato"/>
          <w:sz w:val="20"/>
          <w:szCs w:val="20"/>
        </w:rPr>
        <w:t>. Nieuzasadnione w</w:t>
      </w:r>
      <w:r w:rsidR="00BC7698" w:rsidRPr="00BC7698">
        <w:rPr>
          <w:rFonts w:ascii="Lato" w:hAnsi="Lato"/>
          <w:sz w:val="20"/>
          <w:szCs w:val="20"/>
        </w:rPr>
        <w:t xml:space="preserve">ydłużanie </w:t>
      </w:r>
      <w:r w:rsidR="00BC7698">
        <w:rPr>
          <w:rFonts w:ascii="Lato" w:hAnsi="Lato"/>
          <w:sz w:val="20"/>
          <w:szCs w:val="20"/>
        </w:rPr>
        <w:t xml:space="preserve">procedur </w:t>
      </w:r>
      <w:r w:rsidR="00BC7698" w:rsidRPr="00BC7698">
        <w:rPr>
          <w:rFonts w:ascii="Lato" w:hAnsi="Lato"/>
          <w:sz w:val="20"/>
          <w:szCs w:val="20"/>
        </w:rPr>
        <w:t xml:space="preserve">podpisania protokołu odbioru </w:t>
      </w:r>
      <w:r w:rsidR="00BC7698">
        <w:rPr>
          <w:rFonts w:ascii="Lato" w:hAnsi="Lato"/>
          <w:sz w:val="20"/>
          <w:szCs w:val="20"/>
        </w:rPr>
        <w:t xml:space="preserve">zrealizowanych </w:t>
      </w:r>
      <w:r w:rsidR="00BC7698" w:rsidRPr="00BC7698">
        <w:rPr>
          <w:rFonts w:ascii="Lato" w:hAnsi="Lato"/>
          <w:sz w:val="20"/>
          <w:szCs w:val="20"/>
        </w:rPr>
        <w:t xml:space="preserve">prac </w:t>
      </w:r>
      <w:r w:rsidR="00255BBE">
        <w:rPr>
          <w:rFonts w:ascii="Lato" w:hAnsi="Lato"/>
          <w:sz w:val="20"/>
          <w:szCs w:val="20"/>
        </w:rPr>
        <w:t xml:space="preserve">w rezultacie </w:t>
      </w:r>
      <w:r w:rsidR="00BC7698" w:rsidRPr="00BC7698">
        <w:rPr>
          <w:rFonts w:ascii="Lato" w:hAnsi="Lato"/>
          <w:sz w:val="20"/>
          <w:szCs w:val="20"/>
        </w:rPr>
        <w:t>pogarsza płynność finansową wykonawc</w:t>
      </w:r>
      <w:r w:rsidR="00FC1633">
        <w:rPr>
          <w:rFonts w:ascii="Lato" w:hAnsi="Lato"/>
          <w:sz w:val="20"/>
          <w:szCs w:val="20"/>
        </w:rPr>
        <w:t>ów. Ponadto k</w:t>
      </w:r>
      <w:r w:rsidR="00BC7698" w:rsidRPr="00BC7698">
        <w:rPr>
          <w:rFonts w:ascii="Lato" w:hAnsi="Lato"/>
          <w:sz w:val="20"/>
          <w:szCs w:val="20"/>
        </w:rPr>
        <w:t>rótkie terminy płatności</w:t>
      </w:r>
      <w:r w:rsidR="00FC1633">
        <w:rPr>
          <w:rFonts w:ascii="Lato" w:hAnsi="Lato"/>
          <w:sz w:val="20"/>
          <w:szCs w:val="20"/>
        </w:rPr>
        <w:t xml:space="preserve"> wskazane</w:t>
      </w:r>
      <w:r w:rsidR="00BC7698" w:rsidRPr="00BC7698">
        <w:rPr>
          <w:rFonts w:ascii="Lato" w:hAnsi="Lato"/>
          <w:sz w:val="20"/>
          <w:szCs w:val="20"/>
        </w:rPr>
        <w:t xml:space="preserve"> na fakturze wpływają pozytywnie na </w:t>
      </w:r>
      <w:r w:rsidR="00FC1633">
        <w:rPr>
          <w:rFonts w:ascii="Lato" w:hAnsi="Lato"/>
          <w:sz w:val="20"/>
          <w:szCs w:val="20"/>
        </w:rPr>
        <w:t>płynność</w:t>
      </w:r>
      <w:r w:rsidR="00BC7698" w:rsidRPr="00BC7698">
        <w:rPr>
          <w:rFonts w:ascii="Lato" w:hAnsi="Lato"/>
          <w:sz w:val="20"/>
          <w:szCs w:val="20"/>
        </w:rPr>
        <w:t xml:space="preserve"> </w:t>
      </w:r>
      <w:r w:rsidR="00FC1633">
        <w:rPr>
          <w:rFonts w:ascii="Lato" w:hAnsi="Lato"/>
          <w:sz w:val="20"/>
          <w:szCs w:val="20"/>
        </w:rPr>
        <w:t>w</w:t>
      </w:r>
      <w:r w:rsidR="00BC7698" w:rsidRPr="00BC7698">
        <w:rPr>
          <w:rFonts w:ascii="Lato" w:hAnsi="Lato"/>
          <w:sz w:val="20"/>
          <w:szCs w:val="20"/>
        </w:rPr>
        <w:t>ykonawc</w:t>
      </w:r>
      <w:r w:rsidR="00FC1633">
        <w:rPr>
          <w:rFonts w:ascii="Lato" w:hAnsi="Lato"/>
          <w:sz w:val="20"/>
          <w:szCs w:val="20"/>
        </w:rPr>
        <w:t>ów</w:t>
      </w:r>
      <w:r w:rsidR="00BC7698" w:rsidRPr="00BC7698">
        <w:rPr>
          <w:rFonts w:ascii="Lato" w:hAnsi="Lato"/>
          <w:sz w:val="20"/>
          <w:szCs w:val="20"/>
        </w:rPr>
        <w:t xml:space="preserve"> projektu</w:t>
      </w:r>
      <w:r w:rsidR="00FC1633">
        <w:rPr>
          <w:rFonts w:ascii="Lato" w:hAnsi="Lato"/>
          <w:sz w:val="20"/>
          <w:szCs w:val="20"/>
        </w:rPr>
        <w:t xml:space="preserve">, zwykle tych krajowych. </w:t>
      </w:r>
    </w:p>
    <w:p w14:paraId="51AFBD39" w14:textId="77777777" w:rsidR="00F330B9" w:rsidRPr="00054889" w:rsidRDefault="003D1E50" w:rsidP="00FD2F03">
      <w:pPr>
        <w:pStyle w:val="NormalnyWeb"/>
        <w:widowControl w:val="0"/>
        <w:numPr>
          <w:ilvl w:val="1"/>
          <w:numId w:val="21"/>
        </w:numPr>
        <w:spacing w:before="0" w:beforeAutospacing="0" w:after="120" w:afterAutospacing="0" w:line="360" w:lineRule="auto"/>
        <w:ind w:left="993" w:hanging="357"/>
        <w:jc w:val="both"/>
        <w:rPr>
          <w:rFonts w:ascii="Lato" w:hAnsi="Lato"/>
          <w:b/>
          <w:bCs/>
          <w:sz w:val="20"/>
          <w:szCs w:val="20"/>
        </w:rPr>
      </w:pPr>
      <w:r w:rsidRPr="00054889">
        <w:rPr>
          <w:rFonts w:ascii="Lato" w:hAnsi="Lato"/>
          <w:b/>
          <w:bCs/>
          <w:sz w:val="20"/>
          <w:szCs w:val="20"/>
        </w:rPr>
        <w:t>Uwzględnianie mechanizmów waloryzacyjnych</w:t>
      </w:r>
    </w:p>
    <w:p w14:paraId="77CA7223" w14:textId="4777C921" w:rsidR="0060035B" w:rsidRPr="00054889" w:rsidRDefault="003D1E50"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Konstruowanie jasnych zasad waloryzacji wynagrodzenia w projektach długoterminowych, w</w:t>
      </w:r>
      <w:r w:rsidR="00AF7B9C">
        <w:rPr>
          <w:rFonts w:ascii="Lato" w:hAnsi="Lato"/>
          <w:sz w:val="20"/>
          <w:szCs w:val="20"/>
        </w:rPr>
        <w:t> </w:t>
      </w:r>
      <w:r w:rsidRPr="00054889">
        <w:rPr>
          <w:rFonts w:ascii="Lato" w:hAnsi="Lato"/>
          <w:sz w:val="20"/>
          <w:szCs w:val="20"/>
        </w:rPr>
        <w:t>szczególności w odniesieniu do istotnych zmian cen materiałów, energii lub usług, jeżeli ma to znaczenie dla utrzymania równowagi ekonomicznej kontraktu.</w:t>
      </w:r>
      <w:r w:rsidR="00936E84" w:rsidRPr="00054889">
        <w:rPr>
          <w:rFonts w:ascii="Lato" w:hAnsi="Lato"/>
          <w:sz w:val="20"/>
          <w:szCs w:val="20"/>
        </w:rPr>
        <w:t xml:space="preserve"> W umowach na realizację projektów powyżej </w:t>
      </w:r>
      <w:r w:rsidR="0060306A">
        <w:rPr>
          <w:rFonts w:ascii="Lato" w:hAnsi="Lato"/>
          <w:sz w:val="20"/>
          <w:szCs w:val="20"/>
        </w:rPr>
        <w:t>sześciu</w:t>
      </w:r>
      <w:r w:rsidR="00936E84" w:rsidRPr="00054889">
        <w:rPr>
          <w:rFonts w:ascii="Lato" w:hAnsi="Lato"/>
          <w:sz w:val="20"/>
          <w:szCs w:val="20"/>
        </w:rPr>
        <w:t xml:space="preserve"> miesięcy </w:t>
      </w:r>
      <w:r w:rsidR="0060306A">
        <w:rPr>
          <w:rFonts w:ascii="Lato" w:hAnsi="Lato"/>
          <w:sz w:val="20"/>
          <w:szCs w:val="20"/>
        </w:rPr>
        <w:t>spółki z udziałem Skarbu Państwa</w:t>
      </w:r>
      <w:r w:rsidR="00936E84" w:rsidRPr="00054889">
        <w:rPr>
          <w:rFonts w:ascii="Lato" w:hAnsi="Lato"/>
          <w:sz w:val="20"/>
          <w:szCs w:val="20"/>
        </w:rPr>
        <w:t xml:space="preserve"> powinn</w:t>
      </w:r>
      <w:r w:rsidR="0060306A">
        <w:rPr>
          <w:rFonts w:ascii="Lato" w:hAnsi="Lato"/>
          <w:sz w:val="20"/>
          <w:szCs w:val="20"/>
        </w:rPr>
        <w:t>y rozważyć</w:t>
      </w:r>
      <w:r w:rsidR="00936E84" w:rsidRPr="00054889">
        <w:rPr>
          <w:rFonts w:ascii="Lato" w:hAnsi="Lato"/>
          <w:sz w:val="20"/>
          <w:szCs w:val="20"/>
        </w:rPr>
        <w:t xml:space="preserve"> mechanizm waloryzacji wynagrodzenia, jeżeli dochodzi do znaczących zmian kosztów. Waloryzacja powinna być oparta na wskaźnikach publicznych i stosowana automatycznie, bez konieczności renegocjacji umowy</w:t>
      </w:r>
      <w:r w:rsidR="0060306A">
        <w:rPr>
          <w:rFonts w:ascii="Lato" w:hAnsi="Lato"/>
          <w:sz w:val="20"/>
          <w:szCs w:val="20"/>
        </w:rPr>
        <w:t>, co stabilizuje relacje umowne między stronami</w:t>
      </w:r>
      <w:r w:rsidR="00936E84" w:rsidRPr="00054889">
        <w:rPr>
          <w:rFonts w:ascii="Lato" w:hAnsi="Lato"/>
          <w:sz w:val="20"/>
          <w:szCs w:val="20"/>
        </w:rPr>
        <w:t>.</w:t>
      </w:r>
      <w:r w:rsidR="00720D1E">
        <w:rPr>
          <w:rFonts w:ascii="Lato" w:hAnsi="Lato"/>
          <w:sz w:val="20"/>
          <w:szCs w:val="20"/>
        </w:rPr>
        <w:t xml:space="preserve"> </w:t>
      </w:r>
      <w:r w:rsidR="0060306A">
        <w:rPr>
          <w:rFonts w:ascii="Lato" w:hAnsi="Lato"/>
          <w:sz w:val="20"/>
          <w:szCs w:val="20"/>
        </w:rPr>
        <w:t>Punktem odniesienia w zakresie zasad</w:t>
      </w:r>
      <w:r w:rsidR="00720D1E">
        <w:rPr>
          <w:rFonts w:ascii="Lato" w:hAnsi="Lato"/>
          <w:sz w:val="20"/>
          <w:szCs w:val="20"/>
        </w:rPr>
        <w:t xml:space="preserve"> waloryzacj</w:t>
      </w:r>
      <w:r w:rsidR="0060306A">
        <w:rPr>
          <w:rFonts w:ascii="Lato" w:hAnsi="Lato"/>
          <w:sz w:val="20"/>
          <w:szCs w:val="20"/>
        </w:rPr>
        <w:t xml:space="preserve">i mogą być rekomendacje, wytyczne i dobre praktyki </w:t>
      </w:r>
      <w:r w:rsidR="0060306A">
        <w:rPr>
          <w:rFonts w:ascii="Lato" w:hAnsi="Lato"/>
          <w:sz w:val="20"/>
          <w:szCs w:val="20"/>
        </w:rPr>
        <w:lastRenderedPageBreak/>
        <w:t xml:space="preserve">publikowane przez </w:t>
      </w:r>
      <w:r w:rsidR="00720D1E">
        <w:rPr>
          <w:rFonts w:ascii="Lato" w:hAnsi="Lato"/>
          <w:sz w:val="20"/>
          <w:szCs w:val="20"/>
        </w:rPr>
        <w:t>Urz</w:t>
      </w:r>
      <w:r w:rsidR="0060306A">
        <w:rPr>
          <w:rFonts w:ascii="Lato" w:hAnsi="Lato"/>
          <w:sz w:val="20"/>
          <w:szCs w:val="20"/>
        </w:rPr>
        <w:t>ąd</w:t>
      </w:r>
      <w:r w:rsidR="00720D1E">
        <w:rPr>
          <w:rFonts w:ascii="Lato" w:hAnsi="Lato"/>
          <w:sz w:val="20"/>
          <w:szCs w:val="20"/>
        </w:rPr>
        <w:t xml:space="preserve"> Zamówień Publicznych</w:t>
      </w:r>
      <w:r w:rsidR="0060306A">
        <w:rPr>
          <w:rFonts w:ascii="Lato" w:hAnsi="Lato"/>
          <w:sz w:val="20"/>
          <w:szCs w:val="20"/>
        </w:rPr>
        <w:t xml:space="preserve"> na potrzeby zamawiających publicznych, którzy mają wpływ na kształtowani</w:t>
      </w:r>
      <w:r w:rsidR="00CA4152">
        <w:rPr>
          <w:rFonts w:ascii="Lato" w:hAnsi="Lato"/>
          <w:sz w:val="20"/>
          <w:szCs w:val="20"/>
        </w:rPr>
        <w:t>e</w:t>
      </w:r>
      <w:r w:rsidR="0060306A">
        <w:rPr>
          <w:rFonts w:ascii="Lato" w:hAnsi="Lato"/>
          <w:sz w:val="20"/>
          <w:szCs w:val="20"/>
        </w:rPr>
        <w:t xml:space="preserve"> rynku wykonawców i standardy warunków kontraktowych</w:t>
      </w:r>
      <w:r w:rsidR="00720D1E">
        <w:rPr>
          <w:rFonts w:ascii="Lato" w:hAnsi="Lato"/>
          <w:sz w:val="20"/>
          <w:szCs w:val="20"/>
        </w:rPr>
        <w:t>.</w:t>
      </w:r>
    </w:p>
    <w:p w14:paraId="5784A4F9" w14:textId="77777777" w:rsidR="00F330B9" w:rsidRPr="00054889" w:rsidRDefault="003D1E50" w:rsidP="00FD2F03">
      <w:pPr>
        <w:pStyle w:val="NormalnyWeb"/>
        <w:widowControl w:val="0"/>
        <w:numPr>
          <w:ilvl w:val="1"/>
          <w:numId w:val="21"/>
        </w:numPr>
        <w:spacing w:before="0" w:beforeAutospacing="0" w:after="120" w:afterAutospacing="0" w:line="360" w:lineRule="auto"/>
        <w:ind w:left="993" w:hanging="357"/>
        <w:jc w:val="both"/>
        <w:rPr>
          <w:rFonts w:ascii="Lato" w:hAnsi="Lato"/>
          <w:b/>
          <w:bCs/>
          <w:sz w:val="20"/>
          <w:szCs w:val="20"/>
        </w:rPr>
      </w:pPr>
      <w:r w:rsidRPr="00054889">
        <w:rPr>
          <w:rFonts w:ascii="Lato" w:hAnsi="Lato"/>
          <w:b/>
          <w:bCs/>
          <w:sz w:val="20"/>
          <w:szCs w:val="20"/>
        </w:rPr>
        <w:t>Stopniowe zwalnianie zabezpieczeń po realizacji etapów</w:t>
      </w:r>
    </w:p>
    <w:p w14:paraId="0EB39483" w14:textId="55FA549F" w:rsidR="0060035B" w:rsidRPr="00054889" w:rsidRDefault="003D1E50" w:rsidP="00097032">
      <w:pPr>
        <w:pStyle w:val="NormalnyWeb"/>
        <w:widowControl w:val="0"/>
        <w:spacing w:before="0" w:beforeAutospacing="0" w:after="120" w:afterAutospacing="0" w:line="360" w:lineRule="auto"/>
        <w:ind w:left="993"/>
        <w:jc w:val="both"/>
        <w:rPr>
          <w:rFonts w:ascii="Lato" w:hAnsi="Lato"/>
          <w:b/>
          <w:bCs/>
          <w:sz w:val="20"/>
          <w:szCs w:val="20"/>
        </w:rPr>
      </w:pPr>
      <w:r w:rsidRPr="00054889">
        <w:rPr>
          <w:rFonts w:ascii="Lato" w:hAnsi="Lato"/>
          <w:sz w:val="20"/>
          <w:szCs w:val="20"/>
        </w:rPr>
        <w:t>Stosowani</w:t>
      </w:r>
      <w:r w:rsidR="00AD1459">
        <w:rPr>
          <w:rFonts w:ascii="Lato" w:hAnsi="Lato"/>
          <w:sz w:val="20"/>
          <w:szCs w:val="20"/>
        </w:rPr>
        <w:t>e</w:t>
      </w:r>
      <w:r w:rsidRPr="00054889">
        <w:rPr>
          <w:rFonts w:ascii="Lato" w:hAnsi="Lato"/>
          <w:sz w:val="20"/>
          <w:szCs w:val="20"/>
        </w:rPr>
        <w:t xml:space="preserve"> mechanizmów umożliwiających częściowe zwalnianie zabezpieczenia po zakończeniu kluczowych faz projektu, co może ograniczać nadmierne zamrożenie kapitału.</w:t>
      </w:r>
    </w:p>
    <w:p w14:paraId="69D34365" w14:textId="34E80AC3" w:rsidR="00F330B9" w:rsidRPr="00054889" w:rsidRDefault="003D1E50" w:rsidP="00FD2F03">
      <w:pPr>
        <w:pStyle w:val="NormalnyWeb"/>
        <w:widowControl w:val="0"/>
        <w:numPr>
          <w:ilvl w:val="1"/>
          <w:numId w:val="21"/>
        </w:numPr>
        <w:spacing w:before="0" w:beforeAutospacing="0" w:after="120" w:afterAutospacing="0" w:line="360" w:lineRule="auto"/>
        <w:ind w:left="993" w:hanging="357"/>
        <w:jc w:val="both"/>
        <w:rPr>
          <w:rFonts w:ascii="Lato" w:hAnsi="Lato"/>
          <w:b/>
          <w:bCs/>
          <w:sz w:val="20"/>
          <w:szCs w:val="20"/>
        </w:rPr>
      </w:pPr>
      <w:r w:rsidRPr="00054889">
        <w:rPr>
          <w:rFonts w:ascii="Lato" w:hAnsi="Lato"/>
          <w:b/>
          <w:bCs/>
          <w:sz w:val="20"/>
          <w:szCs w:val="20"/>
        </w:rPr>
        <w:t xml:space="preserve">Ocenę udziału </w:t>
      </w:r>
      <w:r w:rsidR="00D35039">
        <w:rPr>
          <w:rFonts w:ascii="Lato" w:hAnsi="Lato"/>
          <w:b/>
          <w:bCs/>
          <w:sz w:val="20"/>
          <w:szCs w:val="20"/>
        </w:rPr>
        <w:t>komponentu krajowego</w:t>
      </w:r>
    </w:p>
    <w:p w14:paraId="621A98E5" w14:textId="03C37998" w:rsidR="003D1E50" w:rsidRDefault="003D1E50" w:rsidP="00097032">
      <w:pPr>
        <w:pStyle w:val="NormalnyWeb"/>
        <w:widowControl w:val="0"/>
        <w:spacing w:before="0" w:beforeAutospacing="0" w:after="120" w:afterAutospacing="0" w:line="360" w:lineRule="auto"/>
        <w:ind w:left="993"/>
        <w:jc w:val="both"/>
        <w:rPr>
          <w:rFonts w:ascii="Lato" w:hAnsi="Lato"/>
          <w:sz w:val="20"/>
          <w:szCs w:val="20"/>
        </w:rPr>
      </w:pPr>
      <w:r w:rsidRPr="00054889">
        <w:rPr>
          <w:rFonts w:ascii="Lato" w:hAnsi="Lato"/>
          <w:sz w:val="20"/>
          <w:szCs w:val="20"/>
        </w:rPr>
        <w:t>Wprowadzanie do kontraktów klauzul kreujących obowiązek</w:t>
      </w:r>
      <w:r w:rsidR="0060306A">
        <w:rPr>
          <w:rFonts w:ascii="Lato" w:hAnsi="Lato"/>
          <w:sz w:val="20"/>
          <w:szCs w:val="20"/>
        </w:rPr>
        <w:t xml:space="preserve"> po stronie wykonawców</w:t>
      </w:r>
      <w:r w:rsidRPr="00054889">
        <w:rPr>
          <w:rFonts w:ascii="Lato" w:hAnsi="Lato"/>
          <w:sz w:val="20"/>
          <w:szCs w:val="20"/>
        </w:rPr>
        <w:t xml:space="preserve"> raportowania poziomu </w:t>
      </w:r>
      <w:r w:rsidR="0060306A">
        <w:rPr>
          <w:rFonts w:ascii="Lato" w:hAnsi="Lato"/>
          <w:sz w:val="20"/>
          <w:szCs w:val="20"/>
        </w:rPr>
        <w:t>komponentu krajowego w łańcuchu dostaw</w:t>
      </w:r>
      <w:r w:rsidRPr="00054889">
        <w:rPr>
          <w:rFonts w:ascii="Lato" w:hAnsi="Lato"/>
          <w:sz w:val="20"/>
          <w:szCs w:val="20"/>
        </w:rPr>
        <w:t xml:space="preserve"> w wyniku realizacji zamówienia </w:t>
      </w:r>
      <w:r w:rsidRPr="00837F1F">
        <w:rPr>
          <w:rFonts w:ascii="Lato" w:hAnsi="Lato"/>
          <w:sz w:val="20"/>
          <w:szCs w:val="20"/>
        </w:rPr>
        <w:t>przy zastosowaniu wskazanej jednolitej metodyki liczenia tego wskaźnika</w:t>
      </w:r>
      <w:r w:rsidRPr="00054889">
        <w:rPr>
          <w:rFonts w:ascii="Lato" w:hAnsi="Lato"/>
          <w:sz w:val="20"/>
          <w:szCs w:val="20"/>
        </w:rPr>
        <w:t>.</w:t>
      </w:r>
      <w:r w:rsidR="004411F2">
        <w:rPr>
          <w:rFonts w:ascii="Lato" w:hAnsi="Lato"/>
          <w:sz w:val="20"/>
          <w:szCs w:val="20"/>
        </w:rPr>
        <w:t xml:space="preserve"> Taką metodykę wypracuje Główny Urząd Statystyczny na potrzeby badania komponentu krajowego na potrzeby realizacji Programu badań statystycznych Statystyki Publicznej, które będzie przeprowadzane co roku wśród przedsiębiorców. </w:t>
      </w:r>
    </w:p>
    <w:p w14:paraId="2B43A253" w14:textId="63A38FFA" w:rsidR="00472D58" w:rsidRPr="00BE0158" w:rsidRDefault="00472D58" w:rsidP="00FD2F03">
      <w:pPr>
        <w:pStyle w:val="NormalnyWeb"/>
        <w:widowControl w:val="0"/>
        <w:numPr>
          <w:ilvl w:val="1"/>
          <w:numId w:val="21"/>
        </w:numPr>
        <w:spacing w:before="0" w:beforeAutospacing="0" w:after="120" w:afterAutospacing="0" w:line="360" w:lineRule="auto"/>
        <w:ind w:left="981" w:hanging="357"/>
        <w:jc w:val="both"/>
        <w:rPr>
          <w:rFonts w:ascii="Lato" w:hAnsi="Lato"/>
          <w:b/>
          <w:bCs/>
          <w:sz w:val="20"/>
          <w:szCs w:val="20"/>
        </w:rPr>
      </w:pPr>
      <w:r>
        <w:rPr>
          <w:rFonts w:ascii="Lato" w:hAnsi="Lato"/>
          <w:b/>
          <w:bCs/>
          <w:sz w:val="20"/>
          <w:szCs w:val="20"/>
        </w:rPr>
        <w:t xml:space="preserve">Udzielanie </w:t>
      </w:r>
      <w:r w:rsidR="00206BBF">
        <w:rPr>
          <w:rFonts w:ascii="Lato" w:hAnsi="Lato"/>
          <w:b/>
          <w:bCs/>
          <w:sz w:val="20"/>
          <w:szCs w:val="20"/>
        </w:rPr>
        <w:t>z</w:t>
      </w:r>
      <w:r w:rsidRPr="00BE0158">
        <w:rPr>
          <w:rFonts w:ascii="Lato" w:hAnsi="Lato"/>
          <w:b/>
          <w:bCs/>
          <w:sz w:val="20"/>
          <w:szCs w:val="20"/>
        </w:rPr>
        <w:t>alicz</w:t>
      </w:r>
      <w:r>
        <w:rPr>
          <w:rFonts w:ascii="Lato" w:hAnsi="Lato"/>
          <w:b/>
          <w:bCs/>
          <w:sz w:val="20"/>
          <w:szCs w:val="20"/>
        </w:rPr>
        <w:t>e</w:t>
      </w:r>
      <w:r w:rsidRPr="00BE0158">
        <w:rPr>
          <w:rFonts w:ascii="Lato" w:hAnsi="Lato"/>
          <w:b/>
          <w:bCs/>
          <w:sz w:val="20"/>
          <w:szCs w:val="20"/>
        </w:rPr>
        <w:t xml:space="preserve">k </w:t>
      </w:r>
    </w:p>
    <w:p w14:paraId="55DAB159" w14:textId="660A0D59" w:rsidR="00472D58" w:rsidRPr="00054889" w:rsidRDefault="00472D58" w:rsidP="0060306A">
      <w:pPr>
        <w:pStyle w:val="NormalnyWeb"/>
        <w:widowControl w:val="0"/>
        <w:spacing w:before="0" w:beforeAutospacing="0" w:after="120" w:afterAutospacing="0" w:line="360" w:lineRule="auto"/>
        <w:ind w:left="964"/>
        <w:jc w:val="both"/>
        <w:rPr>
          <w:rFonts w:ascii="Lato" w:hAnsi="Lato"/>
          <w:sz w:val="20"/>
          <w:szCs w:val="20"/>
        </w:rPr>
      </w:pPr>
      <w:r>
        <w:rPr>
          <w:rFonts w:ascii="Lato" w:hAnsi="Lato"/>
          <w:sz w:val="20"/>
          <w:szCs w:val="20"/>
        </w:rPr>
        <w:t>S</w:t>
      </w:r>
      <w:r w:rsidRPr="00472D58">
        <w:rPr>
          <w:rFonts w:ascii="Lato" w:hAnsi="Lato"/>
          <w:sz w:val="20"/>
          <w:szCs w:val="20"/>
        </w:rPr>
        <w:t xml:space="preserve">tosowanie </w:t>
      </w:r>
      <w:r>
        <w:rPr>
          <w:rFonts w:ascii="Lato" w:hAnsi="Lato"/>
          <w:sz w:val="20"/>
          <w:szCs w:val="20"/>
        </w:rPr>
        <w:t xml:space="preserve">w kontraktach </w:t>
      </w:r>
      <w:r w:rsidRPr="00472D58">
        <w:rPr>
          <w:rFonts w:ascii="Lato" w:hAnsi="Lato"/>
          <w:sz w:val="20"/>
          <w:szCs w:val="20"/>
        </w:rPr>
        <w:t>zaliczek</w:t>
      </w:r>
      <w:r>
        <w:rPr>
          <w:rFonts w:ascii="Lato" w:hAnsi="Lato"/>
          <w:sz w:val="20"/>
          <w:szCs w:val="20"/>
        </w:rPr>
        <w:t xml:space="preserve"> </w:t>
      </w:r>
      <w:r w:rsidRPr="00472D58">
        <w:rPr>
          <w:rFonts w:ascii="Lato" w:hAnsi="Lato"/>
          <w:sz w:val="20"/>
          <w:szCs w:val="20"/>
        </w:rPr>
        <w:t xml:space="preserve">przed spełnieniem świadczenia przez wykonawcę. W tej sytuacji wykonawcy </w:t>
      </w:r>
      <w:r w:rsidR="003D5167">
        <w:rPr>
          <w:rFonts w:ascii="Lato" w:hAnsi="Lato"/>
          <w:sz w:val="20"/>
          <w:szCs w:val="20"/>
        </w:rPr>
        <w:t xml:space="preserve">powinni </w:t>
      </w:r>
      <w:r w:rsidRPr="00472D58">
        <w:rPr>
          <w:rFonts w:ascii="Lato" w:hAnsi="Lato"/>
          <w:sz w:val="20"/>
          <w:szCs w:val="20"/>
        </w:rPr>
        <w:t>w pierwszej kolejności udokumentowa</w:t>
      </w:r>
      <w:r w:rsidR="00CA4152">
        <w:rPr>
          <w:rFonts w:ascii="Lato" w:hAnsi="Lato"/>
          <w:sz w:val="20"/>
          <w:szCs w:val="20"/>
        </w:rPr>
        <w:t>ć</w:t>
      </w:r>
      <w:r w:rsidRPr="00472D58">
        <w:rPr>
          <w:rFonts w:ascii="Lato" w:hAnsi="Lato"/>
          <w:sz w:val="20"/>
          <w:szCs w:val="20"/>
        </w:rPr>
        <w:t xml:space="preserve"> rozliczenie danej zaliczki poprzez wykazanie odpowiednimi dowodami, że zaliczka została przeznaczona na realizację zamówienia aż do pełnego rozliczenia zaliczki. Zaleca się, że dopiero z chwilą rozliczenia zaliczek, zamawiający będzie mógł wypłacać poszczególne części wynagrodzenia zastrzeżonego w umowie pod warunkiem należytego wykonania przez wykonawcę poszczególnych części zamówienia.</w:t>
      </w:r>
    </w:p>
    <w:p w14:paraId="609DDD66" w14:textId="2B8C4182" w:rsidR="008D3CFA" w:rsidRPr="00054889" w:rsidRDefault="008D3CFA" w:rsidP="00097032">
      <w:pPr>
        <w:widowControl w:val="0"/>
        <w:tabs>
          <w:tab w:val="left" w:pos="1134"/>
        </w:tabs>
        <w:spacing w:after="120" w:line="360" w:lineRule="auto"/>
        <w:rPr>
          <w:rFonts w:ascii="Lato" w:hAnsi="Lato"/>
          <w:sz w:val="20"/>
          <w:szCs w:val="20"/>
        </w:rPr>
      </w:pPr>
    </w:p>
    <w:p w14:paraId="21042454" w14:textId="245F18A2" w:rsidR="003D1E50" w:rsidRPr="00054889" w:rsidRDefault="003D1E50" w:rsidP="00206BBF">
      <w:pPr>
        <w:widowControl w:val="0"/>
        <w:spacing w:after="120" w:line="360" w:lineRule="auto"/>
        <w:rPr>
          <w:rFonts w:ascii="Lato" w:hAnsi="Lato"/>
          <w:b/>
          <w:bCs/>
          <w:color w:val="156082" w:themeColor="accent1"/>
          <w:sz w:val="20"/>
          <w:szCs w:val="20"/>
        </w:rPr>
      </w:pPr>
    </w:p>
    <w:sectPr w:rsidR="003D1E50" w:rsidRPr="00054889" w:rsidSect="00342F22">
      <w:headerReference w:type="default" r:id="rId10"/>
      <w:footerReference w:type="default" r:id="rId11"/>
      <w:pgSz w:w="11906" w:h="16838"/>
      <w:pgMar w:top="851"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C5AA" w14:textId="77777777" w:rsidR="004E566E" w:rsidRDefault="004E566E" w:rsidP="003746F7">
      <w:pPr>
        <w:spacing w:after="0" w:line="240" w:lineRule="auto"/>
      </w:pPr>
      <w:r>
        <w:separator/>
      </w:r>
    </w:p>
  </w:endnote>
  <w:endnote w:type="continuationSeparator" w:id="0">
    <w:p w14:paraId="76956283" w14:textId="77777777" w:rsidR="004E566E" w:rsidRDefault="004E566E" w:rsidP="0037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A455" w14:textId="07B207BA" w:rsidR="00103924" w:rsidRDefault="00103924">
    <w:pPr>
      <w:pStyle w:val="Stopka"/>
    </w:pPr>
    <w:r>
      <w:rPr>
        <w:color w:val="156082" w:themeColor="accent1"/>
      </w:rPr>
      <w:tab/>
    </w:r>
    <w:r>
      <w:rPr>
        <w:color w:val="156082" w:themeColor="accent1"/>
      </w:rPr>
      <w:tab/>
      <w:t xml:space="preserve"> </w:t>
    </w:r>
    <w:r>
      <w:rPr>
        <w:rFonts w:asciiTheme="majorHAnsi" w:eastAsiaTheme="majorEastAsia" w:hAnsiTheme="majorHAnsi" w:cstheme="majorBidi"/>
        <w:color w:val="156082" w:themeColor="accent1"/>
        <w:sz w:val="20"/>
        <w:szCs w:val="20"/>
      </w:rPr>
      <w:t xml:space="preserve">str.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DB68" w14:textId="77777777" w:rsidR="004E566E" w:rsidRDefault="004E566E" w:rsidP="003746F7">
      <w:pPr>
        <w:spacing w:after="0" w:line="240" w:lineRule="auto"/>
      </w:pPr>
      <w:r>
        <w:separator/>
      </w:r>
    </w:p>
  </w:footnote>
  <w:footnote w:type="continuationSeparator" w:id="0">
    <w:p w14:paraId="28B38191" w14:textId="77777777" w:rsidR="004E566E" w:rsidRDefault="004E566E" w:rsidP="003746F7">
      <w:pPr>
        <w:spacing w:after="0" w:line="240" w:lineRule="auto"/>
      </w:pPr>
      <w:r>
        <w:continuationSeparator/>
      </w:r>
    </w:p>
  </w:footnote>
  <w:footnote w:id="1">
    <w:p w14:paraId="0F9F3E4B" w14:textId="77777777" w:rsidR="00103924" w:rsidRDefault="00103924" w:rsidP="00831A17">
      <w:pPr>
        <w:pStyle w:val="Tekstprzypisudolnego"/>
        <w:jc w:val="both"/>
      </w:pPr>
      <w:r w:rsidRPr="00CB7BE8">
        <w:rPr>
          <w:rStyle w:val="Odwoanieprzypisudolnego"/>
        </w:rPr>
        <w:footnoteRef/>
      </w:r>
      <w:r w:rsidRPr="00CB7BE8">
        <w:t xml:space="preserve"> </w:t>
      </w:r>
      <w:r w:rsidRPr="00CB7BE8">
        <w:rPr>
          <w:rFonts w:ascii="Lato" w:hAnsi="Lato"/>
          <w:sz w:val="18"/>
        </w:rPr>
        <w:t>Ambroziak, Ł., Arak, P., Baszczak</w:t>
      </w:r>
      <w:r w:rsidRPr="00DE300C">
        <w:rPr>
          <w:rFonts w:ascii="Lato" w:hAnsi="Lato"/>
          <w:sz w:val="18"/>
        </w:rPr>
        <w:t>, Ł., Juszczak, A., Kopiński, D., Leszczyński, P., Maj, M., Wąsiński, M. (2022),</w:t>
      </w:r>
      <w:r>
        <w:rPr>
          <w:rFonts w:ascii="Lato" w:hAnsi="Lato"/>
          <w:sz w:val="18"/>
        </w:rPr>
        <w:t xml:space="preserve"> </w:t>
      </w:r>
      <w:r w:rsidRPr="00DE300C">
        <w:rPr>
          <w:rFonts w:ascii="Lato" w:hAnsi="Lato"/>
          <w:i/>
          <w:sz w:val="18"/>
        </w:rPr>
        <w:t>Dekada bezpieczeństwa ekonomicznego. Od offshoringu do częściowego friendshoringu</w:t>
      </w:r>
      <w:r w:rsidRPr="00DE300C">
        <w:rPr>
          <w:rFonts w:ascii="Lato" w:hAnsi="Lato"/>
          <w:sz w:val="18"/>
        </w:rPr>
        <w:t>, Polski Instytut</w:t>
      </w:r>
      <w:r>
        <w:rPr>
          <w:rFonts w:ascii="Lato" w:hAnsi="Lato"/>
          <w:sz w:val="18"/>
        </w:rPr>
        <w:t xml:space="preserve"> </w:t>
      </w:r>
      <w:r w:rsidRPr="00DE300C">
        <w:rPr>
          <w:rFonts w:ascii="Lato" w:hAnsi="Lato"/>
          <w:sz w:val="18"/>
        </w:rPr>
        <w:t>Ekonomiczny, Warszawa</w:t>
      </w:r>
    </w:p>
  </w:footnote>
  <w:footnote w:id="2">
    <w:p w14:paraId="6B258841" w14:textId="77777777" w:rsidR="00103924" w:rsidRPr="00454D2D" w:rsidRDefault="00103924" w:rsidP="00831A17">
      <w:pPr>
        <w:pStyle w:val="Tekstprzypisudolnego"/>
        <w:jc w:val="both"/>
        <w:rPr>
          <w:rFonts w:ascii="Lato" w:hAnsi="Lato"/>
          <w:sz w:val="18"/>
        </w:rPr>
      </w:pPr>
      <w:r>
        <w:rPr>
          <w:rStyle w:val="Odwoanieprzypisudolnego"/>
        </w:rPr>
        <w:footnoteRef/>
      </w:r>
      <w:r>
        <w:t xml:space="preserve"> </w:t>
      </w:r>
      <w:r w:rsidRPr="00454D2D">
        <w:rPr>
          <w:rFonts w:ascii="Lato" w:hAnsi="Lato"/>
          <w:sz w:val="18"/>
        </w:rPr>
        <w:t xml:space="preserve">Komunikat </w:t>
      </w:r>
      <w:r>
        <w:rPr>
          <w:rFonts w:ascii="Lato" w:hAnsi="Lato"/>
          <w:sz w:val="18"/>
        </w:rPr>
        <w:t xml:space="preserve">KE </w:t>
      </w:r>
      <w:r w:rsidRPr="00454D2D">
        <w:rPr>
          <w:rFonts w:ascii="Lato" w:hAnsi="Lato"/>
          <w:sz w:val="18"/>
        </w:rPr>
        <w:t>w sprawie Europejskiej Strategii Bezpieczeństwa Gospodarczego: https://circabc.europa.eu/rest/download/a75f3fb8-74e3-4f05-a433-fdbf406d5de6.</w:t>
      </w:r>
    </w:p>
  </w:footnote>
  <w:footnote w:id="3">
    <w:p w14:paraId="5EDDF6AE" w14:textId="6BA8DDA0" w:rsidR="00103924" w:rsidRDefault="00103924">
      <w:pPr>
        <w:pStyle w:val="Tekstprzypisudolnego"/>
      </w:pPr>
      <w:r>
        <w:rPr>
          <w:rStyle w:val="Odwoanieprzypisudolnego"/>
        </w:rPr>
        <w:footnoteRef/>
      </w:r>
      <w:r>
        <w:t xml:space="preserve"> </w:t>
      </w:r>
      <w:r w:rsidRPr="00D62FF3">
        <w:t>https://commission.europa.eu/topics/competitiveness/draghi-report_en</w:t>
      </w:r>
      <w:r>
        <w:t xml:space="preserve">. </w:t>
      </w:r>
    </w:p>
  </w:footnote>
  <w:footnote w:id="4">
    <w:p w14:paraId="230DA736" w14:textId="5201400B" w:rsidR="000B55D5" w:rsidRDefault="000B55D5" w:rsidP="00623066">
      <w:pPr>
        <w:pStyle w:val="Tekstprzypisudolnego"/>
        <w:jc w:val="both"/>
      </w:pPr>
      <w:r>
        <w:rPr>
          <w:rStyle w:val="Odwoanieprzypisudolnego"/>
        </w:rPr>
        <w:footnoteRef/>
      </w:r>
      <w:r>
        <w:t xml:space="preserve"> </w:t>
      </w:r>
      <w:r w:rsidR="00C859A0">
        <w:rPr>
          <w:rFonts w:ascii="Lato" w:hAnsi="Lato"/>
          <w:sz w:val="18"/>
          <w:szCs w:val="18"/>
        </w:rPr>
        <w:t>A</w:t>
      </w:r>
      <w:r w:rsidRPr="007D0DA7">
        <w:rPr>
          <w:rFonts w:ascii="Lato" w:hAnsi="Lato"/>
          <w:sz w:val="18"/>
          <w:szCs w:val="18"/>
        </w:rPr>
        <w:t>kronim od angielskich słów </w:t>
      </w:r>
      <w:r w:rsidRPr="007D0DA7">
        <w:rPr>
          <w:rFonts w:ascii="Lato" w:hAnsi="Lato"/>
          <w:b/>
          <w:bCs/>
          <w:sz w:val="18"/>
          <w:szCs w:val="18"/>
        </w:rPr>
        <w:t>Environmental (środowisko), Social (społeczna odpowiedzialność) i Governance (ład korporacyjny)</w:t>
      </w:r>
      <w:r w:rsidRPr="007D0DA7">
        <w:rPr>
          <w:rFonts w:ascii="Lato" w:hAnsi="Lato"/>
          <w:sz w:val="18"/>
          <w:szCs w:val="18"/>
        </w:rPr>
        <w:t>. Te trzy filary służą do oceny, czy firma działa w sposób zrównoważony i etyczny, a także do analizy jej wpływu na otoczenie i społeczeństwo. ESG jest istotnym narzędziem w ocenie zrównoważonego rozwoju przedsiębiorstw oraz ich odpowiedzialności społecznej.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43FE" w14:textId="77777777" w:rsidR="00FF3326" w:rsidRDefault="00FF3326" w:rsidP="00FF332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B26"/>
    <w:multiLevelType w:val="hybridMultilevel"/>
    <w:tmpl w:val="EFDA32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D75F9"/>
    <w:multiLevelType w:val="hybridMultilevel"/>
    <w:tmpl w:val="427E28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72980"/>
    <w:multiLevelType w:val="hybridMultilevel"/>
    <w:tmpl w:val="C116E396"/>
    <w:lvl w:ilvl="0" w:tplc="93AE0708">
      <w:start w:val="1"/>
      <w:numFmt w:val="bullet"/>
      <w:lvlText w:val=""/>
      <w:lvlJc w:val="left"/>
      <w:pPr>
        <w:tabs>
          <w:tab w:val="num" w:pos="720"/>
        </w:tabs>
        <w:ind w:left="720" w:hanging="360"/>
      </w:pPr>
      <w:rPr>
        <w:rFonts w:ascii="Symbol" w:hAnsi="Symbol" w:hint="default"/>
      </w:rPr>
    </w:lvl>
    <w:lvl w:ilvl="1" w:tplc="386C0C08" w:tentative="1">
      <w:start w:val="1"/>
      <w:numFmt w:val="bullet"/>
      <w:lvlText w:val=""/>
      <w:lvlJc w:val="left"/>
      <w:pPr>
        <w:tabs>
          <w:tab w:val="num" w:pos="1440"/>
        </w:tabs>
        <w:ind w:left="1440" w:hanging="360"/>
      </w:pPr>
      <w:rPr>
        <w:rFonts w:ascii="Symbol" w:hAnsi="Symbol" w:hint="default"/>
      </w:rPr>
    </w:lvl>
    <w:lvl w:ilvl="2" w:tplc="E5BAA0E2" w:tentative="1">
      <w:start w:val="1"/>
      <w:numFmt w:val="bullet"/>
      <w:lvlText w:val=""/>
      <w:lvlJc w:val="left"/>
      <w:pPr>
        <w:tabs>
          <w:tab w:val="num" w:pos="2160"/>
        </w:tabs>
        <w:ind w:left="2160" w:hanging="360"/>
      </w:pPr>
      <w:rPr>
        <w:rFonts w:ascii="Symbol" w:hAnsi="Symbol" w:hint="default"/>
      </w:rPr>
    </w:lvl>
    <w:lvl w:ilvl="3" w:tplc="8028F4CE" w:tentative="1">
      <w:start w:val="1"/>
      <w:numFmt w:val="bullet"/>
      <w:lvlText w:val=""/>
      <w:lvlJc w:val="left"/>
      <w:pPr>
        <w:tabs>
          <w:tab w:val="num" w:pos="2880"/>
        </w:tabs>
        <w:ind w:left="2880" w:hanging="360"/>
      </w:pPr>
      <w:rPr>
        <w:rFonts w:ascii="Symbol" w:hAnsi="Symbol" w:hint="default"/>
      </w:rPr>
    </w:lvl>
    <w:lvl w:ilvl="4" w:tplc="2F4A9982" w:tentative="1">
      <w:start w:val="1"/>
      <w:numFmt w:val="bullet"/>
      <w:lvlText w:val=""/>
      <w:lvlJc w:val="left"/>
      <w:pPr>
        <w:tabs>
          <w:tab w:val="num" w:pos="3600"/>
        </w:tabs>
        <w:ind w:left="3600" w:hanging="360"/>
      </w:pPr>
      <w:rPr>
        <w:rFonts w:ascii="Symbol" w:hAnsi="Symbol" w:hint="default"/>
      </w:rPr>
    </w:lvl>
    <w:lvl w:ilvl="5" w:tplc="B6CAFF76" w:tentative="1">
      <w:start w:val="1"/>
      <w:numFmt w:val="bullet"/>
      <w:lvlText w:val=""/>
      <w:lvlJc w:val="left"/>
      <w:pPr>
        <w:tabs>
          <w:tab w:val="num" w:pos="4320"/>
        </w:tabs>
        <w:ind w:left="4320" w:hanging="360"/>
      </w:pPr>
      <w:rPr>
        <w:rFonts w:ascii="Symbol" w:hAnsi="Symbol" w:hint="default"/>
      </w:rPr>
    </w:lvl>
    <w:lvl w:ilvl="6" w:tplc="20BAC996" w:tentative="1">
      <w:start w:val="1"/>
      <w:numFmt w:val="bullet"/>
      <w:lvlText w:val=""/>
      <w:lvlJc w:val="left"/>
      <w:pPr>
        <w:tabs>
          <w:tab w:val="num" w:pos="5040"/>
        </w:tabs>
        <w:ind w:left="5040" w:hanging="360"/>
      </w:pPr>
      <w:rPr>
        <w:rFonts w:ascii="Symbol" w:hAnsi="Symbol" w:hint="default"/>
      </w:rPr>
    </w:lvl>
    <w:lvl w:ilvl="7" w:tplc="FAF071A8" w:tentative="1">
      <w:start w:val="1"/>
      <w:numFmt w:val="bullet"/>
      <w:lvlText w:val=""/>
      <w:lvlJc w:val="left"/>
      <w:pPr>
        <w:tabs>
          <w:tab w:val="num" w:pos="5760"/>
        </w:tabs>
        <w:ind w:left="5760" w:hanging="360"/>
      </w:pPr>
      <w:rPr>
        <w:rFonts w:ascii="Symbol" w:hAnsi="Symbol" w:hint="default"/>
      </w:rPr>
    </w:lvl>
    <w:lvl w:ilvl="8" w:tplc="A82E833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01534A"/>
    <w:multiLevelType w:val="hybridMultilevel"/>
    <w:tmpl w:val="1E1A2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A6DD6"/>
    <w:multiLevelType w:val="multilevel"/>
    <w:tmpl w:val="3396541C"/>
    <w:lvl w:ilvl="0">
      <w:start w:val="12"/>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90153"/>
    <w:multiLevelType w:val="hybridMultilevel"/>
    <w:tmpl w:val="DE7265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DF45AE"/>
    <w:multiLevelType w:val="hybridMultilevel"/>
    <w:tmpl w:val="ABD0D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275AE"/>
    <w:multiLevelType w:val="multilevel"/>
    <w:tmpl w:val="B122F58E"/>
    <w:lvl w:ilvl="0">
      <w:start w:val="9"/>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8C559E"/>
    <w:multiLevelType w:val="multilevel"/>
    <w:tmpl w:val="4CF48F70"/>
    <w:lvl w:ilvl="0">
      <w:start w:val="1"/>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84991"/>
    <w:multiLevelType w:val="multilevel"/>
    <w:tmpl w:val="EF0E6F1E"/>
    <w:lvl w:ilvl="0">
      <w:start w:val="3"/>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9E625A"/>
    <w:multiLevelType w:val="multilevel"/>
    <w:tmpl w:val="3EF0E41C"/>
    <w:lvl w:ilvl="0">
      <w:start w:val="3"/>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C417FA"/>
    <w:multiLevelType w:val="multilevel"/>
    <w:tmpl w:val="018A527C"/>
    <w:lvl w:ilvl="0">
      <w:start w:val="10"/>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07B6E"/>
    <w:multiLevelType w:val="multilevel"/>
    <w:tmpl w:val="0DBAF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7F11"/>
    <w:multiLevelType w:val="multilevel"/>
    <w:tmpl w:val="7678510C"/>
    <w:lvl w:ilvl="0">
      <w:start w:val="1"/>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6662C3"/>
    <w:multiLevelType w:val="multilevel"/>
    <w:tmpl w:val="257A4528"/>
    <w:lvl w:ilvl="0">
      <w:start w:val="8"/>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1A2D2E"/>
    <w:multiLevelType w:val="hybridMultilevel"/>
    <w:tmpl w:val="D222FC26"/>
    <w:lvl w:ilvl="0" w:tplc="CF3E1DA4">
      <w:start w:val="1"/>
      <w:numFmt w:val="bullet"/>
      <w:lvlText w:val=""/>
      <w:lvlJc w:val="left"/>
      <w:pPr>
        <w:tabs>
          <w:tab w:val="num" w:pos="720"/>
        </w:tabs>
        <w:ind w:left="720" w:hanging="360"/>
      </w:pPr>
      <w:rPr>
        <w:rFonts w:ascii="Symbol" w:hAnsi="Symbol" w:hint="default"/>
      </w:rPr>
    </w:lvl>
    <w:lvl w:ilvl="1" w:tplc="7866647A" w:tentative="1">
      <w:start w:val="1"/>
      <w:numFmt w:val="bullet"/>
      <w:lvlText w:val=""/>
      <w:lvlJc w:val="left"/>
      <w:pPr>
        <w:tabs>
          <w:tab w:val="num" w:pos="1440"/>
        </w:tabs>
        <w:ind w:left="1440" w:hanging="360"/>
      </w:pPr>
      <w:rPr>
        <w:rFonts w:ascii="Symbol" w:hAnsi="Symbol" w:hint="default"/>
      </w:rPr>
    </w:lvl>
    <w:lvl w:ilvl="2" w:tplc="F092BAE6" w:tentative="1">
      <w:start w:val="1"/>
      <w:numFmt w:val="bullet"/>
      <w:lvlText w:val=""/>
      <w:lvlJc w:val="left"/>
      <w:pPr>
        <w:tabs>
          <w:tab w:val="num" w:pos="2160"/>
        </w:tabs>
        <w:ind w:left="2160" w:hanging="360"/>
      </w:pPr>
      <w:rPr>
        <w:rFonts w:ascii="Symbol" w:hAnsi="Symbol" w:hint="default"/>
      </w:rPr>
    </w:lvl>
    <w:lvl w:ilvl="3" w:tplc="7A90534C" w:tentative="1">
      <w:start w:val="1"/>
      <w:numFmt w:val="bullet"/>
      <w:lvlText w:val=""/>
      <w:lvlJc w:val="left"/>
      <w:pPr>
        <w:tabs>
          <w:tab w:val="num" w:pos="2880"/>
        </w:tabs>
        <w:ind w:left="2880" w:hanging="360"/>
      </w:pPr>
      <w:rPr>
        <w:rFonts w:ascii="Symbol" w:hAnsi="Symbol" w:hint="default"/>
      </w:rPr>
    </w:lvl>
    <w:lvl w:ilvl="4" w:tplc="DD5CB9C4" w:tentative="1">
      <w:start w:val="1"/>
      <w:numFmt w:val="bullet"/>
      <w:lvlText w:val=""/>
      <w:lvlJc w:val="left"/>
      <w:pPr>
        <w:tabs>
          <w:tab w:val="num" w:pos="3600"/>
        </w:tabs>
        <w:ind w:left="3600" w:hanging="360"/>
      </w:pPr>
      <w:rPr>
        <w:rFonts w:ascii="Symbol" w:hAnsi="Symbol" w:hint="default"/>
      </w:rPr>
    </w:lvl>
    <w:lvl w:ilvl="5" w:tplc="44527C12" w:tentative="1">
      <w:start w:val="1"/>
      <w:numFmt w:val="bullet"/>
      <w:lvlText w:val=""/>
      <w:lvlJc w:val="left"/>
      <w:pPr>
        <w:tabs>
          <w:tab w:val="num" w:pos="4320"/>
        </w:tabs>
        <w:ind w:left="4320" w:hanging="360"/>
      </w:pPr>
      <w:rPr>
        <w:rFonts w:ascii="Symbol" w:hAnsi="Symbol" w:hint="default"/>
      </w:rPr>
    </w:lvl>
    <w:lvl w:ilvl="6" w:tplc="393E6D28" w:tentative="1">
      <w:start w:val="1"/>
      <w:numFmt w:val="bullet"/>
      <w:lvlText w:val=""/>
      <w:lvlJc w:val="left"/>
      <w:pPr>
        <w:tabs>
          <w:tab w:val="num" w:pos="5040"/>
        </w:tabs>
        <w:ind w:left="5040" w:hanging="360"/>
      </w:pPr>
      <w:rPr>
        <w:rFonts w:ascii="Symbol" w:hAnsi="Symbol" w:hint="default"/>
      </w:rPr>
    </w:lvl>
    <w:lvl w:ilvl="7" w:tplc="FF646E60" w:tentative="1">
      <w:start w:val="1"/>
      <w:numFmt w:val="bullet"/>
      <w:lvlText w:val=""/>
      <w:lvlJc w:val="left"/>
      <w:pPr>
        <w:tabs>
          <w:tab w:val="num" w:pos="5760"/>
        </w:tabs>
        <w:ind w:left="5760" w:hanging="360"/>
      </w:pPr>
      <w:rPr>
        <w:rFonts w:ascii="Symbol" w:hAnsi="Symbol" w:hint="default"/>
      </w:rPr>
    </w:lvl>
    <w:lvl w:ilvl="8" w:tplc="F35220B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B120FF"/>
    <w:multiLevelType w:val="multilevel"/>
    <w:tmpl w:val="60E0CEE8"/>
    <w:lvl w:ilvl="0">
      <w:start w:val="11"/>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554DED"/>
    <w:multiLevelType w:val="multilevel"/>
    <w:tmpl w:val="AAF2A220"/>
    <w:lvl w:ilvl="0">
      <w:start w:val="1"/>
      <w:numFmt w:val="upperRoman"/>
      <w:lvlText w:val="%1."/>
      <w:lvlJc w:val="right"/>
      <w:pPr>
        <w:ind w:left="720" w:hanging="360"/>
      </w:pPr>
      <w:rPr>
        <w:rFonts w:hint="default"/>
        <w:b/>
        <w:bCs/>
        <w:sz w:val="20"/>
        <w:szCs w:val="20"/>
      </w:rPr>
    </w:lvl>
    <w:lvl w:ilvl="1">
      <w:start w:val="1"/>
      <w:numFmt w:val="decimal"/>
      <w:lvlText w:val="%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9062E"/>
    <w:multiLevelType w:val="multilevel"/>
    <w:tmpl w:val="1C4ACD66"/>
    <w:lvl w:ilvl="0">
      <w:start w:val="7"/>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385CAA"/>
    <w:multiLevelType w:val="hybridMultilevel"/>
    <w:tmpl w:val="3E6053BE"/>
    <w:lvl w:ilvl="0" w:tplc="F1C23500">
      <w:start w:val="1"/>
      <w:numFmt w:val="bullet"/>
      <w:lvlText w:val=""/>
      <w:lvlJc w:val="left"/>
      <w:pPr>
        <w:tabs>
          <w:tab w:val="num" w:pos="720"/>
        </w:tabs>
        <w:ind w:left="720" w:hanging="360"/>
      </w:pPr>
      <w:rPr>
        <w:rFonts w:ascii="Symbol" w:hAnsi="Symbol" w:hint="default"/>
      </w:rPr>
    </w:lvl>
    <w:lvl w:ilvl="1" w:tplc="938CE7D4" w:tentative="1">
      <w:start w:val="1"/>
      <w:numFmt w:val="bullet"/>
      <w:lvlText w:val=""/>
      <w:lvlJc w:val="left"/>
      <w:pPr>
        <w:tabs>
          <w:tab w:val="num" w:pos="1440"/>
        </w:tabs>
        <w:ind w:left="1440" w:hanging="360"/>
      </w:pPr>
      <w:rPr>
        <w:rFonts w:ascii="Symbol" w:hAnsi="Symbol" w:hint="default"/>
      </w:rPr>
    </w:lvl>
    <w:lvl w:ilvl="2" w:tplc="305200A6" w:tentative="1">
      <w:start w:val="1"/>
      <w:numFmt w:val="bullet"/>
      <w:lvlText w:val=""/>
      <w:lvlJc w:val="left"/>
      <w:pPr>
        <w:tabs>
          <w:tab w:val="num" w:pos="2160"/>
        </w:tabs>
        <w:ind w:left="2160" w:hanging="360"/>
      </w:pPr>
      <w:rPr>
        <w:rFonts w:ascii="Symbol" w:hAnsi="Symbol" w:hint="default"/>
      </w:rPr>
    </w:lvl>
    <w:lvl w:ilvl="3" w:tplc="61CAD7B6" w:tentative="1">
      <w:start w:val="1"/>
      <w:numFmt w:val="bullet"/>
      <w:lvlText w:val=""/>
      <w:lvlJc w:val="left"/>
      <w:pPr>
        <w:tabs>
          <w:tab w:val="num" w:pos="2880"/>
        </w:tabs>
        <w:ind w:left="2880" w:hanging="360"/>
      </w:pPr>
      <w:rPr>
        <w:rFonts w:ascii="Symbol" w:hAnsi="Symbol" w:hint="default"/>
      </w:rPr>
    </w:lvl>
    <w:lvl w:ilvl="4" w:tplc="EFF06962" w:tentative="1">
      <w:start w:val="1"/>
      <w:numFmt w:val="bullet"/>
      <w:lvlText w:val=""/>
      <w:lvlJc w:val="left"/>
      <w:pPr>
        <w:tabs>
          <w:tab w:val="num" w:pos="3600"/>
        </w:tabs>
        <w:ind w:left="3600" w:hanging="360"/>
      </w:pPr>
      <w:rPr>
        <w:rFonts w:ascii="Symbol" w:hAnsi="Symbol" w:hint="default"/>
      </w:rPr>
    </w:lvl>
    <w:lvl w:ilvl="5" w:tplc="553A0934" w:tentative="1">
      <w:start w:val="1"/>
      <w:numFmt w:val="bullet"/>
      <w:lvlText w:val=""/>
      <w:lvlJc w:val="left"/>
      <w:pPr>
        <w:tabs>
          <w:tab w:val="num" w:pos="4320"/>
        </w:tabs>
        <w:ind w:left="4320" w:hanging="360"/>
      </w:pPr>
      <w:rPr>
        <w:rFonts w:ascii="Symbol" w:hAnsi="Symbol" w:hint="default"/>
      </w:rPr>
    </w:lvl>
    <w:lvl w:ilvl="6" w:tplc="6330A346" w:tentative="1">
      <w:start w:val="1"/>
      <w:numFmt w:val="bullet"/>
      <w:lvlText w:val=""/>
      <w:lvlJc w:val="left"/>
      <w:pPr>
        <w:tabs>
          <w:tab w:val="num" w:pos="5040"/>
        </w:tabs>
        <w:ind w:left="5040" w:hanging="360"/>
      </w:pPr>
      <w:rPr>
        <w:rFonts w:ascii="Symbol" w:hAnsi="Symbol" w:hint="default"/>
      </w:rPr>
    </w:lvl>
    <w:lvl w:ilvl="7" w:tplc="4C1E9C9E" w:tentative="1">
      <w:start w:val="1"/>
      <w:numFmt w:val="bullet"/>
      <w:lvlText w:val=""/>
      <w:lvlJc w:val="left"/>
      <w:pPr>
        <w:tabs>
          <w:tab w:val="num" w:pos="5760"/>
        </w:tabs>
        <w:ind w:left="5760" w:hanging="360"/>
      </w:pPr>
      <w:rPr>
        <w:rFonts w:ascii="Symbol" w:hAnsi="Symbol" w:hint="default"/>
      </w:rPr>
    </w:lvl>
    <w:lvl w:ilvl="8" w:tplc="02E69FE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CEA040C"/>
    <w:multiLevelType w:val="hybridMultilevel"/>
    <w:tmpl w:val="BFDE1B10"/>
    <w:lvl w:ilvl="0" w:tplc="9D3C92C8">
      <w:start w:val="1"/>
      <w:numFmt w:val="bullet"/>
      <w:lvlText w:val=""/>
      <w:lvlJc w:val="left"/>
      <w:pPr>
        <w:tabs>
          <w:tab w:val="num" w:pos="720"/>
        </w:tabs>
        <w:ind w:left="720" w:hanging="360"/>
      </w:pPr>
      <w:rPr>
        <w:rFonts w:ascii="Symbol" w:hAnsi="Symbol" w:hint="default"/>
      </w:rPr>
    </w:lvl>
    <w:lvl w:ilvl="1" w:tplc="A5B0EA72" w:tentative="1">
      <w:start w:val="1"/>
      <w:numFmt w:val="bullet"/>
      <w:lvlText w:val=""/>
      <w:lvlJc w:val="left"/>
      <w:pPr>
        <w:tabs>
          <w:tab w:val="num" w:pos="1440"/>
        </w:tabs>
        <w:ind w:left="1440" w:hanging="360"/>
      </w:pPr>
      <w:rPr>
        <w:rFonts w:ascii="Symbol" w:hAnsi="Symbol" w:hint="default"/>
      </w:rPr>
    </w:lvl>
    <w:lvl w:ilvl="2" w:tplc="BCAA5F70" w:tentative="1">
      <w:start w:val="1"/>
      <w:numFmt w:val="bullet"/>
      <w:lvlText w:val=""/>
      <w:lvlJc w:val="left"/>
      <w:pPr>
        <w:tabs>
          <w:tab w:val="num" w:pos="2160"/>
        </w:tabs>
        <w:ind w:left="2160" w:hanging="360"/>
      </w:pPr>
      <w:rPr>
        <w:rFonts w:ascii="Symbol" w:hAnsi="Symbol" w:hint="default"/>
      </w:rPr>
    </w:lvl>
    <w:lvl w:ilvl="3" w:tplc="CF740AE0" w:tentative="1">
      <w:start w:val="1"/>
      <w:numFmt w:val="bullet"/>
      <w:lvlText w:val=""/>
      <w:lvlJc w:val="left"/>
      <w:pPr>
        <w:tabs>
          <w:tab w:val="num" w:pos="2880"/>
        </w:tabs>
        <w:ind w:left="2880" w:hanging="360"/>
      </w:pPr>
      <w:rPr>
        <w:rFonts w:ascii="Symbol" w:hAnsi="Symbol" w:hint="default"/>
      </w:rPr>
    </w:lvl>
    <w:lvl w:ilvl="4" w:tplc="77D0010C" w:tentative="1">
      <w:start w:val="1"/>
      <w:numFmt w:val="bullet"/>
      <w:lvlText w:val=""/>
      <w:lvlJc w:val="left"/>
      <w:pPr>
        <w:tabs>
          <w:tab w:val="num" w:pos="3600"/>
        </w:tabs>
        <w:ind w:left="3600" w:hanging="360"/>
      </w:pPr>
      <w:rPr>
        <w:rFonts w:ascii="Symbol" w:hAnsi="Symbol" w:hint="default"/>
      </w:rPr>
    </w:lvl>
    <w:lvl w:ilvl="5" w:tplc="61A0CD24" w:tentative="1">
      <w:start w:val="1"/>
      <w:numFmt w:val="bullet"/>
      <w:lvlText w:val=""/>
      <w:lvlJc w:val="left"/>
      <w:pPr>
        <w:tabs>
          <w:tab w:val="num" w:pos="4320"/>
        </w:tabs>
        <w:ind w:left="4320" w:hanging="360"/>
      </w:pPr>
      <w:rPr>
        <w:rFonts w:ascii="Symbol" w:hAnsi="Symbol" w:hint="default"/>
      </w:rPr>
    </w:lvl>
    <w:lvl w:ilvl="6" w:tplc="5F523684" w:tentative="1">
      <w:start w:val="1"/>
      <w:numFmt w:val="bullet"/>
      <w:lvlText w:val=""/>
      <w:lvlJc w:val="left"/>
      <w:pPr>
        <w:tabs>
          <w:tab w:val="num" w:pos="5040"/>
        </w:tabs>
        <w:ind w:left="5040" w:hanging="360"/>
      </w:pPr>
      <w:rPr>
        <w:rFonts w:ascii="Symbol" w:hAnsi="Symbol" w:hint="default"/>
      </w:rPr>
    </w:lvl>
    <w:lvl w:ilvl="7" w:tplc="C3A0780A" w:tentative="1">
      <w:start w:val="1"/>
      <w:numFmt w:val="bullet"/>
      <w:lvlText w:val=""/>
      <w:lvlJc w:val="left"/>
      <w:pPr>
        <w:tabs>
          <w:tab w:val="num" w:pos="5760"/>
        </w:tabs>
        <w:ind w:left="5760" w:hanging="360"/>
      </w:pPr>
      <w:rPr>
        <w:rFonts w:ascii="Symbol" w:hAnsi="Symbol" w:hint="default"/>
      </w:rPr>
    </w:lvl>
    <w:lvl w:ilvl="8" w:tplc="A6A0D3D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B04263"/>
    <w:multiLevelType w:val="multilevel"/>
    <w:tmpl w:val="C2B8932C"/>
    <w:lvl w:ilvl="0">
      <w:start w:val="6"/>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0646F4"/>
    <w:multiLevelType w:val="multilevel"/>
    <w:tmpl w:val="A1DC0DCE"/>
    <w:lvl w:ilvl="0">
      <w:start w:val="4"/>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A34BEB"/>
    <w:multiLevelType w:val="multilevel"/>
    <w:tmpl w:val="BA4690B8"/>
    <w:lvl w:ilvl="0">
      <w:start w:val="5"/>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E050A5"/>
    <w:multiLevelType w:val="multilevel"/>
    <w:tmpl w:val="6A48D1DE"/>
    <w:lvl w:ilvl="0">
      <w:start w:val="1"/>
      <w:numFmt w:val="upperRoman"/>
      <w:pStyle w:val="podrozdzial"/>
      <w:lvlText w:val="%1."/>
      <w:lvlJc w:val="right"/>
      <w:pPr>
        <w:ind w:left="720" w:hanging="360"/>
      </w:pPr>
      <w:rPr>
        <w:rFonts w:hint="default"/>
      </w:rPr>
    </w:lvl>
    <w:lvl w:ilvl="1">
      <w:start w:val="1"/>
      <w:numFmt w:val="decimal"/>
      <w:lvlText w:val="%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B26326"/>
    <w:multiLevelType w:val="hybridMultilevel"/>
    <w:tmpl w:val="CDAA80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911F0D"/>
    <w:multiLevelType w:val="hybridMultilevel"/>
    <w:tmpl w:val="D9702D22"/>
    <w:lvl w:ilvl="0" w:tplc="F0E66240">
      <w:start w:val="1"/>
      <w:numFmt w:val="bullet"/>
      <w:lvlText w:val=""/>
      <w:lvlJc w:val="left"/>
      <w:pPr>
        <w:tabs>
          <w:tab w:val="num" w:pos="720"/>
        </w:tabs>
        <w:ind w:left="720" w:hanging="360"/>
      </w:pPr>
      <w:rPr>
        <w:rFonts w:ascii="Symbol" w:hAnsi="Symbol" w:hint="default"/>
      </w:rPr>
    </w:lvl>
    <w:lvl w:ilvl="1" w:tplc="CAEE9B2E" w:tentative="1">
      <w:start w:val="1"/>
      <w:numFmt w:val="bullet"/>
      <w:lvlText w:val=""/>
      <w:lvlJc w:val="left"/>
      <w:pPr>
        <w:tabs>
          <w:tab w:val="num" w:pos="1440"/>
        </w:tabs>
        <w:ind w:left="1440" w:hanging="360"/>
      </w:pPr>
      <w:rPr>
        <w:rFonts w:ascii="Symbol" w:hAnsi="Symbol" w:hint="default"/>
      </w:rPr>
    </w:lvl>
    <w:lvl w:ilvl="2" w:tplc="E3409438" w:tentative="1">
      <w:start w:val="1"/>
      <w:numFmt w:val="bullet"/>
      <w:lvlText w:val=""/>
      <w:lvlJc w:val="left"/>
      <w:pPr>
        <w:tabs>
          <w:tab w:val="num" w:pos="2160"/>
        </w:tabs>
        <w:ind w:left="2160" w:hanging="360"/>
      </w:pPr>
      <w:rPr>
        <w:rFonts w:ascii="Symbol" w:hAnsi="Symbol" w:hint="default"/>
      </w:rPr>
    </w:lvl>
    <w:lvl w:ilvl="3" w:tplc="BA1C7326" w:tentative="1">
      <w:start w:val="1"/>
      <w:numFmt w:val="bullet"/>
      <w:lvlText w:val=""/>
      <w:lvlJc w:val="left"/>
      <w:pPr>
        <w:tabs>
          <w:tab w:val="num" w:pos="2880"/>
        </w:tabs>
        <w:ind w:left="2880" w:hanging="360"/>
      </w:pPr>
      <w:rPr>
        <w:rFonts w:ascii="Symbol" w:hAnsi="Symbol" w:hint="default"/>
      </w:rPr>
    </w:lvl>
    <w:lvl w:ilvl="4" w:tplc="EB8E3E6C" w:tentative="1">
      <w:start w:val="1"/>
      <w:numFmt w:val="bullet"/>
      <w:lvlText w:val=""/>
      <w:lvlJc w:val="left"/>
      <w:pPr>
        <w:tabs>
          <w:tab w:val="num" w:pos="3600"/>
        </w:tabs>
        <w:ind w:left="3600" w:hanging="360"/>
      </w:pPr>
      <w:rPr>
        <w:rFonts w:ascii="Symbol" w:hAnsi="Symbol" w:hint="default"/>
      </w:rPr>
    </w:lvl>
    <w:lvl w:ilvl="5" w:tplc="FF7A87B4" w:tentative="1">
      <w:start w:val="1"/>
      <w:numFmt w:val="bullet"/>
      <w:lvlText w:val=""/>
      <w:lvlJc w:val="left"/>
      <w:pPr>
        <w:tabs>
          <w:tab w:val="num" w:pos="4320"/>
        </w:tabs>
        <w:ind w:left="4320" w:hanging="360"/>
      </w:pPr>
      <w:rPr>
        <w:rFonts w:ascii="Symbol" w:hAnsi="Symbol" w:hint="default"/>
      </w:rPr>
    </w:lvl>
    <w:lvl w:ilvl="6" w:tplc="963E4706" w:tentative="1">
      <w:start w:val="1"/>
      <w:numFmt w:val="bullet"/>
      <w:lvlText w:val=""/>
      <w:lvlJc w:val="left"/>
      <w:pPr>
        <w:tabs>
          <w:tab w:val="num" w:pos="5040"/>
        </w:tabs>
        <w:ind w:left="5040" w:hanging="360"/>
      </w:pPr>
      <w:rPr>
        <w:rFonts w:ascii="Symbol" w:hAnsi="Symbol" w:hint="default"/>
      </w:rPr>
    </w:lvl>
    <w:lvl w:ilvl="7" w:tplc="2BF4AA5A" w:tentative="1">
      <w:start w:val="1"/>
      <w:numFmt w:val="bullet"/>
      <w:lvlText w:val=""/>
      <w:lvlJc w:val="left"/>
      <w:pPr>
        <w:tabs>
          <w:tab w:val="num" w:pos="5760"/>
        </w:tabs>
        <w:ind w:left="5760" w:hanging="360"/>
      </w:pPr>
      <w:rPr>
        <w:rFonts w:ascii="Symbol" w:hAnsi="Symbol" w:hint="default"/>
      </w:rPr>
    </w:lvl>
    <w:lvl w:ilvl="8" w:tplc="DA1A9BA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8473DB4"/>
    <w:multiLevelType w:val="multilevel"/>
    <w:tmpl w:val="B3148F56"/>
    <w:lvl w:ilvl="0">
      <w:start w:val="6"/>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192939"/>
    <w:multiLevelType w:val="multilevel"/>
    <w:tmpl w:val="84DA39C6"/>
    <w:lvl w:ilvl="0">
      <w:start w:val="11"/>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1C766F"/>
    <w:multiLevelType w:val="hybridMultilevel"/>
    <w:tmpl w:val="48C89A24"/>
    <w:lvl w:ilvl="0" w:tplc="D7B26F10">
      <w:start w:val="1"/>
      <w:numFmt w:val="upperRoman"/>
      <w:lvlText w:val="%1."/>
      <w:lvlJc w:val="left"/>
      <w:pPr>
        <w:ind w:left="960" w:hanging="720"/>
      </w:pPr>
      <w:rPr>
        <w:rFonts w:eastAsiaTheme="minorHAnsi" w:hint="default"/>
        <w:color w:val="auto"/>
        <w:u w:val="none"/>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0" w15:restartNumberingAfterBreak="0">
    <w:nsid w:val="6A256C2B"/>
    <w:multiLevelType w:val="multilevel"/>
    <w:tmpl w:val="CC10FF7A"/>
    <w:lvl w:ilvl="0">
      <w:start w:val="1"/>
      <w:numFmt w:val="upperRoman"/>
      <w:pStyle w:val="rozdzial"/>
      <w:lvlText w:val="%1."/>
      <w:lvlJc w:val="left"/>
      <w:pPr>
        <w:ind w:left="1080" w:hanging="720"/>
      </w:pPr>
      <w:rPr>
        <w:rFonts w:hint="default"/>
        <w:sz w:val="24"/>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6A9F1680"/>
    <w:multiLevelType w:val="multilevel"/>
    <w:tmpl w:val="8B0478F8"/>
    <w:lvl w:ilvl="0">
      <w:start w:val="8"/>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0A67C3"/>
    <w:multiLevelType w:val="hybridMultilevel"/>
    <w:tmpl w:val="F2568590"/>
    <w:lvl w:ilvl="0" w:tplc="6C1E49D0">
      <w:start w:val="1"/>
      <w:numFmt w:val="decimal"/>
      <w:lvlText w:val="%1)"/>
      <w:lvlJc w:val="left"/>
      <w:pPr>
        <w:ind w:left="1068" w:hanging="360"/>
      </w:pPr>
      <w:rPr>
        <w:rFonts w:hint="default"/>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08A3F9C"/>
    <w:multiLevelType w:val="multilevel"/>
    <w:tmpl w:val="9FC6F174"/>
    <w:lvl w:ilvl="0">
      <w:start w:val="4"/>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E65B6E"/>
    <w:multiLevelType w:val="multilevel"/>
    <w:tmpl w:val="358E19B4"/>
    <w:lvl w:ilvl="0">
      <w:start w:val="5"/>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515926"/>
    <w:multiLevelType w:val="multilevel"/>
    <w:tmpl w:val="B24A5F38"/>
    <w:lvl w:ilvl="0">
      <w:start w:val="9"/>
      <w:numFmt w:val="upperRoman"/>
      <w:lvlText w:val="%1."/>
      <w:lvlJc w:val="right"/>
      <w:pPr>
        <w:ind w:left="720" w:hanging="360"/>
      </w:pPr>
      <w:rPr>
        <w:rFonts w:hint="default"/>
        <w:b/>
        <w:bCs/>
        <w:sz w:val="20"/>
        <w:szCs w:val="20"/>
      </w:rPr>
    </w:lvl>
    <w:lvl w:ilvl="1">
      <w:start w:val="1"/>
      <w:numFmt w:val="decimal"/>
      <w:lvlText w:val="%2."/>
      <w:lvlJc w:val="left"/>
      <w:pPr>
        <w:ind w:left="360" w:hanging="360"/>
      </w:pPr>
      <w:rPr>
        <w:rFonts w:ascii="Lato" w:hAnsi="Lato" w:cs="Calibri"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CE7CE5"/>
    <w:multiLevelType w:val="hybridMultilevel"/>
    <w:tmpl w:val="6A42FF5A"/>
    <w:lvl w:ilvl="0" w:tplc="B8D205F2">
      <w:start w:val="1"/>
      <w:numFmt w:val="bullet"/>
      <w:lvlText w:val=""/>
      <w:lvlJc w:val="left"/>
      <w:pPr>
        <w:tabs>
          <w:tab w:val="num" w:pos="720"/>
        </w:tabs>
        <w:ind w:left="720" w:hanging="360"/>
      </w:pPr>
      <w:rPr>
        <w:rFonts w:ascii="Symbol" w:hAnsi="Symbol" w:hint="default"/>
      </w:rPr>
    </w:lvl>
    <w:lvl w:ilvl="1" w:tplc="8E665056" w:tentative="1">
      <w:start w:val="1"/>
      <w:numFmt w:val="bullet"/>
      <w:lvlText w:val=""/>
      <w:lvlJc w:val="left"/>
      <w:pPr>
        <w:tabs>
          <w:tab w:val="num" w:pos="1440"/>
        </w:tabs>
        <w:ind w:left="1440" w:hanging="360"/>
      </w:pPr>
      <w:rPr>
        <w:rFonts w:ascii="Symbol" w:hAnsi="Symbol" w:hint="default"/>
      </w:rPr>
    </w:lvl>
    <w:lvl w:ilvl="2" w:tplc="852A1CFA" w:tentative="1">
      <w:start w:val="1"/>
      <w:numFmt w:val="bullet"/>
      <w:lvlText w:val=""/>
      <w:lvlJc w:val="left"/>
      <w:pPr>
        <w:tabs>
          <w:tab w:val="num" w:pos="2160"/>
        </w:tabs>
        <w:ind w:left="2160" w:hanging="360"/>
      </w:pPr>
      <w:rPr>
        <w:rFonts w:ascii="Symbol" w:hAnsi="Symbol" w:hint="default"/>
      </w:rPr>
    </w:lvl>
    <w:lvl w:ilvl="3" w:tplc="F0CC7C1E" w:tentative="1">
      <w:start w:val="1"/>
      <w:numFmt w:val="bullet"/>
      <w:lvlText w:val=""/>
      <w:lvlJc w:val="left"/>
      <w:pPr>
        <w:tabs>
          <w:tab w:val="num" w:pos="2880"/>
        </w:tabs>
        <w:ind w:left="2880" w:hanging="360"/>
      </w:pPr>
      <w:rPr>
        <w:rFonts w:ascii="Symbol" w:hAnsi="Symbol" w:hint="default"/>
      </w:rPr>
    </w:lvl>
    <w:lvl w:ilvl="4" w:tplc="FAD41874" w:tentative="1">
      <w:start w:val="1"/>
      <w:numFmt w:val="bullet"/>
      <w:lvlText w:val=""/>
      <w:lvlJc w:val="left"/>
      <w:pPr>
        <w:tabs>
          <w:tab w:val="num" w:pos="3600"/>
        </w:tabs>
        <w:ind w:left="3600" w:hanging="360"/>
      </w:pPr>
      <w:rPr>
        <w:rFonts w:ascii="Symbol" w:hAnsi="Symbol" w:hint="default"/>
      </w:rPr>
    </w:lvl>
    <w:lvl w:ilvl="5" w:tplc="7E54D9DE" w:tentative="1">
      <w:start w:val="1"/>
      <w:numFmt w:val="bullet"/>
      <w:lvlText w:val=""/>
      <w:lvlJc w:val="left"/>
      <w:pPr>
        <w:tabs>
          <w:tab w:val="num" w:pos="4320"/>
        </w:tabs>
        <w:ind w:left="4320" w:hanging="360"/>
      </w:pPr>
      <w:rPr>
        <w:rFonts w:ascii="Symbol" w:hAnsi="Symbol" w:hint="default"/>
      </w:rPr>
    </w:lvl>
    <w:lvl w:ilvl="6" w:tplc="B85C1574" w:tentative="1">
      <w:start w:val="1"/>
      <w:numFmt w:val="bullet"/>
      <w:lvlText w:val=""/>
      <w:lvlJc w:val="left"/>
      <w:pPr>
        <w:tabs>
          <w:tab w:val="num" w:pos="5040"/>
        </w:tabs>
        <w:ind w:left="5040" w:hanging="360"/>
      </w:pPr>
      <w:rPr>
        <w:rFonts w:ascii="Symbol" w:hAnsi="Symbol" w:hint="default"/>
      </w:rPr>
    </w:lvl>
    <w:lvl w:ilvl="7" w:tplc="7DB89A16" w:tentative="1">
      <w:start w:val="1"/>
      <w:numFmt w:val="bullet"/>
      <w:lvlText w:val=""/>
      <w:lvlJc w:val="left"/>
      <w:pPr>
        <w:tabs>
          <w:tab w:val="num" w:pos="5760"/>
        </w:tabs>
        <w:ind w:left="5760" w:hanging="360"/>
      </w:pPr>
      <w:rPr>
        <w:rFonts w:ascii="Symbol" w:hAnsi="Symbol" w:hint="default"/>
      </w:rPr>
    </w:lvl>
    <w:lvl w:ilvl="8" w:tplc="B12C526A"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BAA077A"/>
    <w:multiLevelType w:val="multilevel"/>
    <w:tmpl w:val="4356A526"/>
    <w:lvl w:ilvl="0">
      <w:start w:val="10"/>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D514B1"/>
    <w:multiLevelType w:val="multilevel"/>
    <w:tmpl w:val="44BE7E74"/>
    <w:lvl w:ilvl="0">
      <w:start w:val="7"/>
      <w:numFmt w:val="upperRoman"/>
      <w:lvlText w:val="%1."/>
      <w:lvlJc w:val="right"/>
      <w:pPr>
        <w:ind w:left="720" w:hanging="360"/>
      </w:pPr>
      <w:rPr>
        <w:rFonts w:hint="default"/>
        <w:b/>
        <w:bCs/>
        <w:sz w:val="20"/>
        <w:szCs w:val="20"/>
      </w:rPr>
    </w:lvl>
    <w:lvl w:ilvl="1">
      <w:start w:val="1"/>
      <w:numFmt w:val="decimal"/>
      <w:lvlText w:val="%2)"/>
      <w:lvlJc w:val="left"/>
      <w:pPr>
        <w:ind w:left="36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7925257">
    <w:abstractNumId w:val="30"/>
  </w:num>
  <w:num w:numId="2" w16cid:durableId="345401337">
    <w:abstractNumId w:val="12"/>
  </w:num>
  <w:num w:numId="3" w16cid:durableId="523396562">
    <w:abstractNumId w:val="24"/>
  </w:num>
  <w:num w:numId="4" w16cid:durableId="349768397">
    <w:abstractNumId w:val="0"/>
  </w:num>
  <w:num w:numId="5" w16cid:durableId="1963269221">
    <w:abstractNumId w:val="1"/>
  </w:num>
  <w:num w:numId="6" w16cid:durableId="1941453753">
    <w:abstractNumId w:val="5"/>
  </w:num>
  <w:num w:numId="7" w16cid:durableId="440611762">
    <w:abstractNumId w:val="6"/>
  </w:num>
  <w:num w:numId="8" w16cid:durableId="2122139324">
    <w:abstractNumId w:val="3"/>
  </w:num>
  <w:num w:numId="9" w16cid:durableId="1746878227">
    <w:abstractNumId w:val="25"/>
  </w:num>
  <w:num w:numId="10" w16cid:durableId="1916472495">
    <w:abstractNumId w:val="17"/>
  </w:num>
  <w:num w:numId="11" w16cid:durableId="1389450291">
    <w:abstractNumId w:val="32"/>
  </w:num>
  <w:num w:numId="12" w16cid:durableId="62920639">
    <w:abstractNumId w:val="9"/>
  </w:num>
  <w:num w:numId="13" w16cid:durableId="1235510122">
    <w:abstractNumId w:val="22"/>
  </w:num>
  <w:num w:numId="14" w16cid:durableId="2027974087">
    <w:abstractNumId w:val="34"/>
  </w:num>
  <w:num w:numId="15" w16cid:durableId="1136992938">
    <w:abstractNumId w:val="21"/>
  </w:num>
  <w:num w:numId="16" w16cid:durableId="300575198">
    <w:abstractNumId w:val="38"/>
  </w:num>
  <w:num w:numId="17" w16cid:durableId="1701198778">
    <w:abstractNumId w:val="14"/>
  </w:num>
  <w:num w:numId="18" w16cid:durableId="652023964">
    <w:abstractNumId w:val="7"/>
  </w:num>
  <w:num w:numId="19" w16cid:durableId="1727726577">
    <w:abstractNumId w:val="37"/>
  </w:num>
  <w:num w:numId="20" w16cid:durableId="334962389">
    <w:abstractNumId w:val="28"/>
  </w:num>
  <w:num w:numId="21" w16cid:durableId="1186400992">
    <w:abstractNumId w:val="4"/>
  </w:num>
  <w:num w:numId="22" w16cid:durableId="388042294">
    <w:abstractNumId w:val="26"/>
  </w:num>
  <w:num w:numId="23" w16cid:durableId="1648633457">
    <w:abstractNumId w:val="15"/>
  </w:num>
  <w:num w:numId="24" w16cid:durableId="499394009">
    <w:abstractNumId w:val="36"/>
  </w:num>
  <w:num w:numId="25" w16cid:durableId="955526153">
    <w:abstractNumId w:val="20"/>
  </w:num>
  <w:num w:numId="26" w16cid:durableId="1466509892">
    <w:abstractNumId w:val="19"/>
  </w:num>
  <w:num w:numId="27" w16cid:durableId="876239393">
    <w:abstractNumId w:val="2"/>
  </w:num>
  <w:num w:numId="28" w16cid:durableId="1933581374">
    <w:abstractNumId w:val="29"/>
  </w:num>
  <w:num w:numId="29" w16cid:durableId="1460490895">
    <w:abstractNumId w:val="8"/>
  </w:num>
  <w:num w:numId="30" w16cid:durableId="845363980">
    <w:abstractNumId w:val="13"/>
  </w:num>
  <w:num w:numId="31" w16cid:durableId="1759133163">
    <w:abstractNumId w:val="10"/>
  </w:num>
  <w:num w:numId="32" w16cid:durableId="281956928">
    <w:abstractNumId w:val="33"/>
  </w:num>
  <w:num w:numId="33" w16cid:durableId="1365137195">
    <w:abstractNumId w:val="23"/>
  </w:num>
  <w:num w:numId="34" w16cid:durableId="431509413">
    <w:abstractNumId w:val="27"/>
  </w:num>
  <w:num w:numId="35" w16cid:durableId="781069234">
    <w:abstractNumId w:val="18"/>
  </w:num>
  <w:num w:numId="36" w16cid:durableId="1381972808">
    <w:abstractNumId w:val="31"/>
  </w:num>
  <w:num w:numId="37" w16cid:durableId="1330937060">
    <w:abstractNumId w:val="35"/>
  </w:num>
  <w:num w:numId="38" w16cid:durableId="855729254">
    <w:abstractNumId w:val="11"/>
  </w:num>
  <w:num w:numId="39" w16cid:durableId="101495982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F1"/>
    <w:rsid w:val="00002D88"/>
    <w:rsid w:val="0000335F"/>
    <w:rsid w:val="000079F7"/>
    <w:rsid w:val="0001743C"/>
    <w:rsid w:val="000176D1"/>
    <w:rsid w:val="00017C29"/>
    <w:rsid w:val="00036D69"/>
    <w:rsid w:val="000403F1"/>
    <w:rsid w:val="000404DE"/>
    <w:rsid w:val="000416C5"/>
    <w:rsid w:val="00043AAC"/>
    <w:rsid w:val="00047534"/>
    <w:rsid w:val="00047B76"/>
    <w:rsid w:val="00052D3D"/>
    <w:rsid w:val="0005369B"/>
    <w:rsid w:val="00054889"/>
    <w:rsid w:val="0005698C"/>
    <w:rsid w:val="0005785E"/>
    <w:rsid w:val="00061D73"/>
    <w:rsid w:val="000706DB"/>
    <w:rsid w:val="00072566"/>
    <w:rsid w:val="00081E7F"/>
    <w:rsid w:val="00082B8E"/>
    <w:rsid w:val="00085A55"/>
    <w:rsid w:val="00091EE2"/>
    <w:rsid w:val="000922FC"/>
    <w:rsid w:val="000927AC"/>
    <w:rsid w:val="00097032"/>
    <w:rsid w:val="000A5317"/>
    <w:rsid w:val="000B163D"/>
    <w:rsid w:val="000B38C9"/>
    <w:rsid w:val="000B55D5"/>
    <w:rsid w:val="000B601C"/>
    <w:rsid w:val="000C5362"/>
    <w:rsid w:val="000C5600"/>
    <w:rsid w:val="000C662F"/>
    <w:rsid w:val="000C6A84"/>
    <w:rsid w:val="000D3C52"/>
    <w:rsid w:val="000E03B7"/>
    <w:rsid w:val="000E2374"/>
    <w:rsid w:val="000E3D1A"/>
    <w:rsid w:val="000F1B0A"/>
    <w:rsid w:val="000F48F0"/>
    <w:rsid w:val="000F541C"/>
    <w:rsid w:val="00103924"/>
    <w:rsid w:val="00104784"/>
    <w:rsid w:val="001120B2"/>
    <w:rsid w:val="00127F0D"/>
    <w:rsid w:val="00135FAD"/>
    <w:rsid w:val="00144675"/>
    <w:rsid w:val="00146EFD"/>
    <w:rsid w:val="00164048"/>
    <w:rsid w:val="00165B02"/>
    <w:rsid w:val="00170AA1"/>
    <w:rsid w:val="00174F9A"/>
    <w:rsid w:val="00190229"/>
    <w:rsid w:val="00197600"/>
    <w:rsid w:val="001A4446"/>
    <w:rsid w:val="001A7AD7"/>
    <w:rsid w:val="001B4569"/>
    <w:rsid w:val="001C4E6D"/>
    <w:rsid w:val="001C7431"/>
    <w:rsid w:val="001C751D"/>
    <w:rsid w:val="001D155E"/>
    <w:rsid w:val="001D4707"/>
    <w:rsid w:val="001D7649"/>
    <w:rsid w:val="001E6CE2"/>
    <w:rsid w:val="001F2E49"/>
    <w:rsid w:val="001F4710"/>
    <w:rsid w:val="001F514F"/>
    <w:rsid w:val="002037D2"/>
    <w:rsid w:val="00206430"/>
    <w:rsid w:val="00206BBF"/>
    <w:rsid w:val="00207D8C"/>
    <w:rsid w:val="00213777"/>
    <w:rsid w:val="00216469"/>
    <w:rsid w:val="002254EA"/>
    <w:rsid w:val="002261E3"/>
    <w:rsid w:val="002265A6"/>
    <w:rsid w:val="0022713D"/>
    <w:rsid w:val="00241EEF"/>
    <w:rsid w:val="0024520A"/>
    <w:rsid w:val="00250609"/>
    <w:rsid w:val="002526D6"/>
    <w:rsid w:val="00255BBE"/>
    <w:rsid w:val="002621DD"/>
    <w:rsid w:val="0026272A"/>
    <w:rsid w:val="00266D01"/>
    <w:rsid w:val="00267541"/>
    <w:rsid w:val="0026774E"/>
    <w:rsid w:val="002678AB"/>
    <w:rsid w:val="002678F8"/>
    <w:rsid w:val="00274A25"/>
    <w:rsid w:val="00275853"/>
    <w:rsid w:val="00281C7E"/>
    <w:rsid w:val="002846CD"/>
    <w:rsid w:val="0028516F"/>
    <w:rsid w:val="002878EA"/>
    <w:rsid w:val="00291A51"/>
    <w:rsid w:val="002A0D85"/>
    <w:rsid w:val="002A7DD3"/>
    <w:rsid w:val="002B6B1B"/>
    <w:rsid w:val="002C3CC9"/>
    <w:rsid w:val="002C41EC"/>
    <w:rsid w:val="002C44D0"/>
    <w:rsid w:val="002D1919"/>
    <w:rsid w:val="002D4D43"/>
    <w:rsid w:val="002E4AE9"/>
    <w:rsid w:val="002E4D88"/>
    <w:rsid w:val="002F195E"/>
    <w:rsid w:val="003009BF"/>
    <w:rsid w:val="00301170"/>
    <w:rsid w:val="003047D4"/>
    <w:rsid w:val="003056D7"/>
    <w:rsid w:val="00305A21"/>
    <w:rsid w:val="00305C48"/>
    <w:rsid w:val="00312BE6"/>
    <w:rsid w:val="003136D0"/>
    <w:rsid w:val="003174B6"/>
    <w:rsid w:val="003308AA"/>
    <w:rsid w:val="0033208E"/>
    <w:rsid w:val="00336063"/>
    <w:rsid w:val="00342F22"/>
    <w:rsid w:val="0034357B"/>
    <w:rsid w:val="00343BD2"/>
    <w:rsid w:val="0034539F"/>
    <w:rsid w:val="00360A3B"/>
    <w:rsid w:val="00364D5D"/>
    <w:rsid w:val="003703CA"/>
    <w:rsid w:val="003746F7"/>
    <w:rsid w:val="003766F6"/>
    <w:rsid w:val="0039332B"/>
    <w:rsid w:val="00396559"/>
    <w:rsid w:val="003A3C97"/>
    <w:rsid w:val="003A6B2A"/>
    <w:rsid w:val="003A6DBB"/>
    <w:rsid w:val="003B3B0F"/>
    <w:rsid w:val="003B6ED0"/>
    <w:rsid w:val="003B7909"/>
    <w:rsid w:val="003C043E"/>
    <w:rsid w:val="003C1C55"/>
    <w:rsid w:val="003C66DE"/>
    <w:rsid w:val="003D1E50"/>
    <w:rsid w:val="003D5167"/>
    <w:rsid w:val="003E1BBF"/>
    <w:rsid w:val="003E3EE0"/>
    <w:rsid w:val="003E7C83"/>
    <w:rsid w:val="003F423A"/>
    <w:rsid w:val="003F4AD2"/>
    <w:rsid w:val="003F58C9"/>
    <w:rsid w:val="0040075D"/>
    <w:rsid w:val="00400A42"/>
    <w:rsid w:val="0040628E"/>
    <w:rsid w:val="00406C61"/>
    <w:rsid w:val="004101F1"/>
    <w:rsid w:val="00410FA0"/>
    <w:rsid w:val="00411490"/>
    <w:rsid w:val="00413CBB"/>
    <w:rsid w:val="00421271"/>
    <w:rsid w:val="004246CF"/>
    <w:rsid w:val="0042490A"/>
    <w:rsid w:val="004266FC"/>
    <w:rsid w:val="00435162"/>
    <w:rsid w:val="00436EE1"/>
    <w:rsid w:val="00437AC1"/>
    <w:rsid w:val="004411F2"/>
    <w:rsid w:val="00447323"/>
    <w:rsid w:val="00452472"/>
    <w:rsid w:val="00460A0B"/>
    <w:rsid w:val="00464509"/>
    <w:rsid w:val="004655AD"/>
    <w:rsid w:val="0046777E"/>
    <w:rsid w:val="00472D58"/>
    <w:rsid w:val="00491148"/>
    <w:rsid w:val="004A4142"/>
    <w:rsid w:val="004A77BC"/>
    <w:rsid w:val="004B3166"/>
    <w:rsid w:val="004B46DD"/>
    <w:rsid w:val="004C0830"/>
    <w:rsid w:val="004C672C"/>
    <w:rsid w:val="004D1E2B"/>
    <w:rsid w:val="004D5A07"/>
    <w:rsid w:val="004E41DD"/>
    <w:rsid w:val="004E566E"/>
    <w:rsid w:val="004E566F"/>
    <w:rsid w:val="004E77C7"/>
    <w:rsid w:val="004E7E88"/>
    <w:rsid w:val="004F19E8"/>
    <w:rsid w:val="004F4302"/>
    <w:rsid w:val="004F54F9"/>
    <w:rsid w:val="004F75D4"/>
    <w:rsid w:val="00511381"/>
    <w:rsid w:val="0051793E"/>
    <w:rsid w:val="005210C7"/>
    <w:rsid w:val="0052475F"/>
    <w:rsid w:val="00530077"/>
    <w:rsid w:val="00537725"/>
    <w:rsid w:val="00537DCC"/>
    <w:rsid w:val="00551DF7"/>
    <w:rsid w:val="00552E06"/>
    <w:rsid w:val="00564D16"/>
    <w:rsid w:val="00570A16"/>
    <w:rsid w:val="00576729"/>
    <w:rsid w:val="00586205"/>
    <w:rsid w:val="00586F32"/>
    <w:rsid w:val="00591927"/>
    <w:rsid w:val="0059532F"/>
    <w:rsid w:val="005A2397"/>
    <w:rsid w:val="005A6B5A"/>
    <w:rsid w:val="005B0334"/>
    <w:rsid w:val="005B1808"/>
    <w:rsid w:val="005B27FD"/>
    <w:rsid w:val="005B39BA"/>
    <w:rsid w:val="005B5E95"/>
    <w:rsid w:val="005C0286"/>
    <w:rsid w:val="005C7AE6"/>
    <w:rsid w:val="005D505A"/>
    <w:rsid w:val="005E30D0"/>
    <w:rsid w:val="005E3765"/>
    <w:rsid w:val="005F13F1"/>
    <w:rsid w:val="005F23C2"/>
    <w:rsid w:val="005F2537"/>
    <w:rsid w:val="005F2C4E"/>
    <w:rsid w:val="005F6DBD"/>
    <w:rsid w:val="0060035B"/>
    <w:rsid w:val="0060306A"/>
    <w:rsid w:val="00612B44"/>
    <w:rsid w:val="00612E4D"/>
    <w:rsid w:val="0061399A"/>
    <w:rsid w:val="0061405E"/>
    <w:rsid w:val="00614651"/>
    <w:rsid w:val="00614B90"/>
    <w:rsid w:val="006208A8"/>
    <w:rsid w:val="00623066"/>
    <w:rsid w:val="00624091"/>
    <w:rsid w:val="00627AC7"/>
    <w:rsid w:val="00631CBB"/>
    <w:rsid w:val="00632628"/>
    <w:rsid w:val="00634412"/>
    <w:rsid w:val="00635CD5"/>
    <w:rsid w:val="00635F39"/>
    <w:rsid w:val="006438C4"/>
    <w:rsid w:val="006469FD"/>
    <w:rsid w:val="00650B9D"/>
    <w:rsid w:val="00651162"/>
    <w:rsid w:val="00652854"/>
    <w:rsid w:val="0065684B"/>
    <w:rsid w:val="0066059E"/>
    <w:rsid w:val="006641D9"/>
    <w:rsid w:val="00666883"/>
    <w:rsid w:val="00670228"/>
    <w:rsid w:val="00671E1F"/>
    <w:rsid w:val="00671FB0"/>
    <w:rsid w:val="00677E84"/>
    <w:rsid w:val="00682545"/>
    <w:rsid w:val="006826B5"/>
    <w:rsid w:val="00685F78"/>
    <w:rsid w:val="00687090"/>
    <w:rsid w:val="006A0198"/>
    <w:rsid w:val="006A48E3"/>
    <w:rsid w:val="006B221A"/>
    <w:rsid w:val="006C2964"/>
    <w:rsid w:val="006C2FA8"/>
    <w:rsid w:val="006C5DA9"/>
    <w:rsid w:val="006C7CC3"/>
    <w:rsid w:val="006D7D46"/>
    <w:rsid w:val="006E224A"/>
    <w:rsid w:val="006F159A"/>
    <w:rsid w:val="00701D3B"/>
    <w:rsid w:val="007036E9"/>
    <w:rsid w:val="00706BAF"/>
    <w:rsid w:val="007103A2"/>
    <w:rsid w:val="00710FC8"/>
    <w:rsid w:val="00720D1E"/>
    <w:rsid w:val="007269C1"/>
    <w:rsid w:val="0073094C"/>
    <w:rsid w:val="007321AE"/>
    <w:rsid w:val="00743F95"/>
    <w:rsid w:val="00747927"/>
    <w:rsid w:val="007509BC"/>
    <w:rsid w:val="007539A5"/>
    <w:rsid w:val="00755B7A"/>
    <w:rsid w:val="0076067B"/>
    <w:rsid w:val="0076300F"/>
    <w:rsid w:val="00766E27"/>
    <w:rsid w:val="00767C3D"/>
    <w:rsid w:val="00772CCB"/>
    <w:rsid w:val="0077620D"/>
    <w:rsid w:val="0078131B"/>
    <w:rsid w:val="00782ABE"/>
    <w:rsid w:val="007853FF"/>
    <w:rsid w:val="007A209B"/>
    <w:rsid w:val="007A5C9F"/>
    <w:rsid w:val="007B0806"/>
    <w:rsid w:val="007C25D6"/>
    <w:rsid w:val="007C28E5"/>
    <w:rsid w:val="007C4CD6"/>
    <w:rsid w:val="007D064D"/>
    <w:rsid w:val="007D0DA7"/>
    <w:rsid w:val="007D47FF"/>
    <w:rsid w:val="007D4CC1"/>
    <w:rsid w:val="007D5C6D"/>
    <w:rsid w:val="007D7A04"/>
    <w:rsid w:val="007E3466"/>
    <w:rsid w:val="007F54EE"/>
    <w:rsid w:val="007F7C88"/>
    <w:rsid w:val="007F7FEE"/>
    <w:rsid w:val="00800CF4"/>
    <w:rsid w:val="008036A0"/>
    <w:rsid w:val="0081437C"/>
    <w:rsid w:val="00815785"/>
    <w:rsid w:val="00816D8E"/>
    <w:rsid w:val="00820171"/>
    <w:rsid w:val="00831A17"/>
    <w:rsid w:val="00834A51"/>
    <w:rsid w:val="00837749"/>
    <w:rsid w:val="00837F1F"/>
    <w:rsid w:val="00841632"/>
    <w:rsid w:val="0084204A"/>
    <w:rsid w:val="008512BD"/>
    <w:rsid w:val="0085393A"/>
    <w:rsid w:val="0086308D"/>
    <w:rsid w:val="00863944"/>
    <w:rsid w:val="00865125"/>
    <w:rsid w:val="008710D4"/>
    <w:rsid w:val="008716DD"/>
    <w:rsid w:val="00883573"/>
    <w:rsid w:val="00886AE0"/>
    <w:rsid w:val="00893379"/>
    <w:rsid w:val="00896D79"/>
    <w:rsid w:val="008A5804"/>
    <w:rsid w:val="008B401D"/>
    <w:rsid w:val="008C0141"/>
    <w:rsid w:val="008C6090"/>
    <w:rsid w:val="008D2269"/>
    <w:rsid w:val="008D3CFA"/>
    <w:rsid w:val="008F360C"/>
    <w:rsid w:val="00906A44"/>
    <w:rsid w:val="00910B62"/>
    <w:rsid w:val="00915AC0"/>
    <w:rsid w:val="00917108"/>
    <w:rsid w:val="00917F7F"/>
    <w:rsid w:val="009202BD"/>
    <w:rsid w:val="009238C7"/>
    <w:rsid w:val="00923D33"/>
    <w:rsid w:val="00932988"/>
    <w:rsid w:val="00936E84"/>
    <w:rsid w:val="009370F6"/>
    <w:rsid w:val="009400AA"/>
    <w:rsid w:val="00944A79"/>
    <w:rsid w:val="009465A3"/>
    <w:rsid w:val="0095429C"/>
    <w:rsid w:val="009543C0"/>
    <w:rsid w:val="00961525"/>
    <w:rsid w:val="00961F24"/>
    <w:rsid w:val="00970A02"/>
    <w:rsid w:val="009718D8"/>
    <w:rsid w:val="009737DF"/>
    <w:rsid w:val="00973AC2"/>
    <w:rsid w:val="009742BE"/>
    <w:rsid w:val="00974641"/>
    <w:rsid w:val="00974894"/>
    <w:rsid w:val="00996616"/>
    <w:rsid w:val="009A49F3"/>
    <w:rsid w:val="009A63D9"/>
    <w:rsid w:val="009A6EAB"/>
    <w:rsid w:val="009B06F9"/>
    <w:rsid w:val="009B5A32"/>
    <w:rsid w:val="009B6079"/>
    <w:rsid w:val="009C1721"/>
    <w:rsid w:val="009C7777"/>
    <w:rsid w:val="009D5396"/>
    <w:rsid w:val="009E7059"/>
    <w:rsid w:val="009F4CF3"/>
    <w:rsid w:val="00A00375"/>
    <w:rsid w:val="00A024E2"/>
    <w:rsid w:val="00A0378E"/>
    <w:rsid w:val="00A069DB"/>
    <w:rsid w:val="00A142A5"/>
    <w:rsid w:val="00A17DA6"/>
    <w:rsid w:val="00A2132C"/>
    <w:rsid w:val="00A2302A"/>
    <w:rsid w:val="00A312B1"/>
    <w:rsid w:val="00A31EBC"/>
    <w:rsid w:val="00A3229C"/>
    <w:rsid w:val="00A33EDD"/>
    <w:rsid w:val="00A35369"/>
    <w:rsid w:val="00A36649"/>
    <w:rsid w:val="00A36C00"/>
    <w:rsid w:val="00A45F25"/>
    <w:rsid w:val="00A468D5"/>
    <w:rsid w:val="00A46CAB"/>
    <w:rsid w:val="00A55D92"/>
    <w:rsid w:val="00A63F27"/>
    <w:rsid w:val="00A642D2"/>
    <w:rsid w:val="00A64EDE"/>
    <w:rsid w:val="00A77BB2"/>
    <w:rsid w:val="00A93B4A"/>
    <w:rsid w:val="00A94C6F"/>
    <w:rsid w:val="00A94F4B"/>
    <w:rsid w:val="00AA0EA6"/>
    <w:rsid w:val="00AA5767"/>
    <w:rsid w:val="00AB17CD"/>
    <w:rsid w:val="00AB4994"/>
    <w:rsid w:val="00AD1459"/>
    <w:rsid w:val="00AD3F21"/>
    <w:rsid w:val="00AD623F"/>
    <w:rsid w:val="00AE0B45"/>
    <w:rsid w:val="00AF3765"/>
    <w:rsid w:val="00AF39CE"/>
    <w:rsid w:val="00AF3BCB"/>
    <w:rsid w:val="00AF5E00"/>
    <w:rsid w:val="00AF64AF"/>
    <w:rsid w:val="00AF7B9C"/>
    <w:rsid w:val="00B01B59"/>
    <w:rsid w:val="00B04441"/>
    <w:rsid w:val="00B12F1E"/>
    <w:rsid w:val="00B13A9D"/>
    <w:rsid w:val="00B149FF"/>
    <w:rsid w:val="00B22CCF"/>
    <w:rsid w:val="00B302D6"/>
    <w:rsid w:val="00B4017C"/>
    <w:rsid w:val="00B457D4"/>
    <w:rsid w:val="00B52BA3"/>
    <w:rsid w:val="00B55458"/>
    <w:rsid w:val="00B65AA3"/>
    <w:rsid w:val="00B80D72"/>
    <w:rsid w:val="00B851C4"/>
    <w:rsid w:val="00B94093"/>
    <w:rsid w:val="00B968C2"/>
    <w:rsid w:val="00BB6C43"/>
    <w:rsid w:val="00BB7C0D"/>
    <w:rsid w:val="00BC1D81"/>
    <w:rsid w:val="00BC3EAB"/>
    <w:rsid w:val="00BC7698"/>
    <w:rsid w:val="00BD3920"/>
    <w:rsid w:val="00BD5FA5"/>
    <w:rsid w:val="00BD6906"/>
    <w:rsid w:val="00BE0158"/>
    <w:rsid w:val="00BE6B5B"/>
    <w:rsid w:val="00BF3EF0"/>
    <w:rsid w:val="00BF7365"/>
    <w:rsid w:val="00C03032"/>
    <w:rsid w:val="00C11F93"/>
    <w:rsid w:val="00C1275B"/>
    <w:rsid w:val="00C16965"/>
    <w:rsid w:val="00C17389"/>
    <w:rsid w:val="00C215FE"/>
    <w:rsid w:val="00C25EA1"/>
    <w:rsid w:val="00C26EA5"/>
    <w:rsid w:val="00C35489"/>
    <w:rsid w:val="00C35B3F"/>
    <w:rsid w:val="00C36EAD"/>
    <w:rsid w:val="00C431DA"/>
    <w:rsid w:val="00C51354"/>
    <w:rsid w:val="00C52530"/>
    <w:rsid w:val="00C56E58"/>
    <w:rsid w:val="00C636DD"/>
    <w:rsid w:val="00C66A74"/>
    <w:rsid w:val="00C670AD"/>
    <w:rsid w:val="00C71264"/>
    <w:rsid w:val="00C859A0"/>
    <w:rsid w:val="00C97866"/>
    <w:rsid w:val="00CA3BE2"/>
    <w:rsid w:val="00CA4152"/>
    <w:rsid w:val="00CA7023"/>
    <w:rsid w:val="00CB7BE8"/>
    <w:rsid w:val="00CC153F"/>
    <w:rsid w:val="00CC2FC5"/>
    <w:rsid w:val="00CD1D94"/>
    <w:rsid w:val="00CD5A35"/>
    <w:rsid w:val="00CE2447"/>
    <w:rsid w:val="00CE5A0A"/>
    <w:rsid w:val="00CE5EB5"/>
    <w:rsid w:val="00CF1DFA"/>
    <w:rsid w:val="00D034BE"/>
    <w:rsid w:val="00D13050"/>
    <w:rsid w:val="00D154B0"/>
    <w:rsid w:val="00D24A93"/>
    <w:rsid w:val="00D256C7"/>
    <w:rsid w:val="00D27AD9"/>
    <w:rsid w:val="00D3438E"/>
    <w:rsid w:val="00D35039"/>
    <w:rsid w:val="00D411EF"/>
    <w:rsid w:val="00D47751"/>
    <w:rsid w:val="00D55C5E"/>
    <w:rsid w:val="00D61183"/>
    <w:rsid w:val="00D62FF3"/>
    <w:rsid w:val="00D656DB"/>
    <w:rsid w:val="00D77690"/>
    <w:rsid w:val="00D82EF2"/>
    <w:rsid w:val="00D85CA6"/>
    <w:rsid w:val="00DA0C22"/>
    <w:rsid w:val="00DA283E"/>
    <w:rsid w:val="00DA36A8"/>
    <w:rsid w:val="00DA574D"/>
    <w:rsid w:val="00DA5995"/>
    <w:rsid w:val="00DA610D"/>
    <w:rsid w:val="00DA61F2"/>
    <w:rsid w:val="00DA6535"/>
    <w:rsid w:val="00DA74D7"/>
    <w:rsid w:val="00DB071C"/>
    <w:rsid w:val="00DB0A67"/>
    <w:rsid w:val="00DB22B2"/>
    <w:rsid w:val="00DB53F4"/>
    <w:rsid w:val="00DC57AE"/>
    <w:rsid w:val="00DD3873"/>
    <w:rsid w:val="00DD3E8E"/>
    <w:rsid w:val="00DD3E96"/>
    <w:rsid w:val="00DD7BC3"/>
    <w:rsid w:val="00DF37CB"/>
    <w:rsid w:val="00E10AFA"/>
    <w:rsid w:val="00E14C6E"/>
    <w:rsid w:val="00E20F70"/>
    <w:rsid w:val="00E23F7B"/>
    <w:rsid w:val="00E242A7"/>
    <w:rsid w:val="00E277EF"/>
    <w:rsid w:val="00E43A0C"/>
    <w:rsid w:val="00E46C95"/>
    <w:rsid w:val="00E61D11"/>
    <w:rsid w:val="00E64707"/>
    <w:rsid w:val="00E7009D"/>
    <w:rsid w:val="00E733C4"/>
    <w:rsid w:val="00E81786"/>
    <w:rsid w:val="00E81BAD"/>
    <w:rsid w:val="00E850E9"/>
    <w:rsid w:val="00E85CA3"/>
    <w:rsid w:val="00E861AB"/>
    <w:rsid w:val="00E878C2"/>
    <w:rsid w:val="00E9073A"/>
    <w:rsid w:val="00EA4BD3"/>
    <w:rsid w:val="00EB3FB5"/>
    <w:rsid w:val="00EB5AA2"/>
    <w:rsid w:val="00EC0205"/>
    <w:rsid w:val="00EC022D"/>
    <w:rsid w:val="00EC10C7"/>
    <w:rsid w:val="00EC1588"/>
    <w:rsid w:val="00EC31EC"/>
    <w:rsid w:val="00EE1701"/>
    <w:rsid w:val="00EE392F"/>
    <w:rsid w:val="00EF1DF6"/>
    <w:rsid w:val="00EF2133"/>
    <w:rsid w:val="00EF2A45"/>
    <w:rsid w:val="00F05056"/>
    <w:rsid w:val="00F074AC"/>
    <w:rsid w:val="00F132D3"/>
    <w:rsid w:val="00F14412"/>
    <w:rsid w:val="00F154B4"/>
    <w:rsid w:val="00F306B9"/>
    <w:rsid w:val="00F3269C"/>
    <w:rsid w:val="00F330B9"/>
    <w:rsid w:val="00F33C9E"/>
    <w:rsid w:val="00F33F6F"/>
    <w:rsid w:val="00F3477E"/>
    <w:rsid w:val="00F37138"/>
    <w:rsid w:val="00F505E8"/>
    <w:rsid w:val="00F5097F"/>
    <w:rsid w:val="00F52E40"/>
    <w:rsid w:val="00F54A46"/>
    <w:rsid w:val="00F60E66"/>
    <w:rsid w:val="00F61133"/>
    <w:rsid w:val="00F63862"/>
    <w:rsid w:val="00F70E97"/>
    <w:rsid w:val="00F74DEB"/>
    <w:rsid w:val="00F76435"/>
    <w:rsid w:val="00F800B2"/>
    <w:rsid w:val="00F85815"/>
    <w:rsid w:val="00F86D0A"/>
    <w:rsid w:val="00F91DAB"/>
    <w:rsid w:val="00F93F6C"/>
    <w:rsid w:val="00F97265"/>
    <w:rsid w:val="00F97A08"/>
    <w:rsid w:val="00FA2EAB"/>
    <w:rsid w:val="00FB4753"/>
    <w:rsid w:val="00FB5A63"/>
    <w:rsid w:val="00FB671B"/>
    <w:rsid w:val="00FC08F0"/>
    <w:rsid w:val="00FC0998"/>
    <w:rsid w:val="00FC1633"/>
    <w:rsid w:val="00FC41E5"/>
    <w:rsid w:val="00FD2F03"/>
    <w:rsid w:val="00FD5648"/>
    <w:rsid w:val="00FD67BB"/>
    <w:rsid w:val="00FD69F3"/>
    <w:rsid w:val="00FD79EE"/>
    <w:rsid w:val="00FE18FE"/>
    <w:rsid w:val="00FE3734"/>
    <w:rsid w:val="00FF275F"/>
    <w:rsid w:val="00FF3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B74DFC"/>
  <w15:chartTrackingRefBased/>
  <w15:docId w15:val="{C98AC957-A010-42D5-94DA-34F3A30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0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0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403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03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03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03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03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03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03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03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03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403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03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03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03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03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03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03F1"/>
    <w:rPr>
      <w:rFonts w:eastAsiaTheme="majorEastAsia" w:cstheme="majorBidi"/>
      <w:color w:val="272727" w:themeColor="text1" w:themeTint="D8"/>
    </w:rPr>
  </w:style>
  <w:style w:type="paragraph" w:styleId="Tytu">
    <w:name w:val="Title"/>
    <w:basedOn w:val="Normalny"/>
    <w:next w:val="Normalny"/>
    <w:link w:val="TytuZnak"/>
    <w:uiPriority w:val="10"/>
    <w:qFormat/>
    <w:rsid w:val="00040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03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03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03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03F1"/>
    <w:pPr>
      <w:spacing w:before="160"/>
      <w:jc w:val="center"/>
    </w:pPr>
    <w:rPr>
      <w:i/>
      <w:iCs/>
      <w:color w:val="404040" w:themeColor="text1" w:themeTint="BF"/>
    </w:rPr>
  </w:style>
  <w:style w:type="character" w:customStyle="1" w:styleId="CytatZnak">
    <w:name w:val="Cytat Znak"/>
    <w:basedOn w:val="Domylnaczcionkaakapitu"/>
    <w:link w:val="Cytat"/>
    <w:uiPriority w:val="29"/>
    <w:rsid w:val="000403F1"/>
    <w:rPr>
      <w:i/>
      <w:iCs/>
      <w:color w:val="404040" w:themeColor="text1" w:themeTint="BF"/>
    </w:rPr>
  </w:style>
  <w:style w:type="paragraph" w:styleId="Akapitzlist">
    <w:name w:val="List Paragraph"/>
    <w:basedOn w:val="Normalny"/>
    <w:link w:val="AkapitzlistZnak"/>
    <w:uiPriority w:val="34"/>
    <w:qFormat/>
    <w:rsid w:val="000403F1"/>
    <w:pPr>
      <w:ind w:left="720"/>
      <w:contextualSpacing/>
    </w:pPr>
  </w:style>
  <w:style w:type="character" w:styleId="Wyrnienieintensywne">
    <w:name w:val="Intense Emphasis"/>
    <w:basedOn w:val="Domylnaczcionkaakapitu"/>
    <w:uiPriority w:val="21"/>
    <w:qFormat/>
    <w:rsid w:val="000403F1"/>
    <w:rPr>
      <w:i/>
      <w:iCs/>
      <w:color w:val="0F4761" w:themeColor="accent1" w:themeShade="BF"/>
    </w:rPr>
  </w:style>
  <w:style w:type="paragraph" w:styleId="Cytatintensywny">
    <w:name w:val="Intense Quote"/>
    <w:basedOn w:val="Normalny"/>
    <w:next w:val="Normalny"/>
    <w:link w:val="CytatintensywnyZnak"/>
    <w:uiPriority w:val="30"/>
    <w:qFormat/>
    <w:rsid w:val="00040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03F1"/>
    <w:rPr>
      <w:i/>
      <w:iCs/>
      <w:color w:val="0F4761" w:themeColor="accent1" w:themeShade="BF"/>
    </w:rPr>
  </w:style>
  <w:style w:type="character" w:styleId="Odwoanieintensywne">
    <w:name w:val="Intense Reference"/>
    <w:basedOn w:val="Domylnaczcionkaakapitu"/>
    <w:uiPriority w:val="32"/>
    <w:qFormat/>
    <w:rsid w:val="000403F1"/>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05785E"/>
    <w:rPr>
      <w:sz w:val="16"/>
      <w:szCs w:val="16"/>
    </w:rPr>
  </w:style>
  <w:style w:type="paragraph" w:styleId="Tekstkomentarza">
    <w:name w:val="annotation text"/>
    <w:basedOn w:val="Normalny"/>
    <w:link w:val="TekstkomentarzaZnak"/>
    <w:uiPriority w:val="99"/>
    <w:unhideWhenUsed/>
    <w:rsid w:val="0005785E"/>
    <w:pPr>
      <w:spacing w:line="240" w:lineRule="auto"/>
    </w:pPr>
    <w:rPr>
      <w:sz w:val="20"/>
      <w:szCs w:val="20"/>
    </w:rPr>
  </w:style>
  <w:style w:type="character" w:customStyle="1" w:styleId="TekstkomentarzaZnak">
    <w:name w:val="Tekst komentarza Znak"/>
    <w:basedOn w:val="Domylnaczcionkaakapitu"/>
    <w:link w:val="Tekstkomentarza"/>
    <w:uiPriority w:val="99"/>
    <w:rsid w:val="0005785E"/>
    <w:rPr>
      <w:sz w:val="20"/>
      <w:szCs w:val="20"/>
    </w:rPr>
  </w:style>
  <w:style w:type="paragraph" w:styleId="Tematkomentarza">
    <w:name w:val="annotation subject"/>
    <w:basedOn w:val="Tekstkomentarza"/>
    <w:next w:val="Tekstkomentarza"/>
    <w:link w:val="TematkomentarzaZnak"/>
    <w:uiPriority w:val="99"/>
    <w:semiHidden/>
    <w:unhideWhenUsed/>
    <w:rsid w:val="0005785E"/>
    <w:rPr>
      <w:b/>
      <w:bCs/>
    </w:rPr>
  </w:style>
  <w:style w:type="character" w:customStyle="1" w:styleId="TematkomentarzaZnak">
    <w:name w:val="Temat komentarza Znak"/>
    <w:basedOn w:val="TekstkomentarzaZnak"/>
    <w:link w:val="Tematkomentarza"/>
    <w:uiPriority w:val="99"/>
    <w:semiHidden/>
    <w:rsid w:val="0005785E"/>
    <w:rPr>
      <w:b/>
      <w:bCs/>
      <w:sz w:val="20"/>
      <w:szCs w:val="20"/>
    </w:rPr>
  </w:style>
  <w:style w:type="paragraph" w:styleId="Nagwek">
    <w:name w:val="header"/>
    <w:basedOn w:val="Normalny"/>
    <w:link w:val="NagwekZnak"/>
    <w:uiPriority w:val="99"/>
    <w:unhideWhenUsed/>
    <w:rsid w:val="00374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46F7"/>
  </w:style>
  <w:style w:type="paragraph" w:styleId="Stopka">
    <w:name w:val="footer"/>
    <w:basedOn w:val="Normalny"/>
    <w:link w:val="StopkaZnak"/>
    <w:uiPriority w:val="99"/>
    <w:unhideWhenUsed/>
    <w:rsid w:val="00374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6F7"/>
  </w:style>
  <w:style w:type="paragraph" w:styleId="NormalnyWeb">
    <w:name w:val="Normal (Web)"/>
    <w:basedOn w:val="Normalny"/>
    <w:uiPriority w:val="99"/>
    <w:unhideWhenUsed/>
    <w:rsid w:val="00275853"/>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275853"/>
    <w:rPr>
      <w:b/>
      <w:bCs/>
    </w:rPr>
  </w:style>
  <w:style w:type="paragraph" w:styleId="Poprawka">
    <w:name w:val="Revision"/>
    <w:hidden/>
    <w:uiPriority w:val="99"/>
    <w:semiHidden/>
    <w:rsid w:val="00C03032"/>
    <w:pPr>
      <w:spacing w:after="0" w:line="240" w:lineRule="auto"/>
    </w:pPr>
  </w:style>
  <w:style w:type="paragraph" w:styleId="Tekstprzypisukocowego">
    <w:name w:val="endnote text"/>
    <w:basedOn w:val="Normalny"/>
    <w:link w:val="TekstprzypisukocowegoZnak"/>
    <w:uiPriority w:val="99"/>
    <w:semiHidden/>
    <w:unhideWhenUsed/>
    <w:rsid w:val="00052D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2D3D"/>
    <w:rPr>
      <w:sz w:val="20"/>
      <w:szCs w:val="20"/>
    </w:rPr>
  </w:style>
  <w:style w:type="character" w:styleId="Odwoanieprzypisukocowego">
    <w:name w:val="endnote reference"/>
    <w:basedOn w:val="Domylnaczcionkaakapitu"/>
    <w:uiPriority w:val="99"/>
    <w:semiHidden/>
    <w:unhideWhenUsed/>
    <w:rsid w:val="00052D3D"/>
    <w:rPr>
      <w:vertAlign w:val="superscript"/>
    </w:rPr>
  </w:style>
  <w:style w:type="paragraph" w:styleId="Tekstprzypisudolnego">
    <w:name w:val="footnote text"/>
    <w:basedOn w:val="Normalny"/>
    <w:link w:val="TekstprzypisudolnegoZnak"/>
    <w:uiPriority w:val="99"/>
    <w:semiHidden/>
    <w:unhideWhenUsed/>
    <w:rsid w:val="00831A17"/>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831A17"/>
    <w:rPr>
      <w:kern w:val="0"/>
      <w:sz w:val="20"/>
      <w:szCs w:val="20"/>
      <w14:ligatures w14:val="none"/>
    </w:rPr>
  </w:style>
  <w:style w:type="character" w:styleId="Odwoanieprzypisudolnego">
    <w:name w:val="footnote reference"/>
    <w:basedOn w:val="Domylnaczcionkaakapitu"/>
    <w:uiPriority w:val="99"/>
    <w:semiHidden/>
    <w:unhideWhenUsed/>
    <w:rsid w:val="00831A17"/>
    <w:rPr>
      <w:vertAlign w:val="superscript"/>
    </w:rPr>
  </w:style>
  <w:style w:type="paragraph" w:styleId="Tekstdymka">
    <w:name w:val="Balloon Text"/>
    <w:basedOn w:val="Normalny"/>
    <w:link w:val="TekstdymkaZnak"/>
    <w:uiPriority w:val="99"/>
    <w:semiHidden/>
    <w:unhideWhenUsed/>
    <w:rsid w:val="006668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6883"/>
    <w:rPr>
      <w:rFonts w:ascii="Segoe UI" w:hAnsi="Segoe UI" w:cs="Segoe UI"/>
      <w:sz w:val="18"/>
      <w:szCs w:val="18"/>
    </w:rPr>
  </w:style>
  <w:style w:type="paragraph" w:styleId="Lista">
    <w:name w:val="List"/>
    <w:basedOn w:val="Normalny"/>
    <w:uiPriority w:val="99"/>
    <w:semiHidden/>
    <w:unhideWhenUsed/>
    <w:rsid w:val="00537DCC"/>
    <w:pPr>
      <w:ind w:left="283" w:hanging="283"/>
      <w:contextualSpacing/>
    </w:pPr>
  </w:style>
  <w:style w:type="paragraph" w:styleId="Lista-kontynuacja3">
    <w:name w:val="List Continue 3"/>
    <w:basedOn w:val="Normalny"/>
    <w:uiPriority w:val="99"/>
    <w:semiHidden/>
    <w:unhideWhenUsed/>
    <w:rsid w:val="00537DCC"/>
    <w:pPr>
      <w:spacing w:after="120"/>
      <w:ind w:left="849"/>
      <w:contextualSpacing/>
    </w:pPr>
  </w:style>
  <w:style w:type="character" w:styleId="Hipercze">
    <w:name w:val="Hyperlink"/>
    <w:basedOn w:val="Domylnaczcionkaakapitu"/>
    <w:uiPriority w:val="99"/>
    <w:unhideWhenUsed/>
    <w:rsid w:val="00D62FF3"/>
    <w:rPr>
      <w:color w:val="467886" w:themeColor="hyperlink"/>
      <w:u w:val="single"/>
    </w:rPr>
  </w:style>
  <w:style w:type="character" w:styleId="Nierozpoznanawzmianka">
    <w:name w:val="Unresolved Mention"/>
    <w:basedOn w:val="Domylnaczcionkaakapitu"/>
    <w:uiPriority w:val="99"/>
    <w:semiHidden/>
    <w:unhideWhenUsed/>
    <w:rsid w:val="00D62FF3"/>
    <w:rPr>
      <w:color w:val="605E5C"/>
      <w:shd w:val="clear" w:color="auto" w:fill="E1DFDD"/>
    </w:rPr>
  </w:style>
  <w:style w:type="paragraph" w:customStyle="1" w:styleId="rozdzial">
    <w:name w:val="rozdzial"/>
    <w:basedOn w:val="Akapitzlist"/>
    <w:link w:val="rozdzialZnak"/>
    <w:qFormat/>
    <w:rsid w:val="00241EEF"/>
    <w:pPr>
      <w:numPr>
        <w:numId w:val="1"/>
      </w:numPr>
      <w:spacing w:after="120" w:line="360" w:lineRule="auto"/>
    </w:pPr>
    <w:rPr>
      <w:rFonts w:ascii="Lato" w:hAnsi="Lato"/>
      <w:b/>
      <w:szCs w:val="20"/>
    </w:rPr>
  </w:style>
  <w:style w:type="character" w:customStyle="1" w:styleId="AkapitzlistZnak">
    <w:name w:val="Akapit z listą Znak"/>
    <w:basedOn w:val="Domylnaczcionkaakapitu"/>
    <w:link w:val="Akapitzlist"/>
    <w:uiPriority w:val="34"/>
    <w:rsid w:val="00241EEF"/>
  </w:style>
  <w:style w:type="character" w:customStyle="1" w:styleId="rozdzialZnak">
    <w:name w:val="rozdzial Znak"/>
    <w:basedOn w:val="AkapitzlistZnak"/>
    <w:link w:val="rozdzial"/>
    <w:rsid w:val="00241EEF"/>
    <w:rPr>
      <w:rFonts w:ascii="Lato" w:hAnsi="Lato"/>
      <w:b/>
      <w:szCs w:val="20"/>
    </w:rPr>
  </w:style>
  <w:style w:type="paragraph" w:customStyle="1" w:styleId="podrozdzial">
    <w:name w:val="podrozdzial"/>
    <w:basedOn w:val="Akapitzlist"/>
    <w:link w:val="podrozdzialZnak"/>
    <w:qFormat/>
    <w:rsid w:val="00241EEF"/>
    <w:pPr>
      <w:widowControl w:val="0"/>
      <w:numPr>
        <w:numId w:val="3"/>
      </w:numPr>
      <w:spacing w:after="120" w:line="360" w:lineRule="auto"/>
      <w:contextualSpacing w:val="0"/>
    </w:pPr>
    <w:rPr>
      <w:rFonts w:ascii="Lato" w:hAnsi="Lato"/>
      <w:b/>
      <w:bCs/>
      <w:spacing w:val="24"/>
      <w:sz w:val="20"/>
      <w:szCs w:val="20"/>
    </w:rPr>
  </w:style>
  <w:style w:type="character" w:customStyle="1" w:styleId="podrozdzialZnak">
    <w:name w:val="podrozdzial Znak"/>
    <w:basedOn w:val="AkapitzlistZnak"/>
    <w:link w:val="podrozdzial"/>
    <w:rsid w:val="00241EEF"/>
    <w:rPr>
      <w:rFonts w:ascii="Lato" w:hAnsi="Lato"/>
      <w:b/>
      <w:bCs/>
      <w:spacing w:val="24"/>
      <w:sz w:val="20"/>
      <w:szCs w:val="20"/>
    </w:rPr>
  </w:style>
  <w:style w:type="paragraph" w:styleId="Nagwekspisutreci">
    <w:name w:val="TOC Heading"/>
    <w:basedOn w:val="Nagwek1"/>
    <w:next w:val="Normalny"/>
    <w:uiPriority w:val="39"/>
    <w:unhideWhenUsed/>
    <w:qFormat/>
    <w:rsid w:val="00241EEF"/>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241EEF"/>
    <w:pPr>
      <w:spacing w:after="100"/>
    </w:pPr>
  </w:style>
  <w:style w:type="paragraph" w:styleId="Spistreci2">
    <w:name w:val="toc 2"/>
    <w:basedOn w:val="Normalny"/>
    <w:next w:val="Normalny"/>
    <w:autoRedefine/>
    <w:uiPriority w:val="39"/>
    <w:unhideWhenUsed/>
    <w:rsid w:val="00241EEF"/>
    <w:pPr>
      <w:spacing w:after="100"/>
      <w:ind w:left="240"/>
    </w:pPr>
  </w:style>
  <w:style w:type="paragraph" w:styleId="Bezodstpw">
    <w:name w:val="No Spacing"/>
    <w:link w:val="BezodstpwZnak"/>
    <w:uiPriority w:val="1"/>
    <w:qFormat/>
    <w:rsid w:val="00342F22"/>
    <w:pPr>
      <w:spacing w:after="0" w:line="240" w:lineRule="auto"/>
    </w:pPr>
    <w:rPr>
      <w:rFonts w:eastAsiaTheme="minorEastAsia"/>
      <w:kern w:val="0"/>
      <w:sz w:val="22"/>
      <w:szCs w:val="22"/>
      <w:lang w:eastAsia="pl-PL"/>
      <w14:ligatures w14:val="none"/>
    </w:rPr>
  </w:style>
  <w:style w:type="character" w:customStyle="1" w:styleId="BezodstpwZnak">
    <w:name w:val="Bez odstępów Znak"/>
    <w:basedOn w:val="Domylnaczcionkaakapitu"/>
    <w:link w:val="Bezodstpw"/>
    <w:uiPriority w:val="1"/>
    <w:rsid w:val="00342F22"/>
    <w:rPr>
      <w:rFonts w:eastAsiaTheme="minorEastAsia"/>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48C9F-A94A-4089-A80F-0EC91C32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11359</Words>
  <Characters>68156</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Czajkowski Piotr</dc:creator>
  <cp:keywords/>
  <dc:description/>
  <cp:lastModifiedBy>Czajkowski Piotr</cp:lastModifiedBy>
  <cp:revision>2</cp:revision>
  <cp:lastPrinted>2026-06-16T08:38:00Z</cp:lastPrinted>
  <dcterms:created xsi:type="dcterms:W3CDTF">2026-06-16T14:01:00Z</dcterms:created>
  <dcterms:modified xsi:type="dcterms:W3CDTF">2026-06-16T14:01:00Z</dcterms:modified>
</cp:coreProperties>
</file>