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0A79" w14:textId="58042B6B" w:rsidR="00435DAA" w:rsidRPr="00C67DCE" w:rsidRDefault="00C67DCE" w:rsidP="00BA5EA8">
      <w:pPr>
        <w:spacing w:line="20" w:lineRule="atLeast"/>
        <w:jc w:val="right"/>
        <w:rPr>
          <w:rFonts w:ascii="Lato" w:hAnsi="Lato" w:cstheme="majorHAnsi"/>
          <w:sz w:val="24"/>
          <w:szCs w:val="24"/>
        </w:rPr>
      </w:pPr>
      <w:bookmarkStart w:id="0" w:name="_Hlk192655683"/>
      <w:bookmarkStart w:id="1" w:name="_Hlk210114697"/>
      <w:bookmarkStart w:id="2" w:name="_Hlk193694327"/>
      <w:bookmarkStart w:id="3" w:name="_Hlk210045186"/>
      <w:r w:rsidRPr="00C67DCE">
        <w:rPr>
          <w:rFonts w:ascii="Lato" w:hAnsi="Lato" w:cstheme="majorHAnsi"/>
          <w:sz w:val="24"/>
          <w:szCs w:val="24"/>
        </w:rPr>
        <w:t>Załącznik n r 2 do zaproszenia – specyfikacja techniczna</w:t>
      </w:r>
    </w:p>
    <w:p w14:paraId="64DD511C" w14:textId="77777777" w:rsidR="00C67DCE" w:rsidRDefault="00C67DCE" w:rsidP="00BA5EA8">
      <w:pPr>
        <w:spacing w:after="0" w:line="20" w:lineRule="atLeast"/>
        <w:jc w:val="center"/>
        <w:rPr>
          <w:rFonts w:ascii="Lato" w:hAnsi="Lato" w:cstheme="majorHAnsi"/>
          <w:b/>
          <w:bCs/>
          <w:sz w:val="24"/>
          <w:szCs w:val="24"/>
        </w:rPr>
      </w:pPr>
    </w:p>
    <w:p w14:paraId="71AEF500" w14:textId="318C0D0C" w:rsidR="00742730" w:rsidRDefault="00FB44E6" w:rsidP="00BA5EA8">
      <w:pPr>
        <w:spacing w:after="0" w:line="20" w:lineRule="atLeast"/>
        <w:jc w:val="center"/>
        <w:rPr>
          <w:rFonts w:ascii="Lato" w:hAnsi="Lato" w:cstheme="majorHAnsi"/>
          <w:b/>
          <w:bCs/>
          <w:sz w:val="24"/>
          <w:szCs w:val="24"/>
        </w:rPr>
      </w:pPr>
      <w:r w:rsidRPr="00F90D5C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F90D5C">
        <w:rPr>
          <w:rFonts w:ascii="Lato" w:hAnsi="Lato" w:cstheme="majorHAnsi"/>
          <w:b/>
          <w:bCs/>
          <w:sz w:val="24"/>
          <w:szCs w:val="24"/>
        </w:rPr>
        <w:t xml:space="preserve"> </w:t>
      </w:r>
    </w:p>
    <w:p w14:paraId="0D110028" w14:textId="3037FDDD" w:rsidR="00742730" w:rsidRPr="00742730" w:rsidRDefault="002C7D7A" w:rsidP="00BA5EA8">
      <w:pPr>
        <w:spacing w:after="0" w:line="20" w:lineRule="atLeast"/>
        <w:jc w:val="center"/>
        <w:rPr>
          <w:rFonts w:ascii="Lato" w:hAnsi="Lato" w:cstheme="majorHAnsi"/>
          <w:b/>
          <w:bCs/>
          <w:sz w:val="24"/>
          <w:szCs w:val="24"/>
        </w:rPr>
      </w:pPr>
      <w:r>
        <w:rPr>
          <w:rFonts w:ascii="Lato" w:hAnsi="Lato" w:cstheme="majorHAnsi"/>
          <w:b/>
          <w:bCs/>
          <w:sz w:val="24"/>
          <w:szCs w:val="24"/>
        </w:rPr>
        <w:t>Nagrzewnica spalinowa czterokanałowa</w:t>
      </w:r>
    </w:p>
    <w:p w14:paraId="75FD3FF5" w14:textId="77777777" w:rsidR="0023299D" w:rsidRPr="00F90D5C" w:rsidRDefault="0023299D" w:rsidP="00BA5EA8">
      <w:pPr>
        <w:spacing w:after="0" w:line="20" w:lineRule="atLeast"/>
        <w:jc w:val="center"/>
        <w:rPr>
          <w:rFonts w:ascii="Lato" w:hAnsi="Lato"/>
          <w:b/>
          <w:sz w:val="24"/>
          <w:szCs w:val="24"/>
        </w:rPr>
      </w:pPr>
    </w:p>
    <w:tbl>
      <w:tblPr>
        <w:tblStyle w:val="Tabela-Siatka"/>
        <w:tblW w:w="10151" w:type="dxa"/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4820"/>
        <w:gridCol w:w="2504"/>
      </w:tblGrid>
      <w:tr w:rsidR="00F90D5C" w:rsidRPr="00F90D5C" w14:paraId="35C2525B" w14:textId="77777777" w:rsidTr="00011D25">
        <w:tc>
          <w:tcPr>
            <w:tcW w:w="562" w:type="dxa"/>
          </w:tcPr>
          <w:p w14:paraId="0152B4AE" w14:textId="77777777" w:rsidR="0022778C" w:rsidRPr="00F90D5C" w:rsidRDefault="0022778C" w:rsidP="00BA5EA8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5" w:type="dxa"/>
          </w:tcPr>
          <w:p w14:paraId="5CEA3327" w14:textId="77777777" w:rsidR="0022778C" w:rsidRPr="00F90D5C" w:rsidRDefault="0022778C" w:rsidP="00BA5EA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4820" w:type="dxa"/>
          </w:tcPr>
          <w:p w14:paraId="1FB94500" w14:textId="77777777" w:rsidR="0022778C" w:rsidRPr="00F90D5C" w:rsidRDefault="0022778C" w:rsidP="00BA5EA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504" w:type="dxa"/>
          </w:tcPr>
          <w:p w14:paraId="7D90C429" w14:textId="3A84789E" w:rsidR="0022778C" w:rsidRPr="00F90D5C" w:rsidRDefault="0022778C" w:rsidP="00BA5EA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tr w:rsidR="00BA5EA8" w:rsidRPr="00F90D5C" w14:paraId="61750867" w14:textId="77777777" w:rsidTr="00BA5EA8">
        <w:trPr>
          <w:trHeight w:val="567"/>
        </w:trPr>
        <w:tc>
          <w:tcPr>
            <w:tcW w:w="562" w:type="dxa"/>
          </w:tcPr>
          <w:p w14:paraId="7ADE3177" w14:textId="00F3A1A3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91C9C37" w14:textId="25428F53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Nazwa urządzenia</w:t>
            </w:r>
          </w:p>
        </w:tc>
        <w:tc>
          <w:tcPr>
            <w:tcW w:w="4820" w:type="dxa"/>
          </w:tcPr>
          <w:p w14:paraId="6C38B419" w14:textId="322F4B67" w:rsidR="00BA5EA8" w:rsidRPr="00BA5EA8" w:rsidRDefault="00AA6521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3 szt. </w:t>
            </w:r>
            <w:r w:rsidR="00BA5EA8"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Fabrycznie nowa nagrzewnica olejowa spalinowa czterokanałowa, z wymiennikiem ciepła i odprowadzeniem spalin.</w:t>
            </w:r>
          </w:p>
        </w:tc>
        <w:tc>
          <w:tcPr>
            <w:tcW w:w="2504" w:type="dxa"/>
          </w:tcPr>
          <w:p w14:paraId="0D49C0C5" w14:textId="559FB780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56F3B0F9" w14:textId="77777777" w:rsidTr="00BA5EA8">
        <w:trPr>
          <w:trHeight w:val="567"/>
        </w:trPr>
        <w:tc>
          <w:tcPr>
            <w:tcW w:w="562" w:type="dxa"/>
          </w:tcPr>
          <w:p w14:paraId="61D03228" w14:textId="1D8C9C1F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21011A" w14:textId="3981E78F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Karta katalogowa / dokumentacja</w:t>
            </w:r>
          </w:p>
        </w:tc>
        <w:tc>
          <w:tcPr>
            <w:tcW w:w="4820" w:type="dxa"/>
          </w:tcPr>
          <w:p w14:paraId="07E82C03" w14:textId="71F7CBF1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Dołączenie karty katalogowej lub podanie linku do strony producenta.</w:t>
            </w:r>
          </w:p>
        </w:tc>
        <w:tc>
          <w:tcPr>
            <w:tcW w:w="2504" w:type="dxa"/>
          </w:tcPr>
          <w:p w14:paraId="5570798B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276622A7" w14:textId="77777777" w:rsidTr="00BA5EA8">
        <w:trPr>
          <w:trHeight w:val="567"/>
        </w:trPr>
        <w:tc>
          <w:tcPr>
            <w:tcW w:w="562" w:type="dxa"/>
          </w:tcPr>
          <w:p w14:paraId="412D64A3" w14:textId="77777777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57A9510" w14:textId="2710319F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Produkcja seryjna</w:t>
            </w:r>
          </w:p>
        </w:tc>
        <w:tc>
          <w:tcPr>
            <w:tcW w:w="4820" w:type="dxa"/>
          </w:tcPr>
          <w:p w14:paraId="4AB5441B" w14:textId="15D1F119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Jednostka seryjna, nie prototyp.</w:t>
            </w:r>
          </w:p>
        </w:tc>
        <w:tc>
          <w:tcPr>
            <w:tcW w:w="2504" w:type="dxa"/>
          </w:tcPr>
          <w:p w14:paraId="2702899D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37AA5996" w14:textId="77777777" w:rsidTr="00BA5EA8">
        <w:trPr>
          <w:trHeight w:val="567"/>
        </w:trPr>
        <w:tc>
          <w:tcPr>
            <w:tcW w:w="562" w:type="dxa"/>
          </w:tcPr>
          <w:p w14:paraId="6B52AE89" w14:textId="364E03B1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DFEAE89" w14:textId="51A838AA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Przeznaczenie</w:t>
            </w:r>
          </w:p>
        </w:tc>
        <w:tc>
          <w:tcPr>
            <w:tcW w:w="4820" w:type="dxa"/>
          </w:tcPr>
          <w:p w14:paraId="0E7AA5D9" w14:textId="3D2D1102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Ogrzewanie hal, namiotów, magazynów, obiektów tymczasowych.</w:t>
            </w:r>
          </w:p>
        </w:tc>
        <w:tc>
          <w:tcPr>
            <w:tcW w:w="2504" w:type="dxa"/>
          </w:tcPr>
          <w:p w14:paraId="123934C6" w14:textId="3A347F3F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47481F54" w14:textId="77777777" w:rsidTr="00BA5EA8">
        <w:trPr>
          <w:trHeight w:val="567"/>
        </w:trPr>
        <w:tc>
          <w:tcPr>
            <w:tcW w:w="562" w:type="dxa"/>
          </w:tcPr>
          <w:p w14:paraId="515769FA" w14:textId="69F065A4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1898147" w14:textId="5CFBB030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Przepływ powietrza</w:t>
            </w:r>
          </w:p>
        </w:tc>
        <w:tc>
          <w:tcPr>
            <w:tcW w:w="4820" w:type="dxa"/>
          </w:tcPr>
          <w:p w14:paraId="33313206" w14:textId="0D3B4838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</w:t>
            </w:r>
            <w:r w:rsidRPr="00BA5EA8">
              <w:rPr>
                <w:rFonts w:ascii="Lato" w:hAnsi="Lato"/>
                <w:sz w:val="24"/>
                <w:szCs w:val="24"/>
              </w:rPr>
              <w:t>8 000 m³/h</w:t>
            </w:r>
          </w:p>
        </w:tc>
        <w:tc>
          <w:tcPr>
            <w:tcW w:w="2504" w:type="dxa"/>
          </w:tcPr>
          <w:p w14:paraId="0158D09F" w14:textId="0B02565A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62E794D7" w14:textId="77777777" w:rsidTr="00BA5EA8">
        <w:trPr>
          <w:trHeight w:val="567"/>
        </w:trPr>
        <w:tc>
          <w:tcPr>
            <w:tcW w:w="562" w:type="dxa"/>
          </w:tcPr>
          <w:p w14:paraId="5D8205EC" w14:textId="46783FE9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02A0C3F" w14:textId="738B861B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Liczba przewodów do podłączenia</w:t>
            </w:r>
          </w:p>
        </w:tc>
        <w:tc>
          <w:tcPr>
            <w:tcW w:w="4820" w:type="dxa"/>
          </w:tcPr>
          <w:p w14:paraId="4824B1BD" w14:textId="2873259A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</w:t>
            </w:r>
            <w:r w:rsidRPr="00BA5EA8">
              <w:rPr>
                <w:rFonts w:ascii="Lato" w:hAnsi="Lato"/>
                <w:sz w:val="24"/>
                <w:szCs w:val="24"/>
              </w:rPr>
              <w:t>4</w:t>
            </w:r>
          </w:p>
        </w:tc>
        <w:tc>
          <w:tcPr>
            <w:tcW w:w="2504" w:type="dxa"/>
          </w:tcPr>
          <w:p w14:paraId="42C38C3B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3A7B4875" w14:textId="77777777" w:rsidTr="00BA5EA8">
        <w:trPr>
          <w:trHeight w:val="567"/>
        </w:trPr>
        <w:tc>
          <w:tcPr>
            <w:tcW w:w="562" w:type="dxa"/>
          </w:tcPr>
          <w:p w14:paraId="3ED64EDB" w14:textId="77777777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9BFDA7" w14:textId="271FF03E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Ogrzewana powierzchnia</w:t>
            </w:r>
          </w:p>
        </w:tc>
        <w:tc>
          <w:tcPr>
            <w:tcW w:w="4820" w:type="dxa"/>
          </w:tcPr>
          <w:p w14:paraId="015EBE32" w14:textId="168DB34C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</w:t>
            </w:r>
            <w:r w:rsidRPr="00BA5EA8">
              <w:rPr>
                <w:rFonts w:ascii="Lato" w:hAnsi="Lato"/>
                <w:sz w:val="24"/>
                <w:szCs w:val="24"/>
              </w:rPr>
              <w:t>1300 m²</w:t>
            </w:r>
          </w:p>
        </w:tc>
        <w:tc>
          <w:tcPr>
            <w:tcW w:w="2504" w:type="dxa"/>
          </w:tcPr>
          <w:p w14:paraId="2AB3456E" w14:textId="73B7729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7FD9E435" w14:textId="77777777" w:rsidTr="00BA5EA8">
        <w:trPr>
          <w:trHeight w:val="567"/>
        </w:trPr>
        <w:tc>
          <w:tcPr>
            <w:tcW w:w="562" w:type="dxa"/>
          </w:tcPr>
          <w:p w14:paraId="76184EF0" w14:textId="018DF208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D994992" w14:textId="686903B8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Moc grzewcza</w:t>
            </w:r>
          </w:p>
        </w:tc>
        <w:tc>
          <w:tcPr>
            <w:tcW w:w="4820" w:type="dxa"/>
          </w:tcPr>
          <w:p w14:paraId="1CA82D99" w14:textId="3A26641D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</w:t>
            </w:r>
            <w:r w:rsidRPr="00BA5EA8">
              <w:rPr>
                <w:rFonts w:ascii="Lato" w:hAnsi="Lato"/>
                <w:sz w:val="24"/>
                <w:szCs w:val="24"/>
              </w:rPr>
              <w:t>136 kW</w:t>
            </w:r>
          </w:p>
        </w:tc>
        <w:tc>
          <w:tcPr>
            <w:tcW w:w="2504" w:type="dxa"/>
          </w:tcPr>
          <w:p w14:paraId="7AEA0BF6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06602EBA" w14:textId="77777777" w:rsidTr="00BA5EA8">
        <w:trPr>
          <w:trHeight w:val="567"/>
        </w:trPr>
        <w:tc>
          <w:tcPr>
            <w:tcW w:w="562" w:type="dxa"/>
          </w:tcPr>
          <w:p w14:paraId="2D0B522E" w14:textId="3D8AE00B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65C7CDD" w14:textId="19828544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 xml:space="preserve">Wydajność cieplna </w:t>
            </w:r>
            <w:proofErr w:type="spellStart"/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Btu</w:t>
            </w:r>
            <w:proofErr w:type="spellEnd"/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/h</w:t>
            </w:r>
          </w:p>
        </w:tc>
        <w:tc>
          <w:tcPr>
            <w:tcW w:w="4820" w:type="dxa"/>
          </w:tcPr>
          <w:p w14:paraId="452EEF12" w14:textId="78522716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</w:t>
            </w:r>
            <w:r w:rsidRPr="00BA5EA8">
              <w:rPr>
                <w:rFonts w:ascii="Lato" w:hAnsi="Lato"/>
                <w:sz w:val="24"/>
                <w:szCs w:val="24"/>
              </w:rPr>
              <w:t xml:space="preserve">463 000 </w:t>
            </w:r>
            <w:proofErr w:type="spellStart"/>
            <w:r w:rsidRPr="00BA5EA8">
              <w:rPr>
                <w:rFonts w:ascii="Lato" w:hAnsi="Lato"/>
                <w:sz w:val="24"/>
                <w:szCs w:val="24"/>
              </w:rPr>
              <w:t>Btu</w:t>
            </w:r>
            <w:proofErr w:type="spellEnd"/>
            <w:r w:rsidRPr="00BA5EA8">
              <w:rPr>
                <w:rFonts w:ascii="Lato" w:hAnsi="Lato"/>
                <w:sz w:val="24"/>
                <w:szCs w:val="24"/>
              </w:rPr>
              <w:t>/h</w:t>
            </w:r>
          </w:p>
        </w:tc>
        <w:tc>
          <w:tcPr>
            <w:tcW w:w="2504" w:type="dxa"/>
          </w:tcPr>
          <w:p w14:paraId="349655A3" w14:textId="574FECAB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1193E782" w14:textId="77777777" w:rsidTr="00BA5EA8">
        <w:trPr>
          <w:trHeight w:val="567"/>
        </w:trPr>
        <w:tc>
          <w:tcPr>
            <w:tcW w:w="562" w:type="dxa"/>
          </w:tcPr>
          <w:p w14:paraId="0C3C8D28" w14:textId="13C1D640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9FFECCF" w14:textId="106EAF20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Napięcie zasilania</w:t>
            </w:r>
          </w:p>
        </w:tc>
        <w:tc>
          <w:tcPr>
            <w:tcW w:w="4820" w:type="dxa"/>
          </w:tcPr>
          <w:p w14:paraId="3A2C7A4C" w14:textId="39CD67B2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230 V (1-faza) lub 400 V (3-fazy)</w:t>
            </w:r>
          </w:p>
        </w:tc>
        <w:tc>
          <w:tcPr>
            <w:tcW w:w="2504" w:type="dxa"/>
          </w:tcPr>
          <w:p w14:paraId="575C78D2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0EB6353D" w14:textId="77777777" w:rsidTr="00BA5EA8">
        <w:trPr>
          <w:trHeight w:val="567"/>
        </w:trPr>
        <w:tc>
          <w:tcPr>
            <w:tcW w:w="562" w:type="dxa"/>
          </w:tcPr>
          <w:p w14:paraId="743A0CEB" w14:textId="0E45026F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20E864F" w14:textId="3751B7C2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Częstotliwość</w:t>
            </w:r>
          </w:p>
        </w:tc>
        <w:tc>
          <w:tcPr>
            <w:tcW w:w="4820" w:type="dxa"/>
          </w:tcPr>
          <w:p w14:paraId="3243771E" w14:textId="7D438FBE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50 </w:t>
            </w:r>
            <w:proofErr w:type="spellStart"/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Hz</w:t>
            </w:r>
            <w:proofErr w:type="spellEnd"/>
          </w:p>
        </w:tc>
        <w:tc>
          <w:tcPr>
            <w:tcW w:w="2504" w:type="dxa"/>
          </w:tcPr>
          <w:p w14:paraId="613D7B76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5F4F4B89" w14:textId="77777777" w:rsidTr="00BA5EA8">
        <w:trPr>
          <w:trHeight w:val="567"/>
        </w:trPr>
        <w:tc>
          <w:tcPr>
            <w:tcW w:w="562" w:type="dxa"/>
          </w:tcPr>
          <w:p w14:paraId="5DD91460" w14:textId="087B241C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BEF917F" w14:textId="0CA69FA7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Prąd znamionowy</w:t>
            </w:r>
          </w:p>
        </w:tc>
        <w:tc>
          <w:tcPr>
            <w:tcW w:w="4820" w:type="dxa"/>
          </w:tcPr>
          <w:p w14:paraId="60ADA12F" w14:textId="231A7751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Max. 10 A (lub wartość adekwatna do konstrukcji)</w:t>
            </w:r>
          </w:p>
        </w:tc>
        <w:tc>
          <w:tcPr>
            <w:tcW w:w="2504" w:type="dxa"/>
          </w:tcPr>
          <w:p w14:paraId="1C0AA457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A5EA8" w:rsidRPr="00F90D5C" w14:paraId="5E310380" w14:textId="77777777" w:rsidTr="00BA5EA8">
        <w:trPr>
          <w:trHeight w:val="567"/>
        </w:trPr>
        <w:tc>
          <w:tcPr>
            <w:tcW w:w="562" w:type="dxa"/>
          </w:tcPr>
          <w:p w14:paraId="0C3CDDA0" w14:textId="7724FA18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60EF927" w14:textId="0733CA3B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Rodzaj paliwa</w:t>
            </w:r>
          </w:p>
        </w:tc>
        <w:tc>
          <w:tcPr>
            <w:tcW w:w="4820" w:type="dxa"/>
          </w:tcPr>
          <w:p w14:paraId="5778FF38" w14:textId="3CC389E8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Olej opałowy lub olej napędowy</w:t>
            </w:r>
          </w:p>
        </w:tc>
        <w:tc>
          <w:tcPr>
            <w:tcW w:w="2504" w:type="dxa"/>
          </w:tcPr>
          <w:p w14:paraId="57E3EE12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A5EA8" w:rsidRPr="00F90D5C" w14:paraId="53E40956" w14:textId="77777777" w:rsidTr="00BA5EA8">
        <w:trPr>
          <w:trHeight w:val="567"/>
        </w:trPr>
        <w:tc>
          <w:tcPr>
            <w:tcW w:w="562" w:type="dxa"/>
          </w:tcPr>
          <w:p w14:paraId="56EAE357" w14:textId="77777777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C20580D" w14:textId="532D4893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Zużycie paliwa</w:t>
            </w:r>
          </w:p>
        </w:tc>
        <w:tc>
          <w:tcPr>
            <w:tcW w:w="4820" w:type="dxa"/>
          </w:tcPr>
          <w:p w14:paraId="4FDE9D39" w14:textId="1989D970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Max. </w:t>
            </w:r>
            <w:r w:rsidRPr="00BA5EA8">
              <w:rPr>
                <w:rFonts w:ascii="Lato" w:hAnsi="Lato"/>
                <w:sz w:val="24"/>
                <w:szCs w:val="24"/>
              </w:rPr>
              <w:t>13 l/h</w:t>
            </w: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przy pełnej mocy</w:t>
            </w:r>
          </w:p>
        </w:tc>
        <w:tc>
          <w:tcPr>
            <w:tcW w:w="2504" w:type="dxa"/>
          </w:tcPr>
          <w:p w14:paraId="2A427DE2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A5EA8" w:rsidRPr="00F90D5C" w14:paraId="78421A1D" w14:textId="77777777" w:rsidTr="00BA5EA8">
        <w:trPr>
          <w:trHeight w:val="567"/>
        </w:trPr>
        <w:tc>
          <w:tcPr>
            <w:tcW w:w="562" w:type="dxa"/>
          </w:tcPr>
          <w:p w14:paraId="2017CCEE" w14:textId="609B6633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C1D906A" w14:textId="11C0A5FB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Stopień ochrony</w:t>
            </w:r>
          </w:p>
        </w:tc>
        <w:tc>
          <w:tcPr>
            <w:tcW w:w="4820" w:type="dxa"/>
          </w:tcPr>
          <w:p w14:paraId="253A1710" w14:textId="3A17B9CA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</w:t>
            </w:r>
            <w:r w:rsidRPr="00BA5EA8">
              <w:rPr>
                <w:rFonts w:ascii="Lato" w:hAnsi="Lato"/>
                <w:sz w:val="24"/>
                <w:szCs w:val="24"/>
              </w:rPr>
              <w:t>IP55</w:t>
            </w:r>
          </w:p>
        </w:tc>
        <w:tc>
          <w:tcPr>
            <w:tcW w:w="2504" w:type="dxa"/>
          </w:tcPr>
          <w:p w14:paraId="40939183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A5EA8" w:rsidRPr="00F90D5C" w14:paraId="503BE87B" w14:textId="77777777" w:rsidTr="00BA5EA8">
        <w:trPr>
          <w:trHeight w:val="567"/>
        </w:trPr>
        <w:tc>
          <w:tcPr>
            <w:tcW w:w="562" w:type="dxa"/>
          </w:tcPr>
          <w:p w14:paraId="678C1121" w14:textId="44AC998E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37A0AD0" w14:textId="083598E2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Średnica przyłącza kominowego</w:t>
            </w:r>
          </w:p>
        </w:tc>
        <w:tc>
          <w:tcPr>
            <w:tcW w:w="4820" w:type="dxa"/>
          </w:tcPr>
          <w:p w14:paraId="7BFD8FA5" w14:textId="4E7B9479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sz w:val="24"/>
                <w:szCs w:val="24"/>
              </w:rPr>
              <w:t>200 mm</w:t>
            </w:r>
          </w:p>
        </w:tc>
        <w:tc>
          <w:tcPr>
            <w:tcW w:w="2504" w:type="dxa"/>
          </w:tcPr>
          <w:p w14:paraId="497CB516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A5EA8" w:rsidRPr="00F90D5C" w14:paraId="67CCC733" w14:textId="77777777" w:rsidTr="00BA5EA8">
        <w:trPr>
          <w:trHeight w:val="567"/>
        </w:trPr>
        <w:tc>
          <w:tcPr>
            <w:tcW w:w="562" w:type="dxa"/>
          </w:tcPr>
          <w:p w14:paraId="2DAA5B27" w14:textId="2C8BAD0F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B77C37A" w14:textId="57BFF259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 xml:space="preserve">Średnica rury wylotowej </w:t>
            </w: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>(dystrybucja powietrza)</w:t>
            </w:r>
          </w:p>
        </w:tc>
        <w:tc>
          <w:tcPr>
            <w:tcW w:w="4820" w:type="dxa"/>
          </w:tcPr>
          <w:p w14:paraId="3C931722" w14:textId="002CDAA0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sz w:val="24"/>
                <w:szCs w:val="24"/>
              </w:rPr>
              <w:lastRenderedPageBreak/>
              <w:t>600 mm</w:t>
            </w:r>
          </w:p>
        </w:tc>
        <w:tc>
          <w:tcPr>
            <w:tcW w:w="2504" w:type="dxa"/>
          </w:tcPr>
          <w:p w14:paraId="71EB37E9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A5EA8" w:rsidRPr="00F90D5C" w14:paraId="52A8CCD8" w14:textId="77777777" w:rsidTr="00BA5EA8">
        <w:trPr>
          <w:trHeight w:val="567"/>
        </w:trPr>
        <w:tc>
          <w:tcPr>
            <w:tcW w:w="562" w:type="dxa"/>
          </w:tcPr>
          <w:p w14:paraId="2C179773" w14:textId="057AF570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019EA06" w14:textId="50115FD3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Rodzaj wentylatora</w:t>
            </w:r>
          </w:p>
        </w:tc>
        <w:tc>
          <w:tcPr>
            <w:tcW w:w="4820" w:type="dxa"/>
          </w:tcPr>
          <w:p w14:paraId="1D33BA74" w14:textId="26341E91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Osiowy</w:t>
            </w:r>
          </w:p>
        </w:tc>
        <w:tc>
          <w:tcPr>
            <w:tcW w:w="2504" w:type="dxa"/>
          </w:tcPr>
          <w:p w14:paraId="6484B88C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63CF6E75" w14:textId="77777777" w:rsidTr="00BA5EA8">
        <w:trPr>
          <w:trHeight w:val="567"/>
        </w:trPr>
        <w:tc>
          <w:tcPr>
            <w:tcW w:w="562" w:type="dxa"/>
          </w:tcPr>
          <w:p w14:paraId="4CDC8288" w14:textId="59268D1F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2887B64" w14:textId="7260FB24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Giętkie przewody do nadmuchu</w:t>
            </w:r>
          </w:p>
        </w:tc>
        <w:tc>
          <w:tcPr>
            <w:tcW w:w="4820" w:type="dxa"/>
          </w:tcPr>
          <w:p w14:paraId="08F278F5" w14:textId="578627EC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</w:t>
            </w:r>
            <w:r w:rsidRPr="00BA5EA8">
              <w:rPr>
                <w:rFonts w:ascii="Lato" w:hAnsi="Lato"/>
                <w:sz w:val="24"/>
                <w:szCs w:val="24"/>
              </w:rPr>
              <w:t>4 szt.</w:t>
            </w: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w komplecie</w:t>
            </w:r>
          </w:p>
        </w:tc>
        <w:tc>
          <w:tcPr>
            <w:tcW w:w="2504" w:type="dxa"/>
          </w:tcPr>
          <w:p w14:paraId="5917095F" w14:textId="4CF2A1B7" w:rsidR="00BA5EA8" w:rsidRPr="00854311" w:rsidRDefault="00BA5EA8" w:rsidP="00BA5EA8">
            <w:pPr>
              <w:spacing w:line="20" w:lineRule="atLeast"/>
              <w:ind w:firstLine="720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A5EA8" w:rsidRPr="00F90D5C" w14:paraId="1A724478" w14:textId="77777777" w:rsidTr="00BA5EA8">
        <w:trPr>
          <w:trHeight w:val="567"/>
        </w:trPr>
        <w:tc>
          <w:tcPr>
            <w:tcW w:w="562" w:type="dxa"/>
          </w:tcPr>
          <w:p w14:paraId="27CD5C64" w14:textId="4DC34879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C5E32A9" w14:textId="7EF65E52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Panel rozdziału powietrza</w:t>
            </w:r>
          </w:p>
        </w:tc>
        <w:tc>
          <w:tcPr>
            <w:tcW w:w="4820" w:type="dxa"/>
          </w:tcPr>
          <w:p w14:paraId="14CA3811" w14:textId="6AF9BEFA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</w:t>
            </w:r>
            <w:r w:rsidRPr="00BA5EA8">
              <w:rPr>
                <w:rFonts w:ascii="Lato" w:hAnsi="Lato"/>
                <w:sz w:val="24"/>
                <w:szCs w:val="24"/>
              </w:rPr>
              <w:t>1 panel 4-drożny</w:t>
            </w: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na każdą nagrzewnicę</w:t>
            </w:r>
          </w:p>
        </w:tc>
        <w:tc>
          <w:tcPr>
            <w:tcW w:w="2504" w:type="dxa"/>
          </w:tcPr>
          <w:p w14:paraId="2CD5A045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A5EA8" w:rsidRPr="00F90D5C" w14:paraId="5071A84B" w14:textId="106758B4" w:rsidTr="00BA5EA8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9D22" w14:textId="5D105100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4C2" w14:textId="1B4F422B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Wyposażenie transportowe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7BD" w14:textId="7D4C5EAC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Kółka, uchwyty do przenoszenia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BA25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A5EA8" w:rsidRPr="00F90D5C" w14:paraId="297EA7A9" w14:textId="77777777" w:rsidTr="00BA5EA8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B1AC" w14:textId="77777777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F3C4" w14:textId="1AFD7024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Wyposażenie bezpieczeństwa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FB4" w14:textId="00CE94C6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Termostat przegrzania; system chłodzenia po wyłączeniu; zabezpieczenie spalania; kontrolka płomienia; układ bezpieczeństwa.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CA4" w14:textId="7FF2DCCE" w:rsidR="00BA5EA8" w:rsidRPr="00EA3C66" w:rsidRDefault="00BA5EA8" w:rsidP="00BA5EA8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A5EA8" w:rsidRPr="00F90D5C" w14:paraId="41543067" w14:textId="77777777" w:rsidTr="00BA5EA8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0905" w14:textId="77777777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D716" w14:textId="5544DC20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Wymiennik ciepła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51C4" w14:textId="7E8C0C77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Stal nierdzewna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9FD3" w14:textId="77777777" w:rsidR="00BA5EA8" w:rsidRPr="00EA3C66" w:rsidRDefault="00BA5EA8" w:rsidP="00BA5EA8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A5EA8" w:rsidRPr="00F90D5C" w14:paraId="4ABF66FF" w14:textId="302C0BC8" w:rsidTr="00BA5EA8">
        <w:trPr>
          <w:trHeight w:val="567"/>
        </w:trPr>
        <w:tc>
          <w:tcPr>
            <w:tcW w:w="562" w:type="dxa"/>
            <w:tcBorders>
              <w:top w:val="single" w:sz="4" w:space="0" w:color="auto"/>
            </w:tcBorders>
          </w:tcPr>
          <w:p w14:paraId="6719EA11" w14:textId="56004CFB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679E8830" w14:textId="3B591CBF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Waga urządzenia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47DB7FB7" w14:textId="68A84944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Max. </w:t>
            </w:r>
            <w:r w:rsidRPr="00BA5EA8">
              <w:rPr>
                <w:rFonts w:ascii="Lato" w:hAnsi="Lato"/>
                <w:sz w:val="24"/>
                <w:szCs w:val="24"/>
              </w:rPr>
              <w:t>300 kg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24CCB2A0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A5EA8" w:rsidRPr="00F90D5C" w14:paraId="1172118A" w14:textId="77777777" w:rsidTr="00BA5EA8">
        <w:trPr>
          <w:trHeight w:val="567"/>
        </w:trPr>
        <w:tc>
          <w:tcPr>
            <w:tcW w:w="562" w:type="dxa"/>
          </w:tcPr>
          <w:p w14:paraId="221CDBE5" w14:textId="64962D2C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82CA3C7" w14:textId="40A92628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Instrukcja obsługi</w:t>
            </w:r>
          </w:p>
        </w:tc>
        <w:tc>
          <w:tcPr>
            <w:tcW w:w="4820" w:type="dxa"/>
          </w:tcPr>
          <w:p w14:paraId="7393DCFC" w14:textId="3E02AF1F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 języku polskim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0A91ABA2" w14:textId="15F44555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7053A830" w14:textId="77777777" w:rsidTr="00BA5EA8">
        <w:trPr>
          <w:trHeight w:val="567"/>
        </w:trPr>
        <w:tc>
          <w:tcPr>
            <w:tcW w:w="562" w:type="dxa"/>
          </w:tcPr>
          <w:p w14:paraId="19BF4176" w14:textId="704FD1B7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93F16F2" w14:textId="466057EF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Certyfikaty</w:t>
            </w:r>
          </w:p>
        </w:tc>
        <w:tc>
          <w:tcPr>
            <w:tcW w:w="4820" w:type="dxa"/>
          </w:tcPr>
          <w:p w14:paraId="64601BE7" w14:textId="02032482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Zgodność z normami UE, znak CE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561B4C87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010AB902" w14:textId="77777777" w:rsidTr="00BA5EA8">
        <w:trPr>
          <w:trHeight w:val="567"/>
        </w:trPr>
        <w:tc>
          <w:tcPr>
            <w:tcW w:w="562" w:type="dxa"/>
          </w:tcPr>
          <w:p w14:paraId="0564CB39" w14:textId="77777777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6D50A4D" w14:textId="4D9C4733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4820" w:type="dxa"/>
          </w:tcPr>
          <w:p w14:paraId="35F8CF1D" w14:textId="7F643D4D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</w:t>
            </w:r>
            <w:r w:rsidRPr="00BA5EA8">
              <w:rPr>
                <w:rFonts w:ascii="Lato" w:hAnsi="Lato"/>
                <w:sz w:val="24"/>
                <w:szCs w:val="24"/>
              </w:rPr>
              <w:t>24 miesiące</w:t>
            </w: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na całość urządzenia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252E6CA5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70379F3F" w14:textId="77777777" w:rsidTr="00BA5EA8">
        <w:trPr>
          <w:trHeight w:val="567"/>
        </w:trPr>
        <w:tc>
          <w:tcPr>
            <w:tcW w:w="562" w:type="dxa"/>
          </w:tcPr>
          <w:p w14:paraId="66F2E078" w14:textId="77777777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E9A4D43" w14:textId="4390B8A5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Szkolenie</w:t>
            </w:r>
          </w:p>
        </w:tc>
        <w:tc>
          <w:tcPr>
            <w:tcW w:w="4820" w:type="dxa"/>
          </w:tcPr>
          <w:p w14:paraId="5092CBDF" w14:textId="22086D95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Przeszkolenie min. 2 osób z obsługi i konserwacji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2AA3FD42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0768D1D8" w14:textId="77777777" w:rsidTr="00BA5EA8">
        <w:trPr>
          <w:trHeight w:val="567"/>
        </w:trPr>
        <w:tc>
          <w:tcPr>
            <w:tcW w:w="562" w:type="dxa"/>
          </w:tcPr>
          <w:p w14:paraId="4C2E9B2A" w14:textId="77777777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3037D9D" w14:textId="3860A63A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Termin dostawy</w:t>
            </w:r>
          </w:p>
        </w:tc>
        <w:tc>
          <w:tcPr>
            <w:tcW w:w="4820" w:type="dxa"/>
          </w:tcPr>
          <w:p w14:paraId="27F6C455" w14:textId="2A9DF5C2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Do </w:t>
            </w:r>
            <w:r w:rsidR="006C1F0C">
              <w:rPr>
                <w:rFonts w:ascii="Lato" w:hAnsi="Lato"/>
                <w:sz w:val="24"/>
                <w:szCs w:val="24"/>
              </w:rPr>
              <w:t>14</w:t>
            </w:r>
            <w:r w:rsidRPr="00BA5EA8">
              <w:rPr>
                <w:rFonts w:ascii="Lato" w:hAnsi="Lato"/>
                <w:sz w:val="24"/>
                <w:szCs w:val="24"/>
              </w:rPr>
              <w:t xml:space="preserve"> dni</w:t>
            </w: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od </w:t>
            </w:r>
            <w:r w:rsidR="006C1F0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dnia zawarcia</w:t>
            </w: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umowy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40D6B19E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704D9ED6" w14:textId="77777777" w:rsidTr="00BA5EA8">
        <w:trPr>
          <w:trHeight w:val="567"/>
        </w:trPr>
        <w:tc>
          <w:tcPr>
            <w:tcW w:w="562" w:type="dxa"/>
          </w:tcPr>
          <w:p w14:paraId="3AB0367E" w14:textId="77777777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52763A8" w14:textId="198B1B60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Serwis i naprawy</w:t>
            </w:r>
          </w:p>
        </w:tc>
        <w:tc>
          <w:tcPr>
            <w:tcW w:w="4820" w:type="dxa"/>
          </w:tcPr>
          <w:p w14:paraId="2326DC61" w14:textId="08A5F5D7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Czas usunięcia wady: do </w:t>
            </w:r>
            <w:r w:rsidRPr="00BA5EA8">
              <w:rPr>
                <w:rFonts w:ascii="Lato" w:hAnsi="Lato"/>
                <w:sz w:val="24"/>
                <w:szCs w:val="24"/>
              </w:rPr>
              <w:t>14 dni roboczych</w:t>
            </w: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, wyjątkowo do </w:t>
            </w:r>
            <w:r w:rsidRPr="00BA5EA8">
              <w:rPr>
                <w:rFonts w:ascii="Lato" w:hAnsi="Lato"/>
                <w:sz w:val="24"/>
                <w:szCs w:val="24"/>
              </w:rPr>
              <w:t>30 dni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24E13F7F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A5EA8" w:rsidRPr="00F90D5C" w14:paraId="547638E2" w14:textId="77777777" w:rsidTr="00BA5EA8">
        <w:trPr>
          <w:trHeight w:val="567"/>
        </w:trPr>
        <w:tc>
          <w:tcPr>
            <w:tcW w:w="562" w:type="dxa"/>
          </w:tcPr>
          <w:p w14:paraId="7B07336C" w14:textId="77777777" w:rsidR="00BA5EA8" w:rsidRPr="00F90D5C" w:rsidRDefault="00BA5EA8" w:rsidP="00BA5EA8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E4CABCC" w14:textId="61D4E2EA" w:rsidR="00BA5EA8" w:rsidRPr="00BA5EA8" w:rsidRDefault="00BA5EA8" w:rsidP="00BA5EA8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BA5EA8">
              <w:rPr>
                <w:rFonts w:ascii="Lato" w:hAnsi="Lato"/>
                <w:b/>
                <w:bCs/>
                <w:sz w:val="24"/>
                <w:szCs w:val="24"/>
              </w:rPr>
              <w:t>Zakres dostawy dla 3 kompletów</w:t>
            </w:r>
          </w:p>
        </w:tc>
        <w:tc>
          <w:tcPr>
            <w:tcW w:w="4820" w:type="dxa"/>
          </w:tcPr>
          <w:p w14:paraId="3E678ACD" w14:textId="3F12127C" w:rsidR="00BA5EA8" w:rsidRPr="00BA5EA8" w:rsidRDefault="00BA5EA8" w:rsidP="00BA5EA8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- Nagrzewnica olejowa – </w:t>
            </w:r>
            <w:r w:rsidRPr="00BA5EA8">
              <w:rPr>
                <w:rFonts w:ascii="Lato" w:hAnsi="Lato"/>
                <w:sz w:val="24"/>
                <w:szCs w:val="24"/>
              </w:rPr>
              <w:t>3 szt.</w:t>
            </w: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br/>
              <w:t xml:space="preserve">- Panel 4-drożny – </w:t>
            </w:r>
            <w:r w:rsidRPr="00BA5EA8">
              <w:rPr>
                <w:rFonts w:ascii="Lato" w:hAnsi="Lato"/>
                <w:sz w:val="24"/>
                <w:szCs w:val="24"/>
              </w:rPr>
              <w:t>3 szt.</w:t>
            </w: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br/>
              <w:t xml:space="preserve">- Przewody giętkie – </w:t>
            </w:r>
            <w:r w:rsidRPr="00BA5EA8">
              <w:rPr>
                <w:rFonts w:ascii="Lato" w:hAnsi="Lato"/>
                <w:sz w:val="24"/>
                <w:szCs w:val="24"/>
              </w:rPr>
              <w:t>12 szt.</w:t>
            </w: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br/>
              <w:t xml:space="preserve">- Zestawy przyłączeniowe – </w:t>
            </w:r>
            <w:r w:rsidRPr="00BA5EA8">
              <w:rPr>
                <w:rFonts w:ascii="Lato" w:hAnsi="Lato"/>
                <w:sz w:val="24"/>
                <w:szCs w:val="24"/>
              </w:rPr>
              <w:t>3 komplety</w:t>
            </w: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A5EA8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br/>
              <w:t>- Komplet wyposażenia bezpieczeństwa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25449E36" w14:textId="77777777" w:rsidR="00BA5EA8" w:rsidRPr="00854311" w:rsidRDefault="00BA5EA8" w:rsidP="00BA5EA8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bookmarkEnd w:id="0"/>
    </w:tbl>
    <w:p w14:paraId="556CA8F3" w14:textId="77777777" w:rsidR="00D45D56" w:rsidRDefault="00D45D56" w:rsidP="00BA5EA8">
      <w:pPr>
        <w:pStyle w:val="Akapitzlist"/>
        <w:spacing w:before="120" w:after="0" w:line="20" w:lineRule="atLeast"/>
        <w:ind w:left="284"/>
        <w:jc w:val="both"/>
        <w:rPr>
          <w:rFonts w:ascii="Lato" w:hAnsi="Lato"/>
        </w:rPr>
      </w:pPr>
    </w:p>
    <w:p w14:paraId="423C88E4" w14:textId="7F2F5213" w:rsidR="001F3186" w:rsidRPr="00C53E01" w:rsidRDefault="001F3186" w:rsidP="00BA5EA8">
      <w:pPr>
        <w:pStyle w:val="Akapitzlist"/>
        <w:numPr>
          <w:ilvl w:val="0"/>
          <w:numId w:val="22"/>
        </w:numPr>
        <w:spacing w:before="120" w:after="0" w:line="20" w:lineRule="atLeast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C53E01">
        <w:rPr>
          <w:rFonts w:ascii="Lato" w:hAnsi="Lato"/>
          <w:b/>
          <w:bCs/>
          <w:sz w:val="24"/>
          <w:szCs w:val="24"/>
        </w:rPr>
        <w:t>Instrukcja do wypełnienia tabeli:</w:t>
      </w:r>
    </w:p>
    <w:p w14:paraId="5972A993" w14:textId="30B8A20D" w:rsidR="00BA5EA8" w:rsidRPr="00BA5EA8" w:rsidRDefault="001F3186" w:rsidP="00BA5EA8">
      <w:pPr>
        <w:spacing w:after="0" w:line="20" w:lineRule="atLeast"/>
        <w:ind w:left="284"/>
        <w:jc w:val="both"/>
        <w:rPr>
          <w:rFonts w:ascii="Lato" w:hAnsi="Lato"/>
        </w:rPr>
      </w:pPr>
      <w:r w:rsidRPr="007D0B8B">
        <w:rPr>
          <w:rFonts w:ascii="Lato" w:hAnsi="Lato"/>
          <w:sz w:val="24"/>
          <w:szCs w:val="24"/>
        </w:rPr>
        <w:t xml:space="preserve">W </w:t>
      </w:r>
      <w:r w:rsidR="00BA5EA8" w:rsidRPr="00BA5EA8">
        <w:rPr>
          <w:rFonts w:ascii="Lato" w:hAnsi="Lato"/>
        </w:rPr>
        <w:t xml:space="preserve">kolumnie </w:t>
      </w:r>
      <w:r w:rsidR="00BA5EA8" w:rsidRPr="00BA5EA8">
        <w:rPr>
          <w:rFonts w:ascii="Lato" w:hAnsi="Lato"/>
          <w:b/>
          <w:bCs/>
        </w:rPr>
        <w:t>„Parametry oferowane”</w:t>
      </w:r>
      <w:r w:rsidR="00BA5EA8" w:rsidRPr="00BA5EA8">
        <w:rPr>
          <w:rFonts w:ascii="Lato" w:hAnsi="Lato"/>
        </w:rPr>
        <w:t xml:space="preserve"> Wykonawca wpisuje:</w:t>
      </w:r>
    </w:p>
    <w:p w14:paraId="1EE03FF3" w14:textId="77777777" w:rsidR="00BA5EA8" w:rsidRPr="00BA5EA8" w:rsidRDefault="00BA5EA8" w:rsidP="00BA5EA8">
      <w:pPr>
        <w:numPr>
          <w:ilvl w:val="0"/>
          <w:numId w:val="27"/>
        </w:numPr>
        <w:spacing w:after="0" w:line="20" w:lineRule="atLeast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t>konkretne wartości techniczne,</w:t>
      </w:r>
    </w:p>
    <w:p w14:paraId="1C021510" w14:textId="77777777" w:rsidR="00BA5EA8" w:rsidRPr="00BA5EA8" w:rsidRDefault="00BA5EA8" w:rsidP="00BA5EA8">
      <w:pPr>
        <w:numPr>
          <w:ilvl w:val="0"/>
          <w:numId w:val="27"/>
        </w:numPr>
        <w:spacing w:after="0" w:line="20" w:lineRule="atLeast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t>nazwy dokumentów potwierdzających parametry,</w:t>
      </w:r>
    </w:p>
    <w:p w14:paraId="16EEBABE" w14:textId="77777777" w:rsidR="00BA5EA8" w:rsidRPr="00BA5EA8" w:rsidRDefault="00BA5EA8" w:rsidP="00BA5EA8">
      <w:pPr>
        <w:numPr>
          <w:ilvl w:val="0"/>
          <w:numId w:val="27"/>
        </w:numPr>
        <w:spacing w:after="0" w:line="20" w:lineRule="atLeast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t>jednoznaczne wskazanie „spełnia” – jeśli parametr nie wymaga liczby.</w:t>
      </w:r>
    </w:p>
    <w:p w14:paraId="71F5957E" w14:textId="42BAACB7" w:rsidR="00BA5EA8" w:rsidRPr="00BA5EA8" w:rsidRDefault="00BA5EA8" w:rsidP="00BA5EA8">
      <w:pPr>
        <w:spacing w:after="0" w:line="20" w:lineRule="atLeast"/>
        <w:ind w:left="284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t>Wszystkie dane muszą być zgodne z kartą katalogową producenta urządzenia.</w:t>
      </w:r>
    </w:p>
    <w:p w14:paraId="2093845B" w14:textId="293BB0AD" w:rsidR="001F3186" w:rsidRPr="00C53E01" w:rsidRDefault="001F3186" w:rsidP="00BA5EA8">
      <w:pPr>
        <w:pStyle w:val="Akapitzlist"/>
        <w:numPr>
          <w:ilvl w:val="0"/>
          <w:numId w:val="22"/>
        </w:numPr>
        <w:spacing w:before="120" w:after="0" w:line="20" w:lineRule="atLeast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C53E01">
        <w:rPr>
          <w:rFonts w:ascii="Lato" w:hAnsi="Lato"/>
          <w:b/>
          <w:bCs/>
          <w:sz w:val="24"/>
          <w:szCs w:val="24"/>
        </w:rPr>
        <w:t xml:space="preserve">Uwagi dodatkowe: </w:t>
      </w:r>
    </w:p>
    <w:bookmarkEnd w:id="1"/>
    <w:bookmarkEnd w:id="2"/>
    <w:bookmarkEnd w:id="3"/>
    <w:p w14:paraId="2F7F07B8" w14:textId="77777777" w:rsidR="00BA5EA8" w:rsidRDefault="00BA5EA8" w:rsidP="00BA5EA8">
      <w:pPr>
        <w:numPr>
          <w:ilvl w:val="0"/>
          <w:numId w:val="28"/>
        </w:numPr>
        <w:spacing w:before="120" w:after="0" w:line="20" w:lineRule="atLeast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b/>
          <w:bCs/>
          <w:sz w:val="24"/>
          <w:szCs w:val="24"/>
        </w:rPr>
        <w:t>Miejsce dostawy:</w:t>
      </w:r>
    </w:p>
    <w:p w14:paraId="508B1CD9" w14:textId="7F3BAD94" w:rsidR="00BA5EA8" w:rsidRPr="00BA5EA8" w:rsidRDefault="00BA5EA8" w:rsidP="00BA5EA8">
      <w:pPr>
        <w:spacing w:before="120" w:after="0" w:line="20" w:lineRule="atLeast"/>
        <w:ind w:left="680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lastRenderedPageBreak/>
        <w:t>Wojewódzki Magazyn Przeciwpowodziowy, Lubieszyn 10H, 72-002 Dołuje.</w:t>
      </w:r>
    </w:p>
    <w:p w14:paraId="6EC3AA5C" w14:textId="77777777" w:rsidR="00BA5EA8" w:rsidRDefault="00BA5EA8" w:rsidP="00BA5EA8">
      <w:pPr>
        <w:numPr>
          <w:ilvl w:val="0"/>
          <w:numId w:val="28"/>
        </w:numPr>
        <w:spacing w:before="120" w:after="0" w:line="20" w:lineRule="atLeast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b/>
          <w:bCs/>
          <w:sz w:val="24"/>
          <w:szCs w:val="24"/>
        </w:rPr>
        <w:t>Odbiór urządzeń:</w:t>
      </w:r>
    </w:p>
    <w:p w14:paraId="03DE8A13" w14:textId="4281205F" w:rsidR="00BA5EA8" w:rsidRPr="00BA5EA8" w:rsidRDefault="00BA5EA8" w:rsidP="00BA5EA8">
      <w:pPr>
        <w:spacing w:before="120" w:after="0" w:line="20" w:lineRule="atLeast"/>
        <w:ind w:left="680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t>Na podstawie protokołu ilościowo-jakościowego, obejmującego:</w:t>
      </w:r>
    </w:p>
    <w:p w14:paraId="0B63BB32" w14:textId="77777777" w:rsidR="00BA5EA8" w:rsidRPr="00BA5EA8" w:rsidRDefault="00BA5EA8" w:rsidP="00BA5EA8">
      <w:pPr>
        <w:numPr>
          <w:ilvl w:val="1"/>
          <w:numId w:val="28"/>
        </w:numPr>
        <w:spacing w:after="0" w:line="20" w:lineRule="atLeast"/>
        <w:ind w:left="1434" w:hanging="357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t>sprawdzenie kompletności,</w:t>
      </w:r>
    </w:p>
    <w:p w14:paraId="0C111ACD" w14:textId="77777777" w:rsidR="00BA5EA8" w:rsidRPr="00BA5EA8" w:rsidRDefault="00BA5EA8" w:rsidP="00BA5EA8">
      <w:pPr>
        <w:numPr>
          <w:ilvl w:val="1"/>
          <w:numId w:val="28"/>
        </w:numPr>
        <w:spacing w:after="0" w:line="20" w:lineRule="atLeast"/>
        <w:ind w:left="1434" w:hanging="357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t>zgodności parametrów z ofertą i ST,</w:t>
      </w:r>
    </w:p>
    <w:p w14:paraId="073DCF57" w14:textId="77777777" w:rsidR="00BA5EA8" w:rsidRPr="00BA5EA8" w:rsidRDefault="00BA5EA8" w:rsidP="00BA5EA8">
      <w:pPr>
        <w:numPr>
          <w:ilvl w:val="1"/>
          <w:numId w:val="28"/>
        </w:numPr>
        <w:spacing w:after="0" w:line="20" w:lineRule="atLeast"/>
        <w:ind w:left="1434" w:hanging="357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t>test uruchomienia i sprawności,</w:t>
      </w:r>
    </w:p>
    <w:p w14:paraId="6947FE2A" w14:textId="77777777" w:rsidR="00BA5EA8" w:rsidRPr="00BA5EA8" w:rsidRDefault="00BA5EA8" w:rsidP="00BA5EA8">
      <w:pPr>
        <w:numPr>
          <w:ilvl w:val="1"/>
          <w:numId w:val="28"/>
        </w:numPr>
        <w:spacing w:after="0" w:line="20" w:lineRule="atLeast"/>
        <w:ind w:left="1434" w:hanging="357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t>weryfikację dokumentacji,</w:t>
      </w:r>
    </w:p>
    <w:p w14:paraId="09EE8EFE" w14:textId="77777777" w:rsidR="00BA5EA8" w:rsidRPr="00BA5EA8" w:rsidRDefault="00BA5EA8" w:rsidP="00BA5EA8">
      <w:pPr>
        <w:numPr>
          <w:ilvl w:val="1"/>
          <w:numId w:val="28"/>
        </w:numPr>
        <w:spacing w:after="0" w:line="20" w:lineRule="atLeast"/>
        <w:ind w:left="1434" w:hanging="357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t>sprawdzenie oznakowania i stanu technicznego.</w:t>
      </w:r>
    </w:p>
    <w:p w14:paraId="1FF051CF" w14:textId="77777777" w:rsidR="00BA5EA8" w:rsidRPr="00BA5EA8" w:rsidRDefault="00BA5EA8" w:rsidP="00BA5EA8">
      <w:pPr>
        <w:numPr>
          <w:ilvl w:val="0"/>
          <w:numId w:val="28"/>
        </w:numPr>
        <w:spacing w:before="120" w:after="0" w:line="20" w:lineRule="atLeast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b/>
          <w:bCs/>
          <w:sz w:val="24"/>
          <w:szCs w:val="24"/>
        </w:rPr>
        <w:t>Sprzęt musi być fabrycznie nowy</w:t>
      </w:r>
      <w:r w:rsidRPr="00BA5EA8">
        <w:rPr>
          <w:rFonts w:ascii="Lato" w:hAnsi="Lato"/>
          <w:sz w:val="24"/>
          <w:szCs w:val="24"/>
        </w:rPr>
        <w:t>, rok produkcji bieżący lub poprzedni, bez śladów użycia.</w:t>
      </w:r>
    </w:p>
    <w:p w14:paraId="617F3A21" w14:textId="77777777" w:rsidR="00BA5EA8" w:rsidRPr="00BA5EA8" w:rsidRDefault="00BA5EA8" w:rsidP="00BA5EA8">
      <w:pPr>
        <w:numPr>
          <w:ilvl w:val="0"/>
          <w:numId w:val="28"/>
        </w:numPr>
        <w:spacing w:before="120" w:after="0" w:line="20" w:lineRule="atLeast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b/>
          <w:bCs/>
          <w:sz w:val="24"/>
          <w:szCs w:val="24"/>
        </w:rPr>
        <w:t>Zamawiający może przeprowadzić testy funkcjonalne</w:t>
      </w:r>
      <w:r w:rsidRPr="00BA5EA8">
        <w:rPr>
          <w:rFonts w:ascii="Lato" w:hAnsi="Lato"/>
          <w:sz w:val="24"/>
          <w:szCs w:val="24"/>
        </w:rPr>
        <w:t>, obejmujące m.in.:</w:t>
      </w:r>
    </w:p>
    <w:p w14:paraId="68E5EC36" w14:textId="77777777" w:rsidR="00BA5EA8" w:rsidRPr="00BA5EA8" w:rsidRDefault="00BA5EA8" w:rsidP="00BA5EA8">
      <w:pPr>
        <w:numPr>
          <w:ilvl w:val="1"/>
          <w:numId w:val="28"/>
        </w:numPr>
        <w:spacing w:after="0" w:line="20" w:lineRule="atLeast"/>
        <w:ind w:left="1434" w:hanging="357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t>poprawność rozruchu,</w:t>
      </w:r>
    </w:p>
    <w:p w14:paraId="57A3C6DB" w14:textId="77777777" w:rsidR="00BA5EA8" w:rsidRPr="00BA5EA8" w:rsidRDefault="00BA5EA8" w:rsidP="00BA5EA8">
      <w:pPr>
        <w:numPr>
          <w:ilvl w:val="1"/>
          <w:numId w:val="28"/>
        </w:numPr>
        <w:spacing w:after="0" w:line="20" w:lineRule="atLeast"/>
        <w:ind w:left="1434" w:hanging="357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t>stabilność pracy,</w:t>
      </w:r>
    </w:p>
    <w:p w14:paraId="4110A756" w14:textId="77777777" w:rsidR="00BA5EA8" w:rsidRPr="00BA5EA8" w:rsidRDefault="00BA5EA8" w:rsidP="00BA5EA8">
      <w:pPr>
        <w:numPr>
          <w:ilvl w:val="1"/>
          <w:numId w:val="28"/>
        </w:numPr>
        <w:spacing w:after="0" w:line="20" w:lineRule="atLeast"/>
        <w:ind w:left="1434" w:hanging="357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t>efektywność nadmuchu,</w:t>
      </w:r>
    </w:p>
    <w:p w14:paraId="36F057AC" w14:textId="77777777" w:rsidR="00BA5EA8" w:rsidRPr="00BA5EA8" w:rsidRDefault="00BA5EA8" w:rsidP="00BA5EA8">
      <w:pPr>
        <w:numPr>
          <w:ilvl w:val="1"/>
          <w:numId w:val="28"/>
        </w:numPr>
        <w:spacing w:after="0" w:line="20" w:lineRule="atLeast"/>
        <w:ind w:left="1434" w:hanging="357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t>działanie zabezpieczeń.</w:t>
      </w:r>
    </w:p>
    <w:p w14:paraId="3D603BA0" w14:textId="77777777" w:rsidR="00BA5EA8" w:rsidRPr="00BA5EA8" w:rsidRDefault="00BA5EA8" w:rsidP="00BA5EA8">
      <w:pPr>
        <w:numPr>
          <w:ilvl w:val="0"/>
          <w:numId w:val="28"/>
        </w:numPr>
        <w:spacing w:before="120" w:after="0" w:line="20" w:lineRule="atLeast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b/>
          <w:bCs/>
          <w:sz w:val="24"/>
          <w:szCs w:val="24"/>
        </w:rPr>
        <w:t>Dopuszcza się rozwiązania równoważne</w:t>
      </w:r>
      <w:r w:rsidRPr="00BA5EA8">
        <w:rPr>
          <w:rFonts w:ascii="Lato" w:hAnsi="Lato"/>
          <w:sz w:val="24"/>
          <w:szCs w:val="24"/>
        </w:rPr>
        <w:t>, pod warunkiem:</w:t>
      </w:r>
    </w:p>
    <w:p w14:paraId="2FDC304F" w14:textId="77777777" w:rsidR="00BA5EA8" w:rsidRPr="00BA5EA8" w:rsidRDefault="00BA5EA8" w:rsidP="00BA5EA8">
      <w:pPr>
        <w:numPr>
          <w:ilvl w:val="1"/>
          <w:numId w:val="28"/>
        </w:numPr>
        <w:spacing w:after="0" w:line="20" w:lineRule="atLeast"/>
        <w:ind w:left="1434" w:hanging="357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t>pełnej funkcjonalności,</w:t>
      </w:r>
    </w:p>
    <w:p w14:paraId="2D360F9B" w14:textId="77777777" w:rsidR="00BA5EA8" w:rsidRPr="00BA5EA8" w:rsidRDefault="00BA5EA8" w:rsidP="00BA5EA8">
      <w:pPr>
        <w:numPr>
          <w:ilvl w:val="1"/>
          <w:numId w:val="28"/>
        </w:numPr>
        <w:spacing w:after="0" w:line="20" w:lineRule="atLeast"/>
        <w:ind w:left="1434" w:hanging="357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t>zgodności z normami UE,</w:t>
      </w:r>
    </w:p>
    <w:p w14:paraId="0E017D09" w14:textId="77777777" w:rsidR="00BA5EA8" w:rsidRPr="00BA5EA8" w:rsidRDefault="00BA5EA8" w:rsidP="00BA5EA8">
      <w:pPr>
        <w:numPr>
          <w:ilvl w:val="1"/>
          <w:numId w:val="28"/>
        </w:numPr>
        <w:spacing w:after="0" w:line="20" w:lineRule="atLeast"/>
        <w:ind w:left="1434" w:hanging="357"/>
        <w:jc w:val="both"/>
        <w:rPr>
          <w:rFonts w:ascii="Lato" w:hAnsi="Lato"/>
          <w:sz w:val="24"/>
          <w:szCs w:val="24"/>
        </w:rPr>
      </w:pPr>
      <w:r w:rsidRPr="00BA5EA8">
        <w:rPr>
          <w:rFonts w:ascii="Lato" w:hAnsi="Lato"/>
          <w:sz w:val="24"/>
          <w:szCs w:val="24"/>
        </w:rPr>
        <w:t>niepogorszenia parametrów minimalnych.</w:t>
      </w:r>
    </w:p>
    <w:p w14:paraId="74E5AF64" w14:textId="77777777" w:rsidR="00BA5EA8" w:rsidRPr="00065159" w:rsidRDefault="00BA5EA8" w:rsidP="00065159">
      <w:pPr>
        <w:spacing w:before="120" w:after="0" w:line="264" w:lineRule="auto"/>
        <w:ind w:left="284"/>
        <w:jc w:val="both"/>
        <w:rPr>
          <w:rFonts w:ascii="Lato" w:hAnsi="Lato"/>
          <w:sz w:val="24"/>
          <w:szCs w:val="24"/>
        </w:rPr>
      </w:pPr>
    </w:p>
    <w:sectPr w:rsidR="00BA5EA8" w:rsidRPr="00065159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CBFF" w14:textId="77777777" w:rsidR="00284C70" w:rsidRPr="00DB19A9" w:rsidRDefault="00284C70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04334289" w14:textId="77777777" w:rsidR="00284C70" w:rsidRPr="00DB19A9" w:rsidRDefault="00284C70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3FE564B8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Pr="00DB19A9">
          <w:rPr>
            <w:rFonts w:ascii="Lato" w:hAnsi="Lato"/>
            <w:sz w:val="16"/>
            <w:szCs w:val="16"/>
          </w:rPr>
          <w:t>2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0BBC" w14:textId="77777777" w:rsidR="00284C70" w:rsidRPr="00DB19A9" w:rsidRDefault="00284C70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48A74B08" w14:textId="77777777" w:rsidR="00284C70" w:rsidRPr="00DB19A9" w:rsidRDefault="00284C70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0B0955"/>
    <w:multiLevelType w:val="multilevel"/>
    <w:tmpl w:val="5BC0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8F19AE"/>
    <w:multiLevelType w:val="multilevel"/>
    <w:tmpl w:val="B4EE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924AE"/>
    <w:multiLevelType w:val="multilevel"/>
    <w:tmpl w:val="E4A2C980"/>
    <w:lvl w:ilvl="0">
      <w:start w:val="1"/>
      <w:numFmt w:val="decimal"/>
      <w:lvlText w:val="%1)"/>
      <w:lvlJc w:val="left"/>
      <w:pPr>
        <w:tabs>
          <w:tab w:val="num" w:pos="720"/>
        </w:tabs>
        <w:ind w:left="680" w:hanging="340"/>
      </w:pPr>
      <w:rPr>
        <w:rFonts w:ascii="Lato" w:hAnsi="Lato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29487D"/>
    <w:multiLevelType w:val="multilevel"/>
    <w:tmpl w:val="511E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87A2C"/>
    <w:multiLevelType w:val="hybridMultilevel"/>
    <w:tmpl w:val="75DE41AE"/>
    <w:lvl w:ilvl="0" w:tplc="7C2C41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4464B5"/>
    <w:multiLevelType w:val="multilevel"/>
    <w:tmpl w:val="8780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558147">
    <w:abstractNumId w:val="5"/>
  </w:num>
  <w:num w:numId="2" w16cid:durableId="597104151">
    <w:abstractNumId w:val="3"/>
  </w:num>
  <w:num w:numId="3" w16cid:durableId="1607149442">
    <w:abstractNumId w:val="2"/>
  </w:num>
  <w:num w:numId="4" w16cid:durableId="583077738">
    <w:abstractNumId w:val="4"/>
  </w:num>
  <w:num w:numId="5" w16cid:durableId="706100748">
    <w:abstractNumId w:val="1"/>
  </w:num>
  <w:num w:numId="6" w16cid:durableId="2067099645">
    <w:abstractNumId w:val="0"/>
  </w:num>
  <w:num w:numId="7" w16cid:durableId="1364401650">
    <w:abstractNumId w:val="25"/>
  </w:num>
  <w:num w:numId="8" w16cid:durableId="170605608">
    <w:abstractNumId w:val="6"/>
  </w:num>
  <w:num w:numId="9" w16cid:durableId="1449425243">
    <w:abstractNumId w:val="15"/>
  </w:num>
  <w:num w:numId="10" w16cid:durableId="6387248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562912">
    <w:abstractNumId w:val="12"/>
  </w:num>
  <w:num w:numId="12" w16cid:durableId="257640275">
    <w:abstractNumId w:val="8"/>
  </w:num>
  <w:num w:numId="13" w16cid:durableId="1518348429">
    <w:abstractNumId w:val="20"/>
  </w:num>
  <w:num w:numId="14" w16cid:durableId="162821502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695970">
    <w:abstractNumId w:val="26"/>
  </w:num>
  <w:num w:numId="16" w16cid:durableId="1214585848">
    <w:abstractNumId w:val="18"/>
  </w:num>
  <w:num w:numId="17" w16cid:durableId="1807041582">
    <w:abstractNumId w:val="13"/>
  </w:num>
  <w:num w:numId="18" w16cid:durableId="1634434779">
    <w:abstractNumId w:val="23"/>
  </w:num>
  <w:num w:numId="19" w16cid:durableId="664404407">
    <w:abstractNumId w:val="14"/>
  </w:num>
  <w:num w:numId="20" w16cid:durableId="5262116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38677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9490658">
    <w:abstractNumId w:val="21"/>
  </w:num>
  <w:num w:numId="23" w16cid:durableId="17770954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1938543">
    <w:abstractNumId w:val="19"/>
  </w:num>
  <w:num w:numId="25" w16cid:durableId="8503390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94382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6150565">
    <w:abstractNumId w:val="7"/>
  </w:num>
  <w:num w:numId="28" w16cid:durableId="141678216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11D25"/>
    <w:rsid w:val="0001436F"/>
    <w:rsid w:val="00015EB6"/>
    <w:rsid w:val="000275AB"/>
    <w:rsid w:val="00033A8D"/>
    <w:rsid w:val="00033E50"/>
    <w:rsid w:val="00034616"/>
    <w:rsid w:val="000426F4"/>
    <w:rsid w:val="000463C1"/>
    <w:rsid w:val="00056D7B"/>
    <w:rsid w:val="0006063C"/>
    <w:rsid w:val="00065159"/>
    <w:rsid w:val="00066ECF"/>
    <w:rsid w:val="00072B48"/>
    <w:rsid w:val="00093BF8"/>
    <w:rsid w:val="00095FCB"/>
    <w:rsid w:val="000A4D0A"/>
    <w:rsid w:val="000A5729"/>
    <w:rsid w:val="000A6F35"/>
    <w:rsid w:val="000C460F"/>
    <w:rsid w:val="000E0050"/>
    <w:rsid w:val="00114254"/>
    <w:rsid w:val="0011728C"/>
    <w:rsid w:val="001232D0"/>
    <w:rsid w:val="00124405"/>
    <w:rsid w:val="00125202"/>
    <w:rsid w:val="00134532"/>
    <w:rsid w:val="00142891"/>
    <w:rsid w:val="00142961"/>
    <w:rsid w:val="00147258"/>
    <w:rsid w:val="0015074B"/>
    <w:rsid w:val="00152A6B"/>
    <w:rsid w:val="00155231"/>
    <w:rsid w:val="0016789C"/>
    <w:rsid w:val="00196237"/>
    <w:rsid w:val="001A0245"/>
    <w:rsid w:val="001A3FEC"/>
    <w:rsid w:val="001F3186"/>
    <w:rsid w:val="00215FE5"/>
    <w:rsid w:val="00220265"/>
    <w:rsid w:val="0022778C"/>
    <w:rsid w:val="0023299D"/>
    <w:rsid w:val="00240587"/>
    <w:rsid w:val="0024358C"/>
    <w:rsid w:val="00253FAB"/>
    <w:rsid w:val="002657B6"/>
    <w:rsid w:val="00265A7E"/>
    <w:rsid w:val="00284C70"/>
    <w:rsid w:val="00287556"/>
    <w:rsid w:val="0029639D"/>
    <w:rsid w:val="002A54F3"/>
    <w:rsid w:val="002C54C2"/>
    <w:rsid w:val="002C6E60"/>
    <w:rsid w:val="002C70B0"/>
    <w:rsid w:val="002C7D7A"/>
    <w:rsid w:val="002F27CC"/>
    <w:rsid w:val="00312A28"/>
    <w:rsid w:val="003172C3"/>
    <w:rsid w:val="00326F90"/>
    <w:rsid w:val="0034236D"/>
    <w:rsid w:val="00351AC5"/>
    <w:rsid w:val="00356636"/>
    <w:rsid w:val="003645EC"/>
    <w:rsid w:val="00367ABF"/>
    <w:rsid w:val="00374C22"/>
    <w:rsid w:val="003A3BA8"/>
    <w:rsid w:val="003A4F93"/>
    <w:rsid w:val="0043064A"/>
    <w:rsid w:val="004310E7"/>
    <w:rsid w:val="00435DAA"/>
    <w:rsid w:val="004368C3"/>
    <w:rsid w:val="004424A2"/>
    <w:rsid w:val="00443A10"/>
    <w:rsid w:val="00450AC5"/>
    <w:rsid w:val="004534FC"/>
    <w:rsid w:val="0046688B"/>
    <w:rsid w:val="00470A47"/>
    <w:rsid w:val="0048058B"/>
    <w:rsid w:val="00480BF5"/>
    <w:rsid w:val="00483AD3"/>
    <w:rsid w:val="004858B9"/>
    <w:rsid w:val="0049274C"/>
    <w:rsid w:val="00494F3B"/>
    <w:rsid w:val="00495C33"/>
    <w:rsid w:val="004E35C5"/>
    <w:rsid w:val="004E71ED"/>
    <w:rsid w:val="004F3D13"/>
    <w:rsid w:val="0050172B"/>
    <w:rsid w:val="00501E52"/>
    <w:rsid w:val="00522244"/>
    <w:rsid w:val="00522BEC"/>
    <w:rsid w:val="00537438"/>
    <w:rsid w:val="00537B5E"/>
    <w:rsid w:val="005434A6"/>
    <w:rsid w:val="00545702"/>
    <w:rsid w:val="0054652F"/>
    <w:rsid w:val="00557991"/>
    <w:rsid w:val="005611E7"/>
    <w:rsid w:val="005637A8"/>
    <w:rsid w:val="005B0955"/>
    <w:rsid w:val="005B6DEB"/>
    <w:rsid w:val="005C4FCA"/>
    <w:rsid w:val="005D07D8"/>
    <w:rsid w:val="005D0CD6"/>
    <w:rsid w:val="005F27CB"/>
    <w:rsid w:val="00605AD5"/>
    <w:rsid w:val="00615673"/>
    <w:rsid w:val="0062205A"/>
    <w:rsid w:val="00631762"/>
    <w:rsid w:val="006525F9"/>
    <w:rsid w:val="00654897"/>
    <w:rsid w:val="00655A57"/>
    <w:rsid w:val="0066368C"/>
    <w:rsid w:val="00675BC9"/>
    <w:rsid w:val="00690115"/>
    <w:rsid w:val="006926B3"/>
    <w:rsid w:val="006A2324"/>
    <w:rsid w:val="006B217E"/>
    <w:rsid w:val="006B5DAE"/>
    <w:rsid w:val="006C1F0C"/>
    <w:rsid w:val="006C59C1"/>
    <w:rsid w:val="006C6409"/>
    <w:rsid w:val="006C64ED"/>
    <w:rsid w:val="006D73FE"/>
    <w:rsid w:val="006E7A5D"/>
    <w:rsid w:val="006F3D10"/>
    <w:rsid w:val="006F62FB"/>
    <w:rsid w:val="00701529"/>
    <w:rsid w:val="0071590E"/>
    <w:rsid w:val="00720F83"/>
    <w:rsid w:val="00740176"/>
    <w:rsid w:val="00742730"/>
    <w:rsid w:val="00742B4B"/>
    <w:rsid w:val="00773C50"/>
    <w:rsid w:val="00786D49"/>
    <w:rsid w:val="00793B3E"/>
    <w:rsid w:val="007A02EF"/>
    <w:rsid w:val="007C4331"/>
    <w:rsid w:val="007D0B8B"/>
    <w:rsid w:val="007D41E8"/>
    <w:rsid w:val="007D5FAF"/>
    <w:rsid w:val="008210B9"/>
    <w:rsid w:val="008349CE"/>
    <w:rsid w:val="008467AF"/>
    <w:rsid w:val="00851598"/>
    <w:rsid w:val="00854311"/>
    <w:rsid w:val="00874BE7"/>
    <w:rsid w:val="008A24B2"/>
    <w:rsid w:val="008B0524"/>
    <w:rsid w:val="008C2173"/>
    <w:rsid w:val="008C7AEF"/>
    <w:rsid w:val="008D2B2C"/>
    <w:rsid w:val="008D6E29"/>
    <w:rsid w:val="008D72B8"/>
    <w:rsid w:val="008F0751"/>
    <w:rsid w:val="008F1944"/>
    <w:rsid w:val="009014E5"/>
    <w:rsid w:val="00906490"/>
    <w:rsid w:val="00910F64"/>
    <w:rsid w:val="009168CD"/>
    <w:rsid w:val="0095331F"/>
    <w:rsid w:val="00973CE8"/>
    <w:rsid w:val="00975CDC"/>
    <w:rsid w:val="0098399F"/>
    <w:rsid w:val="009A70CF"/>
    <w:rsid w:val="00A03809"/>
    <w:rsid w:val="00A04D63"/>
    <w:rsid w:val="00A42064"/>
    <w:rsid w:val="00A57057"/>
    <w:rsid w:val="00A634B6"/>
    <w:rsid w:val="00A91BA2"/>
    <w:rsid w:val="00A92C71"/>
    <w:rsid w:val="00A97C17"/>
    <w:rsid w:val="00AA1D8D"/>
    <w:rsid w:val="00AA27AC"/>
    <w:rsid w:val="00AA6521"/>
    <w:rsid w:val="00AD5380"/>
    <w:rsid w:val="00AE4A93"/>
    <w:rsid w:val="00AE6124"/>
    <w:rsid w:val="00B019AB"/>
    <w:rsid w:val="00B11A2A"/>
    <w:rsid w:val="00B12162"/>
    <w:rsid w:val="00B139F3"/>
    <w:rsid w:val="00B25B7E"/>
    <w:rsid w:val="00B27622"/>
    <w:rsid w:val="00B31893"/>
    <w:rsid w:val="00B3374D"/>
    <w:rsid w:val="00B375D9"/>
    <w:rsid w:val="00B43A0C"/>
    <w:rsid w:val="00B47730"/>
    <w:rsid w:val="00B503A0"/>
    <w:rsid w:val="00B8258C"/>
    <w:rsid w:val="00B9260A"/>
    <w:rsid w:val="00B97F3F"/>
    <w:rsid w:val="00BA5EA8"/>
    <w:rsid w:val="00BC04F4"/>
    <w:rsid w:val="00BD0A3D"/>
    <w:rsid w:val="00BD1FE7"/>
    <w:rsid w:val="00BD6664"/>
    <w:rsid w:val="00BF5D13"/>
    <w:rsid w:val="00C0290B"/>
    <w:rsid w:val="00C1246B"/>
    <w:rsid w:val="00C17AA8"/>
    <w:rsid w:val="00C214B3"/>
    <w:rsid w:val="00C21A71"/>
    <w:rsid w:val="00C344A0"/>
    <w:rsid w:val="00C53743"/>
    <w:rsid w:val="00C53E01"/>
    <w:rsid w:val="00C570E8"/>
    <w:rsid w:val="00C67DCE"/>
    <w:rsid w:val="00C9695C"/>
    <w:rsid w:val="00CB0664"/>
    <w:rsid w:val="00CC351F"/>
    <w:rsid w:val="00CE2415"/>
    <w:rsid w:val="00CF6A79"/>
    <w:rsid w:val="00CF6D55"/>
    <w:rsid w:val="00D025E3"/>
    <w:rsid w:val="00D169C7"/>
    <w:rsid w:val="00D16C03"/>
    <w:rsid w:val="00D2248A"/>
    <w:rsid w:val="00D27310"/>
    <w:rsid w:val="00D30295"/>
    <w:rsid w:val="00D36EC1"/>
    <w:rsid w:val="00D45D56"/>
    <w:rsid w:val="00D52612"/>
    <w:rsid w:val="00D77A59"/>
    <w:rsid w:val="00D87FFB"/>
    <w:rsid w:val="00D96D1A"/>
    <w:rsid w:val="00DB0ED9"/>
    <w:rsid w:val="00DB19A9"/>
    <w:rsid w:val="00DB5A41"/>
    <w:rsid w:val="00DC6EE4"/>
    <w:rsid w:val="00E11BD8"/>
    <w:rsid w:val="00E20505"/>
    <w:rsid w:val="00E25AC0"/>
    <w:rsid w:val="00E32B40"/>
    <w:rsid w:val="00E44502"/>
    <w:rsid w:val="00E52890"/>
    <w:rsid w:val="00E61658"/>
    <w:rsid w:val="00E7246A"/>
    <w:rsid w:val="00E820CE"/>
    <w:rsid w:val="00E82AE9"/>
    <w:rsid w:val="00E85DDE"/>
    <w:rsid w:val="00E86EE8"/>
    <w:rsid w:val="00E9251F"/>
    <w:rsid w:val="00E94E4C"/>
    <w:rsid w:val="00EA3C66"/>
    <w:rsid w:val="00EA755A"/>
    <w:rsid w:val="00EC4CCC"/>
    <w:rsid w:val="00EC4F98"/>
    <w:rsid w:val="00EE1A59"/>
    <w:rsid w:val="00EE56D5"/>
    <w:rsid w:val="00EF5B8C"/>
    <w:rsid w:val="00F2368B"/>
    <w:rsid w:val="00F30338"/>
    <w:rsid w:val="00F30C05"/>
    <w:rsid w:val="00F40D01"/>
    <w:rsid w:val="00F4435E"/>
    <w:rsid w:val="00F63882"/>
    <w:rsid w:val="00F66C94"/>
    <w:rsid w:val="00F90D5C"/>
    <w:rsid w:val="00FA6DBD"/>
    <w:rsid w:val="00FB0644"/>
    <w:rsid w:val="00FB44E6"/>
    <w:rsid w:val="00FC693F"/>
    <w:rsid w:val="00FD524E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BA5E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customXml/itemProps2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Zuzanna Czopek</cp:lastModifiedBy>
  <cp:revision>4</cp:revision>
  <cp:lastPrinted>2025-08-01T12:44:00Z</cp:lastPrinted>
  <dcterms:created xsi:type="dcterms:W3CDTF">2025-11-20T08:37:00Z</dcterms:created>
  <dcterms:modified xsi:type="dcterms:W3CDTF">2025-11-20T09:24:00Z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