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E3D" w:rsidRDefault="00E91E3D" w:rsidP="00E91E3D">
      <w:pPr>
        <w:ind w:right="5528"/>
        <w:jc w:val="center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1139825" cy="93789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E3D" w:rsidRPr="007776B9" w:rsidRDefault="00E91E3D" w:rsidP="00E91E3D">
      <w:pPr>
        <w:spacing w:after="0" w:line="240" w:lineRule="auto"/>
        <w:ind w:right="5528"/>
        <w:jc w:val="center"/>
        <w:rPr>
          <w:smallCaps/>
        </w:rPr>
      </w:pPr>
      <w:r w:rsidRPr="007776B9">
        <w:rPr>
          <w:smallCaps/>
        </w:rPr>
        <w:t>Ministerstwo Sportu i Turystyki</w:t>
      </w:r>
    </w:p>
    <w:p w:rsidR="00E91E3D" w:rsidRPr="007776B9" w:rsidRDefault="00E91E3D" w:rsidP="00E91E3D">
      <w:pPr>
        <w:spacing w:after="0" w:line="240" w:lineRule="auto"/>
        <w:ind w:right="5528"/>
        <w:jc w:val="center"/>
        <w:rPr>
          <w:smallCaps/>
        </w:rPr>
      </w:pPr>
      <w:r w:rsidRPr="007776B9">
        <w:rPr>
          <w:smallCaps/>
        </w:rPr>
        <w:t>Departament Turystyki</w:t>
      </w:r>
    </w:p>
    <w:p w:rsidR="00E91E3D" w:rsidRPr="007776B9" w:rsidRDefault="00E91E3D" w:rsidP="00E91E3D">
      <w:pPr>
        <w:spacing w:after="0" w:line="240" w:lineRule="auto"/>
        <w:rPr>
          <w:smallCaps/>
        </w:rPr>
      </w:pPr>
    </w:p>
    <w:p w:rsidR="00E91E3D" w:rsidRPr="007776B9" w:rsidRDefault="00E91E3D" w:rsidP="00E91E3D">
      <w:pPr>
        <w:spacing w:after="0" w:line="240" w:lineRule="auto"/>
        <w:rPr>
          <w:smallCaps/>
        </w:rPr>
      </w:pPr>
    </w:p>
    <w:p w:rsidR="00E91E3D" w:rsidRPr="007776B9" w:rsidRDefault="00E91E3D" w:rsidP="00E91E3D">
      <w:pPr>
        <w:spacing w:after="0" w:line="240" w:lineRule="auto"/>
        <w:rPr>
          <w:smallCaps/>
        </w:rPr>
      </w:pPr>
    </w:p>
    <w:p w:rsidR="00E91E3D" w:rsidRPr="007776B9" w:rsidRDefault="00E91E3D" w:rsidP="00E91E3D">
      <w:pPr>
        <w:spacing w:after="0" w:line="240" w:lineRule="auto"/>
        <w:jc w:val="center"/>
        <w:rPr>
          <w:b/>
          <w:smallCaps/>
          <w:sz w:val="102"/>
        </w:rPr>
      </w:pPr>
      <w:r w:rsidRPr="007776B9">
        <w:rPr>
          <w:b/>
          <w:smallCaps/>
          <w:sz w:val="102"/>
        </w:rPr>
        <w:t>Rachunek Satelitarny</w:t>
      </w:r>
    </w:p>
    <w:p w:rsidR="00E91E3D" w:rsidRPr="007776B9" w:rsidRDefault="00E91E3D" w:rsidP="00E91E3D">
      <w:pPr>
        <w:spacing w:after="0" w:line="240" w:lineRule="auto"/>
        <w:jc w:val="center"/>
        <w:rPr>
          <w:b/>
          <w:smallCaps/>
          <w:sz w:val="102"/>
        </w:rPr>
      </w:pPr>
      <w:r w:rsidRPr="007776B9">
        <w:rPr>
          <w:b/>
          <w:smallCaps/>
          <w:sz w:val="102"/>
        </w:rPr>
        <w:t>Turystyki dla Polski</w:t>
      </w:r>
    </w:p>
    <w:p w:rsidR="00E91E3D" w:rsidRDefault="00BF0B80" w:rsidP="00E91E3D">
      <w:pPr>
        <w:spacing w:after="0" w:line="240" w:lineRule="auto"/>
        <w:jc w:val="center"/>
        <w:rPr>
          <w:smallCaps/>
          <w:sz w:val="72"/>
        </w:rPr>
      </w:pPr>
      <w:r>
        <w:rPr>
          <w:smallCaps/>
          <w:sz w:val="72"/>
        </w:rPr>
        <w:t>z</w:t>
      </w:r>
      <w:r w:rsidR="00E91E3D" w:rsidRPr="007776B9">
        <w:rPr>
          <w:smallCaps/>
          <w:sz w:val="72"/>
        </w:rPr>
        <w:t>a lata 2009-2010</w:t>
      </w:r>
    </w:p>
    <w:p w:rsidR="00E91E3D" w:rsidRDefault="00E91E3D" w:rsidP="00E91E3D">
      <w:pPr>
        <w:spacing w:after="0" w:line="240" w:lineRule="auto"/>
        <w:jc w:val="center"/>
        <w:rPr>
          <w:smallCaps/>
          <w:sz w:val="72"/>
        </w:rPr>
      </w:pPr>
    </w:p>
    <w:p w:rsidR="00E91E3D" w:rsidRPr="007776B9" w:rsidRDefault="00E91E3D" w:rsidP="00E91E3D">
      <w:pPr>
        <w:spacing w:after="0" w:line="240" w:lineRule="auto"/>
        <w:jc w:val="center"/>
        <w:rPr>
          <w:smallCaps/>
          <w:sz w:val="72"/>
        </w:rPr>
      </w:pPr>
    </w:p>
    <w:p w:rsidR="00E91E3D" w:rsidRPr="007776B9" w:rsidRDefault="00E91E3D" w:rsidP="00E91E3D">
      <w:pPr>
        <w:tabs>
          <w:tab w:val="left" w:pos="1608"/>
        </w:tabs>
        <w:spacing w:after="0" w:line="240" w:lineRule="auto"/>
        <w:jc w:val="center"/>
        <w:rPr>
          <w:smallCaps/>
        </w:rPr>
      </w:pPr>
    </w:p>
    <w:p w:rsidR="00E91E3D" w:rsidRDefault="00E91E3D" w:rsidP="00E91E3D">
      <w:pPr>
        <w:spacing w:after="0" w:line="240" w:lineRule="auto"/>
        <w:jc w:val="center"/>
        <w:rPr>
          <w:smallCaps/>
          <w:sz w:val="48"/>
        </w:rPr>
      </w:pPr>
      <w:r w:rsidRPr="007776B9">
        <w:rPr>
          <w:smallCaps/>
          <w:sz w:val="48"/>
        </w:rPr>
        <w:t>Wersja uproszczona</w:t>
      </w:r>
    </w:p>
    <w:p w:rsidR="00E91E3D" w:rsidRPr="00A0755A" w:rsidRDefault="00A0755A" w:rsidP="00A0755A">
      <w:pPr>
        <w:spacing w:after="0" w:line="240" w:lineRule="auto"/>
        <w:jc w:val="center"/>
        <w:rPr>
          <w:smallCaps/>
          <w:sz w:val="36"/>
        </w:rPr>
      </w:pPr>
      <w:r w:rsidRPr="00A0755A">
        <w:rPr>
          <w:smallCaps/>
          <w:sz w:val="36"/>
        </w:rPr>
        <w:t>Streszczenie</w:t>
      </w:r>
    </w:p>
    <w:p w:rsidR="00E91E3D" w:rsidRPr="007776B9" w:rsidRDefault="00E91E3D" w:rsidP="00E91E3D">
      <w:pPr>
        <w:spacing w:after="0" w:line="240" w:lineRule="auto"/>
        <w:rPr>
          <w:smallCaps/>
        </w:rPr>
      </w:pPr>
    </w:p>
    <w:p w:rsidR="00E91E3D" w:rsidRDefault="00E91E3D" w:rsidP="00E91E3D">
      <w:pPr>
        <w:spacing w:after="0" w:line="240" w:lineRule="auto"/>
        <w:rPr>
          <w:smallCaps/>
        </w:rPr>
      </w:pPr>
    </w:p>
    <w:p w:rsidR="00E91E3D" w:rsidRDefault="00E91E3D" w:rsidP="00E91E3D">
      <w:pPr>
        <w:spacing w:after="0" w:line="240" w:lineRule="auto"/>
        <w:rPr>
          <w:smallCaps/>
        </w:rPr>
      </w:pPr>
    </w:p>
    <w:p w:rsidR="00E91E3D" w:rsidRDefault="00E91E3D" w:rsidP="00E91E3D">
      <w:pPr>
        <w:spacing w:after="0" w:line="240" w:lineRule="auto"/>
        <w:rPr>
          <w:smallCaps/>
        </w:rPr>
      </w:pPr>
    </w:p>
    <w:p w:rsidR="00E91E3D" w:rsidRDefault="00E91E3D" w:rsidP="00E91E3D">
      <w:pPr>
        <w:spacing w:after="0" w:line="240" w:lineRule="auto"/>
        <w:rPr>
          <w:smallCaps/>
        </w:rPr>
      </w:pPr>
    </w:p>
    <w:p w:rsidR="00E91E3D" w:rsidRDefault="00E91E3D" w:rsidP="00E91E3D">
      <w:pPr>
        <w:spacing w:after="0" w:line="240" w:lineRule="auto"/>
        <w:rPr>
          <w:smallCaps/>
        </w:rPr>
      </w:pPr>
    </w:p>
    <w:p w:rsidR="00E91E3D" w:rsidRPr="007776B9" w:rsidRDefault="00E91E3D" w:rsidP="00E91E3D">
      <w:pPr>
        <w:spacing w:after="0" w:line="240" w:lineRule="auto"/>
        <w:rPr>
          <w:smallCaps/>
        </w:rPr>
      </w:pPr>
    </w:p>
    <w:p w:rsidR="00E91E3D" w:rsidRPr="007776B9" w:rsidRDefault="00E91E3D" w:rsidP="00E91E3D">
      <w:pPr>
        <w:spacing w:after="0" w:line="240" w:lineRule="auto"/>
        <w:rPr>
          <w:smallCaps/>
        </w:rPr>
      </w:pPr>
    </w:p>
    <w:p w:rsidR="00E91E3D" w:rsidRPr="007776B9" w:rsidRDefault="00E91E3D" w:rsidP="00E91E3D">
      <w:pPr>
        <w:spacing w:after="0" w:line="240" w:lineRule="auto"/>
        <w:jc w:val="right"/>
        <w:rPr>
          <w:smallCaps/>
        </w:rPr>
      </w:pPr>
      <w:r w:rsidRPr="007776B9">
        <w:rPr>
          <w:smallCaps/>
          <w:noProof/>
          <w:lang w:eastAsia="pl-PL"/>
        </w:rPr>
        <w:drawing>
          <wp:inline distT="0" distB="0" distL="0" distR="0">
            <wp:extent cx="1483939" cy="824571"/>
            <wp:effectExtent l="0" t="0" r="0" b="0"/>
            <wp:docPr id="1026" name="Picture 2" descr="http://www.eu-consult.pl/gfx/sit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eu-consult.pl/gfx/site/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380" cy="82703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91E3D" w:rsidRPr="007776B9" w:rsidRDefault="00E91E3D" w:rsidP="00E91E3D">
      <w:pPr>
        <w:spacing w:after="0" w:line="240" w:lineRule="auto"/>
        <w:jc w:val="right"/>
      </w:pPr>
      <w:r w:rsidRPr="007776B9">
        <w:rPr>
          <w:smallCaps/>
          <w:sz w:val="44"/>
        </w:rPr>
        <w:t>Gdańsk 2012</w:t>
      </w:r>
      <w:r w:rsidRPr="007776B9">
        <w:br w:type="page"/>
      </w:r>
      <w:r w:rsidR="00E4359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362585</wp:posOffset>
                </wp:positionH>
                <wp:positionV relativeFrom="page">
                  <wp:posOffset>361315</wp:posOffset>
                </wp:positionV>
                <wp:extent cx="6835140" cy="9970770"/>
                <wp:effectExtent l="29210" t="37465" r="31750" b="31115"/>
                <wp:wrapNone/>
                <wp:docPr id="1" name="Rectangle 3" descr="Niebieska lignin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5140" cy="997077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 r:embed="rId10"/>
                                <a:srcRect/>
                                <a:tile tx="0" ty="0" sx="100000" sy="100000" flip="none" algn="tl"/>
                              </a:blip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59A00" id="Rectangle 3" o:spid="_x0000_s1026" alt="Niebieska lignina" style="position:absolute;margin-left:28.55pt;margin-top:28.45pt;width:538.2pt;height:785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" o:allowincell="f" filled="f" strokecolor="#e36c0a [2409]" strokeweight="4.5pt">
                <v:fill r:id="rId11" o:title="Niebieska lignina" recolor="t" type="tile"/>
                <w10:wrap anchorx="page" anchory="page"/>
              </v:rect>
            </w:pict>
          </mc:Fallback>
        </mc:AlternateContent>
      </w:r>
    </w:p>
    <w:p w:rsidR="00E91E3D" w:rsidRDefault="00E91E3D" w:rsidP="00E91E3D">
      <w:r>
        <w:lastRenderedPageBreak/>
        <w:t>Autorzy pracy:</w:t>
      </w:r>
    </w:p>
    <w:p w:rsidR="00E91E3D" w:rsidRDefault="00871584" w:rsidP="00E91E3D">
      <w:pPr>
        <w:pStyle w:val="Akapitzlist"/>
        <w:numPr>
          <w:ilvl w:val="0"/>
          <w:numId w:val="4"/>
        </w:numPr>
        <w:spacing w:line="240" w:lineRule="auto"/>
      </w:pPr>
      <w:r>
        <w:t>Artur Kotliński</w:t>
      </w:r>
    </w:p>
    <w:p w:rsidR="00871584" w:rsidRDefault="00871584" w:rsidP="00E91E3D">
      <w:pPr>
        <w:pStyle w:val="Akapitzlist"/>
        <w:numPr>
          <w:ilvl w:val="0"/>
          <w:numId w:val="4"/>
        </w:numPr>
        <w:spacing w:line="240" w:lineRule="auto"/>
      </w:pPr>
      <w:r>
        <w:t>Krzysztof Gutta</w:t>
      </w:r>
    </w:p>
    <w:p w:rsidR="00871584" w:rsidRDefault="00871584" w:rsidP="00E91E3D">
      <w:pPr>
        <w:pStyle w:val="Akapitzlist"/>
        <w:numPr>
          <w:ilvl w:val="0"/>
          <w:numId w:val="4"/>
        </w:numPr>
        <w:spacing w:line="240" w:lineRule="auto"/>
      </w:pPr>
      <w:r>
        <w:t>Magdalena Jażdżewska-Gutta</w:t>
      </w:r>
    </w:p>
    <w:p w:rsidR="00871584" w:rsidRPr="007776B9" w:rsidRDefault="00E60BA6" w:rsidP="00E91E3D">
      <w:pPr>
        <w:pStyle w:val="Akapitzlist"/>
        <w:numPr>
          <w:ilvl w:val="0"/>
          <w:numId w:val="4"/>
        </w:numPr>
        <w:spacing w:line="240" w:lineRule="auto"/>
      </w:pPr>
      <w:r>
        <w:t>Grzegorz Daszuta</w:t>
      </w:r>
    </w:p>
    <w:p w:rsidR="00E91E3D" w:rsidRDefault="00E91E3D" w:rsidP="00E91E3D"/>
    <w:p w:rsidR="00E91E3D" w:rsidRDefault="00E91E3D" w:rsidP="00E91E3D"/>
    <w:p w:rsidR="00E91E3D" w:rsidRDefault="00E91E3D" w:rsidP="00E91E3D"/>
    <w:p w:rsidR="00E91E3D" w:rsidRDefault="00E91E3D" w:rsidP="00E91E3D"/>
    <w:p w:rsidR="00E91E3D" w:rsidRDefault="00E91E3D" w:rsidP="00E91E3D"/>
    <w:p w:rsidR="00E91E3D" w:rsidRDefault="00E91E3D" w:rsidP="00E91E3D"/>
    <w:p w:rsidR="00E91E3D" w:rsidRDefault="00E91E3D" w:rsidP="00E91E3D"/>
    <w:p w:rsidR="00E91E3D" w:rsidRDefault="00E91E3D" w:rsidP="00E91E3D"/>
    <w:p w:rsidR="00E91E3D" w:rsidRDefault="00E91E3D" w:rsidP="00E91E3D"/>
    <w:p w:rsidR="00E91E3D" w:rsidRPr="007776B9" w:rsidRDefault="00E91E3D" w:rsidP="00E91E3D">
      <w:r w:rsidRPr="007776B9">
        <w:t>Praca wykonana na zlecenie Ministerstwa Sportu i Turystyki, Departament Turystyki.</w:t>
      </w:r>
    </w:p>
    <w:p w:rsidR="00E91E3D" w:rsidRDefault="00E91E3D" w:rsidP="00E91E3D"/>
    <w:p w:rsidR="00E91E3D" w:rsidRDefault="00E91E3D" w:rsidP="00E91E3D"/>
    <w:p w:rsidR="00E91E3D" w:rsidRDefault="00E91E3D" w:rsidP="00E91E3D"/>
    <w:p w:rsidR="00E91E3D" w:rsidRDefault="00E91E3D" w:rsidP="00E91E3D"/>
    <w:p w:rsidR="00E91E3D" w:rsidRPr="007776B9" w:rsidRDefault="00E91E3D" w:rsidP="00E91E3D">
      <w:pPr>
        <w:spacing w:line="240" w:lineRule="auto"/>
        <w:rPr>
          <w:b/>
        </w:rPr>
      </w:pPr>
      <w:r w:rsidRPr="007776B9">
        <w:rPr>
          <w:b/>
        </w:rPr>
        <w:t>EU-Consult Sp. z o.o.</w:t>
      </w:r>
    </w:p>
    <w:p w:rsidR="00E91E3D" w:rsidRDefault="00E91E3D" w:rsidP="00E91E3D">
      <w:pPr>
        <w:spacing w:line="240" w:lineRule="auto"/>
      </w:pPr>
      <w:r>
        <w:t>ul. Wały Piastowskie 1</w:t>
      </w:r>
    </w:p>
    <w:p w:rsidR="00E91E3D" w:rsidRDefault="00E91E3D" w:rsidP="00E91E3D">
      <w:pPr>
        <w:spacing w:line="240" w:lineRule="auto"/>
      </w:pPr>
      <w:r>
        <w:t>80-855 Gdańsk</w:t>
      </w:r>
    </w:p>
    <w:p w:rsidR="00E91E3D" w:rsidRDefault="00E91E3D" w:rsidP="00E91E3D">
      <w:pPr>
        <w:spacing w:line="240" w:lineRule="auto"/>
      </w:pPr>
      <w:r>
        <w:t xml:space="preserve">Tel. </w:t>
      </w:r>
      <w:r w:rsidRPr="007776B9">
        <w:t>(058) 307-44-06</w:t>
      </w:r>
    </w:p>
    <w:p w:rsidR="00E91E3D" w:rsidRDefault="00E91E3D" w:rsidP="00E91E3D">
      <w:pPr>
        <w:spacing w:line="240" w:lineRule="auto"/>
      </w:pPr>
      <w:r w:rsidRPr="007776B9">
        <w:t>info@eu-consult.pl</w:t>
      </w:r>
      <w:r>
        <w:br w:type="page"/>
      </w:r>
    </w:p>
    <w:sdt>
      <w:sdtPr>
        <w:rPr>
          <w:rFonts w:eastAsia="Times New Roman"/>
          <w:smallCaps w:val="0"/>
          <w:spacing w:val="0"/>
          <w:sz w:val="20"/>
          <w:szCs w:val="20"/>
          <w:lang w:bidi="ar-SA"/>
        </w:rPr>
        <w:id w:val="-1531798114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5F0D11" w:rsidRPr="00AD0EB4" w:rsidRDefault="005F0D11" w:rsidP="00A0755A">
          <w:pPr>
            <w:pStyle w:val="Nagwekspisutreci"/>
          </w:pPr>
          <w:r w:rsidRPr="00AD0EB4">
            <w:t>Spis treści</w:t>
          </w:r>
        </w:p>
        <w:p w:rsidR="005F0D11" w:rsidRPr="00AD0EB4" w:rsidRDefault="005F0D11" w:rsidP="005F0D11"/>
        <w:p w:rsidR="0078286A" w:rsidRDefault="005263E3">
          <w:pPr>
            <w:pStyle w:val="Spistreci1"/>
            <w:tabs>
              <w:tab w:val="right" w:leader="dot" w:pos="9736"/>
            </w:tabs>
            <w:rPr>
              <w:noProof/>
              <w:sz w:val="22"/>
              <w:szCs w:val="22"/>
              <w:lang w:eastAsia="pl-PL"/>
            </w:rPr>
          </w:pPr>
          <w:r w:rsidRPr="00AD0EB4">
            <w:fldChar w:fldCharType="begin"/>
          </w:r>
          <w:r w:rsidR="005F0D11" w:rsidRPr="00AD0EB4">
            <w:instrText xml:space="preserve"> TOC \o "1-3" \h \z \u </w:instrText>
          </w:r>
          <w:r w:rsidRPr="00AD0EB4">
            <w:fldChar w:fldCharType="separate"/>
          </w:r>
          <w:hyperlink w:anchor="_Toc343503991" w:history="1">
            <w:r w:rsidR="0078286A" w:rsidRPr="006D78A0">
              <w:rPr>
                <w:rStyle w:val="Hipercze"/>
                <w:noProof/>
              </w:rPr>
              <w:t>Wstęp</w:t>
            </w:r>
            <w:r w:rsidR="0078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8286A">
              <w:rPr>
                <w:noProof/>
                <w:webHidden/>
              </w:rPr>
              <w:instrText xml:space="preserve"> PAGEREF _Toc343503991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86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8286A" w:rsidRDefault="00E67B1F">
          <w:pPr>
            <w:pStyle w:val="Spistreci1"/>
            <w:tabs>
              <w:tab w:val="left" w:pos="480"/>
              <w:tab w:val="right" w:leader="dot" w:pos="9736"/>
            </w:tabs>
            <w:rPr>
              <w:noProof/>
              <w:sz w:val="22"/>
              <w:szCs w:val="22"/>
              <w:lang w:eastAsia="pl-PL"/>
            </w:rPr>
          </w:pPr>
          <w:hyperlink w:anchor="_Toc343503992" w:history="1">
            <w:r w:rsidR="0078286A" w:rsidRPr="006D78A0">
              <w:rPr>
                <w:rStyle w:val="Hipercze"/>
                <w:noProof/>
              </w:rPr>
              <w:t>1.</w:t>
            </w:r>
            <w:r w:rsidR="0078286A">
              <w:rPr>
                <w:noProof/>
                <w:sz w:val="22"/>
                <w:szCs w:val="22"/>
                <w:lang w:eastAsia="pl-PL"/>
              </w:rPr>
              <w:tab/>
            </w:r>
            <w:r w:rsidR="0078286A" w:rsidRPr="006D78A0">
              <w:rPr>
                <w:rStyle w:val="Hipercze"/>
                <w:noProof/>
              </w:rPr>
              <w:t>Cele opracowania</w:t>
            </w:r>
            <w:r w:rsidR="0078286A">
              <w:rPr>
                <w:noProof/>
                <w:webHidden/>
              </w:rPr>
              <w:tab/>
            </w:r>
            <w:r w:rsidR="005263E3">
              <w:rPr>
                <w:noProof/>
                <w:webHidden/>
              </w:rPr>
              <w:fldChar w:fldCharType="begin"/>
            </w:r>
            <w:r w:rsidR="0078286A">
              <w:rPr>
                <w:noProof/>
                <w:webHidden/>
              </w:rPr>
              <w:instrText xml:space="preserve"> PAGEREF _Toc343503992 \h </w:instrText>
            </w:r>
            <w:r w:rsidR="005263E3">
              <w:rPr>
                <w:noProof/>
                <w:webHidden/>
              </w:rPr>
            </w:r>
            <w:r w:rsidR="005263E3">
              <w:rPr>
                <w:noProof/>
                <w:webHidden/>
              </w:rPr>
              <w:fldChar w:fldCharType="separate"/>
            </w:r>
            <w:r w:rsidR="0078286A">
              <w:rPr>
                <w:noProof/>
                <w:webHidden/>
              </w:rPr>
              <w:t>5</w:t>
            </w:r>
            <w:r w:rsidR="005263E3">
              <w:rPr>
                <w:noProof/>
                <w:webHidden/>
              </w:rPr>
              <w:fldChar w:fldCharType="end"/>
            </w:r>
          </w:hyperlink>
        </w:p>
        <w:p w:rsidR="0078286A" w:rsidRDefault="00E67B1F">
          <w:pPr>
            <w:pStyle w:val="Spistreci2"/>
            <w:tabs>
              <w:tab w:val="left" w:pos="880"/>
              <w:tab w:val="right" w:leader="dot" w:pos="9736"/>
            </w:tabs>
            <w:rPr>
              <w:noProof/>
              <w:sz w:val="22"/>
              <w:szCs w:val="22"/>
              <w:lang w:eastAsia="pl-PL"/>
            </w:rPr>
          </w:pPr>
          <w:hyperlink w:anchor="_Toc343503993" w:history="1">
            <w:r w:rsidR="0078286A" w:rsidRPr="006D78A0">
              <w:rPr>
                <w:rStyle w:val="Hipercze"/>
                <w:noProof/>
              </w:rPr>
              <w:t>1.1.</w:t>
            </w:r>
            <w:r w:rsidR="0078286A">
              <w:rPr>
                <w:noProof/>
                <w:sz w:val="22"/>
                <w:szCs w:val="22"/>
                <w:lang w:eastAsia="pl-PL"/>
              </w:rPr>
              <w:tab/>
            </w:r>
            <w:r w:rsidR="0078286A" w:rsidRPr="006D78A0">
              <w:rPr>
                <w:rStyle w:val="Hipercze"/>
                <w:noProof/>
              </w:rPr>
              <w:t>Wykorzystane źródła informacji</w:t>
            </w:r>
            <w:r w:rsidR="0078286A">
              <w:rPr>
                <w:noProof/>
                <w:webHidden/>
              </w:rPr>
              <w:tab/>
            </w:r>
            <w:r w:rsidR="005263E3">
              <w:rPr>
                <w:noProof/>
                <w:webHidden/>
              </w:rPr>
              <w:fldChar w:fldCharType="begin"/>
            </w:r>
            <w:r w:rsidR="0078286A">
              <w:rPr>
                <w:noProof/>
                <w:webHidden/>
              </w:rPr>
              <w:instrText xml:space="preserve"> PAGEREF _Toc343503993 \h </w:instrText>
            </w:r>
            <w:r w:rsidR="005263E3">
              <w:rPr>
                <w:noProof/>
                <w:webHidden/>
              </w:rPr>
            </w:r>
            <w:r w:rsidR="005263E3">
              <w:rPr>
                <w:noProof/>
                <w:webHidden/>
              </w:rPr>
              <w:fldChar w:fldCharType="separate"/>
            </w:r>
            <w:r w:rsidR="0078286A">
              <w:rPr>
                <w:noProof/>
                <w:webHidden/>
              </w:rPr>
              <w:t>5</w:t>
            </w:r>
            <w:r w:rsidR="005263E3">
              <w:rPr>
                <w:noProof/>
                <w:webHidden/>
              </w:rPr>
              <w:fldChar w:fldCharType="end"/>
            </w:r>
          </w:hyperlink>
        </w:p>
        <w:p w:rsidR="0078286A" w:rsidRDefault="00E67B1F">
          <w:pPr>
            <w:pStyle w:val="Spistreci1"/>
            <w:tabs>
              <w:tab w:val="left" w:pos="480"/>
              <w:tab w:val="right" w:leader="dot" w:pos="9736"/>
            </w:tabs>
            <w:rPr>
              <w:noProof/>
              <w:sz w:val="22"/>
              <w:szCs w:val="22"/>
              <w:lang w:eastAsia="pl-PL"/>
            </w:rPr>
          </w:pPr>
          <w:hyperlink w:anchor="_Toc343503994" w:history="1">
            <w:r w:rsidR="0078286A" w:rsidRPr="006D78A0">
              <w:rPr>
                <w:rStyle w:val="Hipercze"/>
                <w:noProof/>
              </w:rPr>
              <w:t>2.</w:t>
            </w:r>
            <w:r w:rsidR="0078286A">
              <w:rPr>
                <w:noProof/>
                <w:sz w:val="22"/>
                <w:szCs w:val="22"/>
                <w:lang w:eastAsia="pl-PL"/>
              </w:rPr>
              <w:tab/>
            </w:r>
            <w:r w:rsidR="0078286A" w:rsidRPr="006D78A0">
              <w:rPr>
                <w:rStyle w:val="Hipercze"/>
                <w:noProof/>
              </w:rPr>
              <w:t>Spożycie turystyczne</w:t>
            </w:r>
            <w:r w:rsidR="0078286A">
              <w:rPr>
                <w:noProof/>
                <w:webHidden/>
              </w:rPr>
              <w:tab/>
            </w:r>
            <w:r w:rsidR="005263E3">
              <w:rPr>
                <w:noProof/>
                <w:webHidden/>
              </w:rPr>
              <w:fldChar w:fldCharType="begin"/>
            </w:r>
            <w:r w:rsidR="0078286A">
              <w:rPr>
                <w:noProof/>
                <w:webHidden/>
              </w:rPr>
              <w:instrText xml:space="preserve"> PAGEREF _Toc343503994 \h </w:instrText>
            </w:r>
            <w:r w:rsidR="005263E3">
              <w:rPr>
                <w:noProof/>
                <w:webHidden/>
              </w:rPr>
            </w:r>
            <w:r w:rsidR="005263E3">
              <w:rPr>
                <w:noProof/>
                <w:webHidden/>
              </w:rPr>
              <w:fldChar w:fldCharType="separate"/>
            </w:r>
            <w:r w:rsidR="0078286A">
              <w:rPr>
                <w:noProof/>
                <w:webHidden/>
              </w:rPr>
              <w:t>7</w:t>
            </w:r>
            <w:r w:rsidR="005263E3">
              <w:rPr>
                <w:noProof/>
                <w:webHidden/>
              </w:rPr>
              <w:fldChar w:fldCharType="end"/>
            </w:r>
          </w:hyperlink>
        </w:p>
        <w:p w:rsidR="0078286A" w:rsidRDefault="00E67B1F">
          <w:pPr>
            <w:pStyle w:val="Spistreci1"/>
            <w:tabs>
              <w:tab w:val="left" w:pos="480"/>
              <w:tab w:val="right" w:leader="dot" w:pos="9736"/>
            </w:tabs>
            <w:rPr>
              <w:noProof/>
              <w:sz w:val="22"/>
              <w:szCs w:val="22"/>
              <w:lang w:eastAsia="pl-PL"/>
            </w:rPr>
          </w:pPr>
          <w:hyperlink w:anchor="_Toc343503995" w:history="1">
            <w:r w:rsidR="0078286A" w:rsidRPr="006D78A0">
              <w:rPr>
                <w:rStyle w:val="Hipercze"/>
                <w:noProof/>
              </w:rPr>
              <w:t>3.</w:t>
            </w:r>
            <w:r w:rsidR="0078286A">
              <w:rPr>
                <w:noProof/>
                <w:sz w:val="22"/>
                <w:szCs w:val="22"/>
                <w:lang w:eastAsia="pl-PL"/>
              </w:rPr>
              <w:tab/>
            </w:r>
            <w:r w:rsidR="0078286A" w:rsidRPr="006D78A0">
              <w:rPr>
                <w:rStyle w:val="Hipercze"/>
                <w:noProof/>
              </w:rPr>
              <w:t>Produkcja turystyczna i udział turystyki w PKB</w:t>
            </w:r>
            <w:r w:rsidR="0078286A">
              <w:rPr>
                <w:noProof/>
                <w:webHidden/>
              </w:rPr>
              <w:tab/>
            </w:r>
            <w:r w:rsidR="005263E3">
              <w:rPr>
                <w:noProof/>
                <w:webHidden/>
              </w:rPr>
              <w:fldChar w:fldCharType="begin"/>
            </w:r>
            <w:r w:rsidR="0078286A">
              <w:rPr>
                <w:noProof/>
                <w:webHidden/>
              </w:rPr>
              <w:instrText xml:space="preserve"> PAGEREF _Toc343503995 \h </w:instrText>
            </w:r>
            <w:r w:rsidR="005263E3">
              <w:rPr>
                <w:noProof/>
                <w:webHidden/>
              </w:rPr>
            </w:r>
            <w:r w:rsidR="005263E3">
              <w:rPr>
                <w:noProof/>
                <w:webHidden/>
              </w:rPr>
              <w:fldChar w:fldCharType="separate"/>
            </w:r>
            <w:r w:rsidR="0078286A">
              <w:rPr>
                <w:noProof/>
                <w:webHidden/>
              </w:rPr>
              <w:t>9</w:t>
            </w:r>
            <w:r w:rsidR="005263E3">
              <w:rPr>
                <w:noProof/>
                <w:webHidden/>
              </w:rPr>
              <w:fldChar w:fldCharType="end"/>
            </w:r>
          </w:hyperlink>
        </w:p>
        <w:p w:rsidR="0078286A" w:rsidRDefault="00E67B1F">
          <w:pPr>
            <w:pStyle w:val="Spistreci1"/>
            <w:tabs>
              <w:tab w:val="left" w:pos="480"/>
              <w:tab w:val="right" w:leader="dot" w:pos="9736"/>
            </w:tabs>
            <w:rPr>
              <w:noProof/>
              <w:sz w:val="22"/>
              <w:szCs w:val="22"/>
              <w:lang w:eastAsia="pl-PL"/>
            </w:rPr>
          </w:pPr>
          <w:hyperlink w:anchor="_Toc343503996" w:history="1">
            <w:r w:rsidR="0078286A" w:rsidRPr="006D78A0">
              <w:rPr>
                <w:rStyle w:val="Hipercze"/>
                <w:noProof/>
              </w:rPr>
              <w:t>4.</w:t>
            </w:r>
            <w:r w:rsidR="0078286A">
              <w:rPr>
                <w:noProof/>
                <w:sz w:val="22"/>
                <w:szCs w:val="22"/>
                <w:lang w:eastAsia="pl-PL"/>
              </w:rPr>
              <w:tab/>
            </w:r>
            <w:r w:rsidR="0078286A" w:rsidRPr="006D78A0">
              <w:rPr>
                <w:rStyle w:val="Hipercze"/>
                <w:noProof/>
              </w:rPr>
              <w:t>Pracujący w turystyce</w:t>
            </w:r>
            <w:r w:rsidR="0078286A">
              <w:rPr>
                <w:noProof/>
                <w:webHidden/>
              </w:rPr>
              <w:tab/>
            </w:r>
            <w:r w:rsidR="005263E3">
              <w:rPr>
                <w:noProof/>
                <w:webHidden/>
              </w:rPr>
              <w:fldChar w:fldCharType="begin"/>
            </w:r>
            <w:r w:rsidR="0078286A">
              <w:rPr>
                <w:noProof/>
                <w:webHidden/>
              </w:rPr>
              <w:instrText xml:space="preserve"> PAGEREF _Toc343503996 \h </w:instrText>
            </w:r>
            <w:r w:rsidR="005263E3">
              <w:rPr>
                <w:noProof/>
                <w:webHidden/>
              </w:rPr>
            </w:r>
            <w:r w:rsidR="005263E3">
              <w:rPr>
                <w:noProof/>
                <w:webHidden/>
              </w:rPr>
              <w:fldChar w:fldCharType="separate"/>
            </w:r>
            <w:r w:rsidR="0078286A">
              <w:rPr>
                <w:noProof/>
                <w:webHidden/>
              </w:rPr>
              <w:t>11</w:t>
            </w:r>
            <w:r w:rsidR="005263E3">
              <w:rPr>
                <w:noProof/>
                <w:webHidden/>
              </w:rPr>
              <w:fldChar w:fldCharType="end"/>
            </w:r>
          </w:hyperlink>
        </w:p>
        <w:p w:rsidR="0078286A" w:rsidRDefault="00E67B1F">
          <w:pPr>
            <w:pStyle w:val="Spistreci1"/>
            <w:tabs>
              <w:tab w:val="left" w:pos="480"/>
              <w:tab w:val="right" w:leader="dot" w:pos="9736"/>
            </w:tabs>
            <w:rPr>
              <w:noProof/>
              <w:sz w:val="22"/>
              <w:szCs w:val="22"/>
              <w:lang w:eastAsia="pl-PL"/>
            </w:rPr>
          </w:pPr>
          <w:hyperlink w:anchor="_Toc343503997" w:history="1">
            <w:r w:rsidR="0078286A" w:rsidRPr="006D78A0">
              <w:rPr>
                <w:rStyle w:val="Hipercze"/>
                <w:noProof/>
              </w:rPr>
              <w:t>5.</w:t>
            </w:r>
            <w:r w:rsidR="0078286A">
              <w:rPr>
                <w:noProof/>
                <w:sz w:val="22"/>
                <w:szCs w:val="22"/>
                <w:lang w:eastAsia="pl-PL"/>
              </w:rPr>
              <w:tab/>
            </w:r>
            <w:r w:rsidR="0078286A" w:rsidRPr="006D78A0">
              <w:rPr>
                <w:rStyle w:val="Hipercze"/>
                <w:noProof/>
              </w:rPr>
              <w:t>Nakłady inwestycyjne i akumulacja kapitału</w:t>
            </w:r>
            <w:r w:rsidR="0078286A">
              <w:rPr>
                <w:noProof/>
                <w:webHidden/>
              </w:rPr>
              <w:tab/>
            </w:r>
            <w:r w:rsidR="005263E3">
              <w:rPr>
                <w:noProof/>
                <w:webHidden/>
              </w:rPr>
              <w:fldChar w:fldCharType="begin"/>
            </w:r>
            <w:r w:rsidR="0078286A">
              <w:rPr>
                <w:noProof/>
                <w:webHidden/>
              </w:rPr>
              <w:instrText xml:space="preserve"> PAGEREF _Toc343503997 \h </w:instrText>
            </w:r>
            <w:r w:rsidR="005263E3">
              <w:rPr>
                <w:noProof/>
                <w:webHidden/>
              </w:rPr>
            </w:r>
            <w:r w:rsidR="005263E3">
              <w:rPr>
                <w:noProof/>
                <w:webHidden/>
              </w:rPr>
              <w:fldChar w:fldCharType="separate"/>
            </w:r>
            <w:r w:rsidR="0078286A">
              <w:rPr>
                <w:noProof/>
                <w:webHidden/>
              </w:rPr>
              <w:t>13</w:t>
            </w:r>
            <w:r w:rsidR="005263E3">
              <w:rPr>
                <w:noProof/>
                <w:webHidden/>
              </w:rPr>
              <w:fldChar w:fldCharType="end"/>
            </w:r>
          </w:hyperlink>
        </w:p>
        <w:p w:rsidR="0078286A" w:rsidRDefault="00E67B1F">
          <w:pPr>
            <w:pStyle w:val="Spistreci1"/>
            <w:tabs>
              <w:tab w:val="left" w:pos="480"/>
              <w:tab w:val="right" w:leader="dot" w:pos="9736"/>
            </w:tabs>
            <w:rPr>
              <w:noProof/>
              <w:sz w:val="22"/>
              <w:szCs w:val="22"/>
              <w:lang w:eastAsia="pl-PL"/>
            </w:rPr>
          </w:pPr>
          <w:hyperlink w:anchor="_Toc343503998" w:history="1">
            <w:r w:rsidR="0078286A" w:rsidRPr="006D78A0">
              <w:rPr>
                <w:rStyle w:val="Hipercze"/>
                <w:noProof/>
              </w:rPr>
              <w:t>6.</w:t>
            </w:r>
            <w:r w:rsidR="0078286A">
              <w:rPr>
                <w:noProof/>
                <w:sz w:val="22"/>
                <w:szCs w:val="22"/>
                <w:lang w:eastAsia="pl-PL"/>
              </w:rPr>
              <w:tab/>
            </w:r>
            <w:r w:rsidR="0078286A" w:rsidRPr="006D78A0">
              <w:rPr>
                <w:rStyle w:val="Hipercze"/>
                <w:noProof/>
              </w:rPr>
              <w:t>Uwagi końcowe</w:t>
            </w:r>
            <w:r w:rsidR="0078286A">
              <w:rPr>
                <w:noProof/>
                <w:webHidden/>
              </w:rPr>
              <w:tab/>
            </w:r>
            <w:r w:rsidR="005263E3">
              <w:rPr>
                <w:noProof/>
                <w:webHidden/>
              </w:rPr>
              <w:fldChar w:fldCharType="begin"/>
            </w:r>
            <w:r w:rsidR="0078286A">
              <w:rPr>
                <w:noProof/>
                <w:webHidden/>
              </w:rPr>
              <w:instrText xml:space="preserve"> PAGEREF _Toc343503998 \h </w:instrText>
            </w:r>
            <w:r w:rsidR="005263E3">
              <w:rPr>
                <w:noProof/>
                <w:webHidden/>
              </w:rPr>
            </w:r>
            <w:r w:rsidR="005263E3">
              <w:rPr>
                <w:noProof/>
                <w:webHidden/>
              </w:rPr>
              <w:fldChar w:fldCharType="separate"/>
            </w:r>
            <w:r w:rsidR="0078286A">
              <w:rPr>
                <w:noProof/>
                <w:webHidden/>
              </w:rPr>
              <w:t>14</w:t>
            </w:r>
            <w:r w:rsidR="005263E3">
              <w:rPr>
                <w:noProof/>
                <w:webHidden/>
              </w:rPr>
              <w:fldChar w:fldCharType="end"/>
            </w:r>
          </w:hyperlink>
        </w:p>
        <w:p w:rsidR="005F0D11" w:rsidRPr="00AD0EB4" w:rsidRDefault="005263E3" w:rsidP="005F0D11">
          <w:r w:rsidRPr="00AD0EB4">
            <w:rPr>
              <w:b/>
              <w:bCs/>
            </w:rPr>
            <w:fldChar w:fldCharType="end"/>
          </w:r>
        </w:p>
      </w:sdtContent>
    </w:sdt>
    <w:p w:rsidR="005F0D11" w:rsidRPr="00AD0EB4" w:rsidRDefault="005F0D11" w:rsidP="005F0D11">
      <w:pPr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AD0EB4">
        <w:br w:type="page"/>
      </w:r>
    </w:p>
    <w:p w:rsidR="005F0D11" w:rsidRPr="00AD0EB4" w:rsidRDefault="005F0D11" w:rsidP="00A0755A">
      <w:pPr>
        <w:pStyle w:val="Nagwek1"/>
      </w:pPr>
      <w:bookmarkStart w:id="1" w:name="_Toc343503991"/>
      <w:r w:rsidRPr="00A0755A">
        <w:lastRenderedPageBreak/>
        <w:t>Wstęp</w:t>
      </w:r>
      <w:bookmarkEnd w:id="1"/>
    </w:p>
    <w:p w:rsidR="005F0D11" w:rsidRPr="00AD0EB4" w:rsidRDefault="005F0D11" w:rsidP="005F0D11">
      <w:pPr>
        <w:spacing w:line="360" w:lineRule="auto"/>
      </w:pPr>
      <w:r w:rsidRPr="00AD0EB4">
        <w:t>Turystyka jest obszarem gospodarki, który ze względu na swoją złożoność wymyka się prostym statystykom. Inaczej niż w przypadku poszczególnych branż sektorów przemysłowego czy usługowego, branża turystyczna nie generuje określonego produktu, możliwego do wyodrębnienia w prosty sposób; spożycie turystyczne obejmuje większość produktów i usług konsumowanych bez związku z turystyką – do grupy tych produktów można zaliczyć między innymi usługi transportowe, rozrywkowe, gastronomiczne, zakwaterowania</w:t>
      </w:r>
      <w:r w:rsidRPr="00AD0EB4">
        <w:rPr>
          <w:rStyle w:val="Odwoanieprzypisudolnego"/>
        </w:rPr>
        <w:footnoteReference w:id="1"/>
      </w:r>
      <w:r w:rsidRPr="00AD0EB4">
        <w:t xml:space="preserve"> i inne.</w:t>
      </w:r>
    </w:p>
    <w:p w:rsidR="005F0D11" w:rsidRDefault="005F0D11" w:rsidP="005F0D11">
      <w:pPr>
        <w:spacing w:line="360" w:lineRule="auto"/>
      </w:pPr>
      <w:r w:rsidRPr="00AD0EB4">
        <w:t xml:space="preserve">W związku z zapotrzebowaniem na możliwość analizy branży turystycznej i powiązanego z nią spożycia na tle innych działów gospodarki, utworzona została metodologia Rachunku Satelitarnego Turystyki – opierająca się na przybliżonych szacunkach spożycia związanego z turystyką. Wytyczne stanowiące podstawę Rachunku Satelitarnego Turystyki zawarte zostały w opracowaniu </w:t>
      </w:r>
      <w:r w:rsidRPr="00AD0EB4">
        <w:rPr>
          <w:i/>
        </w:rPr>
        <w:t>Tourism Satellite Account: Recommended Methodological Framework</w:t>
      </w:r>
      <w:r w:rsidRPr="00AD0EB4">
        <w:t xml:space="preserve"> z </w:t>
      </w:r>
      <w:r w:rsidR="002E32AE">
        <w:t>lat</w:t>
      </w:r>
      <w:r w:rsidRPr="00AD0EB4">
        <w:t xml:space="preserve"> 2001 oraz 2008.</w:t>
      </w:r>
    </w:p>
    <w:p w:rsidR="005F0D11" w:rsidRDefault="005F0D11" w:rsidP="005F0D11">
      <w:pPr>
        <w:spacing w:line="360" w:lineRule="auto"/>
      </w:pPr>
      <w:r>
        <w:t>P</w:t>
      </w:r>
      <w:r w:rsidRPr="00AD0EB4">
        <w:t xml:space="preserve">odstawą szacowania rachunków satelitarnych </w:t>
      </w:r>
      <w:r>
        <w:t xml:space="preserve">dla Polski </w:t>
      </w:r>
      <w:r w:rsidRPr="00AD0EB4">
        <w:t xml:space="preserve">stało się opracowanie </w:t>
      </w:r>
      <w:r w:rsidRPr="00AD0EB4">
        <w:rPr>
          <w:i/>
        </w:rPr>
        <w:t>Rachunek Satelitarny Turystyki dla Polski</w:t>
      </w:r>
      <w:r w:rsidRPr="00AD0EB4">
        <w:t xml:space="preserve">, wydawane od 2003 roku przez Instytut Turystyki Sp. z o. o., w szczególności zaś uwagi metodologiczne zawarte w Rachunku Satelitarnym za rok 2002. Charakterystyczne dla tego oszacowania jest tworzenie zestawień statystycznych z pewnym opóźnieniem ze względu na brak natychmiastowej dostępności danych i zestawień bazowych, na których rachunek jest oparty. </w:t>
      </w:r>
    </w:p>
    <w:p w:rsidR="005F0D11" w:rsidRPr="00AD0EB4" w:rsidRDefault="005F0D11" w:rsidP="005F0D11">
      <w:pPr>
        <w:spacing w:line="360" w:lineRule="auto"/>
      </w:pPr>
      <w:r>
        <w:t>P</w:t>
      </w:r>
      <w:r w:rsidRPr="00AD0EB4">
        <w:t>rzyjęto, że pełna wersja Rachunku opracowana będzie wyłącznie w wybranych latach, na bieżąco natomiast opracowywane będą uproszczone wersje Rachunku Satelitarnego, obejmujące wybrane wskaźniki możliwe do oszacowania w krótszym przedziale czasowym na podstawie bieżących trendów w gospodarce turystycznej.</w:t>
      </w:r>
    </w:p>
    <w:p w:rsidR="005F0D11" w:rsidRPr="00AD0EB4" w:rsidRDefault="005F0D11" w:rsidP="0078286A">
      <w:pPr>
        <w:pStyle w:val="Nagwek1"/>
        <w:numPr>
          <w:ilvl w:val="0"/>
          <w:numId w:val="6"/>
        </w:numPr>
      </w:pPr>
      <w:bookmarkStart w:id="2" w:name="_Toc343503992"/>
      <w:r w:rsidRPr="00AD0EB4">
        <w:lastRenderedPageBreak/>
        <w:t>Cele opracowania</w:t>
      </w:r>
      <w:bookmarkEnd w:id="2"/>
    </w:p>
    <w:p w:rsidR="005F0D11" w:rsidRPr="00AD0EB4" w:rsidRDefault="005F0D11" w:rsidP="005F0D11">
      <w:pPr>
        <w:spacing w:line="360" w:lineRule="auto"/>
      </w:pPr>
      <w:r>
        <w:t>Rachunek Satelitarny Turystyki dla Polski – wersja uproszczona jest opracowaniem mającym na celu oszacowanie głównych wskaźników w gospodarce turystycznej. Wersja uproszczona oznacza, że do szacowania wykorzystuje się mniejszy zestaw wskaźników bazowych, niż w wersji pełnej.</w:t>
      </w:r>
    </w:p>
    <w:p w:rsidR="005F0D11" w:rsidRPr="00AD0EB4" w:rsidRDefault="005F0D11" w:rsidP="005F0D11">
      <w:pPr>
        <w:spacing w:line="360" w:lineRule="auto"/>
      </w:pPr>
      <w:r>
        <w:t>Wskaźniki wykorzystane w niniejszym opracowaniu to:</w:t>
      </w:r>
    </w:p>
    <w:p w:rsidR="005F0D11" w:rsidRPr="00AD0EB4" w:rsidRDefault="005F0D11" w:rsidP="005F0D11">
      <w:pPr>
        <w:spacing w:line="360" w:lineRule="auto"/>
      </w:pPr>
      <w:r>
        <w:t>- spożycie</w:t>
      </w:r>
      <w:r w:rsidRPr="00AD0EB4">
        <w:t xml:space="preserve"> turystyczne</w:t>
      </w:r>
      <w:r>
        <w:t xml:space="preserve"> w perspektywie popytowej;</w:t>
      </w:r>
    </w:p>
    <w:p w:rsidR="005F0D11" w:rsidRPr="00AD0EB4" w:rsidRDefault="005F0D11" w:rsidP="005F0D11">
      <w:pPr>
        <w:spacing w:line="360" w:lineRule="auto"/>
      </w:pPr>
      <w:r w:rsidRPr="00AD0EB4">
        <w:t>- współczynników turystycznej wartości dodanej (TWD) dla poszczególnych branż składowych gospodarki turystycznej;</w:t>
      </w:r>
    </w:p>
    <w:p w:rsidR="005F0D11" w:rsidRPr="00AD0EB4" w:rsidRDefault="005F0D11" w:rsidP="005F0D11">
      <w:pPr>
        <w:spacing w:line="360" w:lineRule="auto"/>
      </w:pPr>
      <w:r w:rsidRPr="00AD0EB4">
        <w:t>- oszacowania turystycznej wartości dodanej w poszczególnych branżach gospodarki turystycznej oraz relacji PKB wytworzonego w turystyce do całej gospodarki;</w:t>
      </w:r>
    </w:p>
    <w:p w:rsidR="005F0D11" w:rsidRPr="00AD0EB4" w:rsidRDefault="005F0D11" w:rsidP="005F0D11">
      <w:pPr>
        <w:spacing w:line="360" w:lineRule="auto"/>
      </w:pPr>
      <w:r w:rsidRPr="00AD0EB4">
        <w:t>- opisie struktury zatrudnienia w charakterystycznych rodzajach działalności turystycznej;</w:t>
      </w:r>
    </w:p>
    <w:p w:rsidR="005F0D11" w:rsidRPr="00AD0EB4" w:rsidRDefault="005F0D11" w:rsidP="005F0D11">
      <w:pPr>
        <w:spacing w:line="360" w:lineRule="auto"/>
      </w:pPr>
      <w:r w:rsidRPr="00AD0EB4">
        <w:t>- oszacowaniu inwestycji w środki trwałe wśród podmiotów gospodarki turystycznej (w charakterystycznych rodzajach działalności turystycznej).</w:t>
      </w:r>
    </w:p>
    <w:p w:rsidR="005F0D11" w:rsidRPr="00AD0EB4" w:rsidRDefault="005F0D11" w:rsidP="005F0D11">
      <w:pPr>
        <w:spacing w:line="360" w:lineRule="auto"/>
      </w:pPr>
      <w:r w:rsidRPr="00AD0EB4">
        <w:t>Podstawą szacunku RST 2009-2010 były wytyczne metodologiczne z pełnego RST 2002, dane zawarte w RST 2002 oraz RST 2005, a także uproszczony RST za rok 2008. Dodatkowo uwzględnione częściowo zostały zaktualizowane wytyczne metodologiczne TSA: RMF 2008.</w:t>
      </w:r>
    </w:p>
    <w:p w:rsidR="005F0D11" w:rsidRDefault="005F0D11" w:rsidP="005F0D11">
      <w:pPr>
        <w:spacing w:line="360" w:lineRule="auto"/>
      </w:pPr>
      <w:r w:rsidRPr="00AD0EB4">
        <w:t xml:space="preserve">Konsekwencją wejścia Polski do Strefy Schengen w marcu 2008 roku było uniemożliwienie pełnego określenia ruchu zagranicznego rezydentów Polski oraz ruchu przyjazdowego i tranzytowego nierezydentów. Dane te w opracowaniu RST 2008 zastąpione zostały częściowo badaniami reprezentacyjnymi, przeprowadzonymi przez Instytut Turystyki Sp. z o. o. Niniejsze opracowanie podąża tym tropem, korzystając z opublikowanych danych z badań reprezentacyjnych. Zagrożeniem pojawiającym się przy wykorzystaniu tych informacji jest ich fragmentaryczność; podmiot statystyki narodowej nie dysponuje jednakże danymi pełnymi, w związku z czym podejście to jest bezalternatywne. Uzupełnienie tych danych i ocena trafności oszacowań zawartych w RST 2009-2010 możliwe będzie dopiero na podstawie najbliższego pełnego RST, stworzonego w oparciu o zaktualizowane wskaźniki. </w:t>
      </w:r>
    </w:p>
    <w:p w:rsidR="00BF0B80" w:rsidRPr="00AD0EB4" w:rsidRDefault="00BF0B80" w:rsidP="005F0D11">
      <w:pPr>
        <w:spacing w:line="360" w:lineRule="auto"/>
      </w:pPr>
    </w:p>
    <w:p w:rsidR="005F0D11" w:rsidRDefault="005F0D11" w:rsidP="0078286A">
      <w:pPr>
        <w:pStyle w:val="Nagwek2"/>
        <w:numPr>
          <w:ilvl w:val="1"/>
          <w:numId w:val="7"/>
        </w:numPr>
        <w:spacing w:line="360" w:lineRule="auto"/>
      </w:pPr>
      <w:bookmarkStart w:id="3" w:name="_Toc343503993"/>
      <w:r w:rsidRPr="00AD0EB4">
        <w:t>Wykorzystane źródła informacji</w:t>
      </w:r>
      <w:bookmarkEnd w:id="3"/>
    </w:p>
    <w:p w:rsidR="0048388D" w:rsidRPr="0048388D" w:rsidRDefault="0048388D" w:rsidP="0048388D"/>
    <w:p w:rsidR="005F0D11" w:rsidRPr="00AD0EB4" w:rsidRDefault="005F0D11" w:rsidP="005F0D11">
      <w:pPr>
        <w:spacing w:line="360" w:lineRule="auto"/>
      </w:pPr>
      <w:r>
        <w:t>Rachunek Satelitarny Turystyki dla Polski za lata</w:t>
      </w:r>
      <w:r w:rsidRPr="00AD0EB4">
        <w:t xml:space="preserve"> 2009-2010 stworzony został na podstawie dwóch podstawowych rodzajów danych:</w:t>
      </w:r>
    </w:p>
    <w:p w:rsidR="005F0D11" w:rsidRPr="00AD0EB4" w:rsidRDefault="005F0D11" w:rsidP="005F0D11">
      <w:pPr>
        <w:spacing w:line="360" w:lineRule="auto"/>
      </w:pPr>
      <w:r w:rsidRPr="00AD0EB4">
        <w:lastRenderedPageBreak/>
        <w:t>- opracowań zbiorczych Głównego Urzędu St</w:t>
      </w:r>
      <w:r w:rsidR="008D0165">
        <w:t>atystycznego dotyczących stanu p</w:t>
      </w:r>
      <w:r w:rsidRPr="00AD0EB4">
        <w:t>olskiej gospodarki oraz danych źródłowych GUS w dekompozycji na poszczególne rodzaje działalności gospodarczej należące do CRDT dla lat 2009-2010;</w:t>
      </w:r>
    </w:p>
    <w:p w:rsidR="005F0D11" w:rsidRPr="00AD0EB4" w:rsidRDefault="005F0D11" w:rsidP="005F0D11">
      <w:pPr>
        <w:spacing w:line="360" w:lineRule="auto"/>
      </w:pPr>
      <w:r w:rsidRPr="00AD0EB4">
        <w:t>- opracowań zbiorczych GUS, opracowań Instytutu Turystyki Sp. z o. o. na zlecenie Ministerstwa Sportu i Turystyki oraz innych badań reprezentacyjnych dotyczących ruchu turystycznego rezydentów i nierezydentów Polski.</w:t>
      </w:r>
    </w:p>
    <w:p w:rsidR="005F0D11" w:rsidRDefault="005F0D11" w:rsidP="005F0D11">
      <w:pPr>
        <w:spacing w:line="360" w:lineRule="auto"/>
      </w:pPr>
      <w:r w:rsidRPr="00AD0EB4">
        <w:t>Pełna lista wykorzystanych źródeł informacji niewywołanych została zawarta w nocie bibliograficznej.</w:t>
      </w:r>
    </w:p>
    <w:p w:rsidR="005F0D11" w:rsidRPr="00AD0EB4" w:rsidRDefault="005F0D11" w:rsidP="005F0D11">
      <w:pPr>
        <w:spacing w:line="360" w:lineRule="auto"/>
      </w:pPr>
      <w:r>
        <w:t>Informacje zastane wzbogacone zostały ogólnopolskim badaniem ilościowym, mającym na celu oszacowanie średniej marży pośredników turystycznych.</w:t>
      </w:r>
    </w:p>
    <w:p w:rsidR="005F0D11" w:rsidRDefault="005F0D11" w:rsidP="0078286A">
      <w:pPr>
        <w:pStyle w:val="Nagwek1"/>
        <w:numPr>
          <w:ilvl w:val="0"/>
          <w:numId w:val="7"/>
        </w:numPr>
      </w:pPr>
      <w:bookmarkStart w:id="4" w:name="_Toc343503994"/>
      <w:r w:rsidRPr="00AD0EB4">
        <w:lastRenderedPageBreak/>
        <w:t>Spożycie turystyczne</w:t>
      </w:r>
      <w:bookmarkEnd w:id="4"/>
    </w:p>
    <w:p w:rsidR="0048388D" w:rsidRPr="0048388D" w:rsidRDefault="0048388D" w:rsidP="0048388D"/>
    <w:p w:rsidR="005F0D11" w:rsidRPr="00AD0EB4" w:rsidRDefault="005F0D11" w:rsidP="005F0D11">
      <w:pPr>
        <w:spacing w:line="360" w:lineRule="auto"/>
      </w:pPr>
      <w:r w:rsidRPr="00AD0EB4">
        <w:t>Spożycie turystyczne mierzone w perspektywie popytowej w latach 2009-2010 kontynuuje tendencję zniżkową z przełomu lat 2008-2009. Duży spadek przeciętnych wydatków nierezydentów w roku 2010 w stosunku do 2009 sprawił, że wzrost liczby odwiedzających Polskę nierezydentów o 4,88% nie przyniósł realnych korzyści polskiej gospodarce turystycznej.</w:t>
      </w:r>
    </w:p>
    <w:p w:rsidR="005F0D11" w:rsidRPr="00AD0EB4" w:rsidRDefault="005F0D11" w:rsidP="005F0D11">
      <w:pPr>
        <w:spacing w:line="360" w:lineRule="auto"/>
      </w:pPr>
      <w:r w:rsidRPr="00AD0EB4">
        <w:t>Wśród rezydentów przeciętne wydatki na wyjazd wzrosły w przypadku wyjazdów krótkich o 0,5%, natomiast w przypadku wyjazdów długich spadły o 3,6%. Znaczącemu spadkowi uległa także liczba wyjazdów długookresowych. Podsumowując, całkowite wydatki na cele turystyczne z wyłączeniem podróży służbowych oszacowano w 2009 roku na 23 261 mln złotych, natomiast w 2010 – na 22 046 mln złotych. Należy zwrócić w tym miejscu uwagę na dynamikę zmian spożycia – spożycie turystyczne nierezydentów pozostało na zbliżonym poziomie (między innymi ze względu na zmiany kursowe), natomiast spożycie rezydentów uległo dość istotnemu zmniejszeniu – aż o 10%.</w:t>
      </w:r>
    </w:p>
    <w:p w:rsidR="005F0D11" w:rsidRPr="00AD0EB4" w:rsidRDefault="005F0D11" w:rsidP="005F0D11">
      <w:pPr>
        <w:keepNext/>
        <w:spacing w:line="360" w:lineRule="auto"/>
      </w:pPr>
      <w:r w:rsidRPr="00AD0EB4">
        <w:t xml:space="preserve"> </w:t>
      </w:r>
      <w:r w:rsidR="00BF0B80" w:rsidRPr="00AD0EB4">
        <w:rPr>
          <w:noProof/>
          <w:lang w:eastAsia="pl-PL"/>
        </w:rPr>
        <w:drawing>
          <wp:inline distT="0" distB="0" distL="0" distR="0">
            <wp:extent cx="6123940" cy="3343275"/>
            <wp:effectExtent l="0" t="0" r="10160" b="95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F0D11" w:rsidRPr="00AD0EB4" w:rsidRDefault="005F0D11" w:rsidP="005F0D11">
      <w:pPr>
        <w:pStyle w:val="Legenda"/>
      </w:pPr>
      <w:bookmarkStart w:id="5" w:name="_Toc342826621"/>
      <w:r w:rsidRPr="00AD0EB4">
        <w:t xml:space="preserve">Wykres </w:t>
      </w:r>
      <w:r w:rsidR="005263E3">
        <w:fldChar w:fldCharType="begin"/>
      </w:r>
      <w:r w:rsidR="00F716D3">
        <w:instrText xml:space="preserve"> SEQ Wykres \* ARABIC </w:instrText>
      </w:r>
      <w:r w:rsidR="005263E3">
        <w:fldChar w:fldCharType="separate"/>
      </w:r>
      <w:r w:rsidR="00F00506">
        <w:rPr>
          <w:noProof/>
        </w:rPr>
        <w:t>1</w:t>
      </w:r>
      <w:r w:rsidR="005263E3">
        <w:rPr>
          <w:noProof/>
        </w:rPr>
        <w:fldChar w:fldCharType="end"/>
      </w:r>
      <w:r w:rsidRPr="00AD0EB4">
        <w:t>. Struktura spożycia w podziale na typ konsumenta w cenach bieżących (mln PLN)</w:t>
      </w:r>
      <w:bookmarkEnd w:id="5"/>
    </w:p>
    <w:p w:rsidR="005F0D11" w:rsidRPr="00AA110F" w:rsidRDefault="005F0D11" w:rsidP="005F0D11">
      <w:pPr>
        <w:pStyle w:val="Legenda"/>
        <w:rPr>
          <w:szCs w:val="16"/>
        </w:rPr>
      </w:pPr>
      <w:r w:rsidRPr="00AA110F">
        <w:rPr>
          <w:szCs w:val="16"/>
        </w:rPr>
        <w:t xml:space="preserve">Źródło: Opracowanie własne na podstawie danych GUS oraz </w:t>
      </w:r>
      <w:r w:rsidR="00AA110F" w:rsidRPr="00AA110F">
        <w:rPr>
          <w:szCs w:val="16"/>
        </w:rPr>
        <w:t>opracowań Instytutu Turystyki na zlecenie MSit</w:t>
      </w:r>
    </w:p>
    <w:p w:rsidR="005F0D11" w:rsidRPr="00AD0EB4" w:rsidRDefault="005F0D11" w:rsidP="005F0D11">
      <w:pPr>
        <w:spacing w:line="360" w:lineRule="auto"/>
      </w:pPr>
      <w:r w:rsidRPr="00AD0EB4">
        <w:t>Najistotniejszym elementem deklarowanego spożycia turystycznego były usługi gastronomiczne – stanowiły 23,9% wolumenu spożycia w 2009 roku i 25% w 2010. Dalej znajdowały się wydatki na usługi noclegowe, produkty spożywcze, napoje i wyroby tytoniowe oraz na usługi kulturalno-rekreacyjne i na paliwo. Szacowany rozkład spożycia w poszczególnych latach objętych badaniem nie uległ istotnej zmianie – struktura była co do zasady stała, z niewielkimi przesunięciami.</w:t>
      </w:r>
    </w:p>
    <w:p w:rsidR="005F0D11" w:rsidRPr="00AD0EB4" w:rsidRDefault="005F0D11" w:rsidP="005F0D11">
      <w:pPr>
        <w:spacing w:line="360" w:lineRule="auto"/>
      </w:pPr>
      <w:r w:rsidRPr="00AD0EB4">
        <w:lastRenderedPageBreak/>
        <w:t xml:space="preserve">W przypadku turystyki zorganizowanej za pośrednictwem biur podróży (korzystał z niej co drugi badany z grupy rezydentów), można mówić o wydatkach rzędu 6 957 mln złotych w 2009 i 6 723 mln złotych w 2010 roku. Przy średniej wysokości prowizji na poziomie 8,86% w 2009 roku i 9,79% w 2010 (badanie </w:t>
      </w:r>
      <w:r w:rsidR="00DB3E88">
        <w:t>EU-Consult na próbie 174 podmiotów pośredniczących w sprzedaży usług turystycznych, czerwiec 2012</w:t>
      </w:r>
      <w:r w:rsidRPr="00AD0EB4">
        <w:t>) można oszacować udział marży biur podróży w wydatkach rezydentów na poziomie 2,92% w 2009 i 3,44% w 2010 roku. Stanowi to istotną zmianę w porównaniu do oszacowania za rok 2008, gdzie udział marży biur podróży w wydatkach turystycznych określono na poziomie 1,4% (szacunek ten obejmował jednakże zarówno wydatki rezydentów, jak i nierezydentów, co utrudniało przeprowadzenie szacunku).</w:t>
      </w:r>
      <w:r w:rsidRPr="00AD0EB4">
        <w:rPr>
          <w:noProof/>
        </w:rPr>
        <w:t xml:space="preserve"> </w:t>
      </w:r>
    </w:p>
    <w:p w:rsidR="005F0D11" w:rsidRPr="00AD0EB4" w:rsidRDefault="005F0D11" w:rsidP="005F0D11">
      <w:pPr>
        <w:spacing w:line="360" w:lineRule="auto"/>
      </w:pPr>
      <w:r w:rsidRPr="00AD0EB4">
        <w:t>Stosunkowo istotną pozycją w wydatkach nierezydentów były wydatki o charakterze zakupowym, przede wszystkim na produkty spożywcze, napoje i wyroby tytoniowe, ale także na odzież i obuwie – widać istotny komponent turystyki zakupowej wśród przyjazdów charakteryzowanych jako turystyczne. Przy słabym kursie złotówki w stosunku do euro, Polska może być ciągle atrakcyjnym celem podróży obywateli strefy euro, przynajmniej w niektórych kategoriach produktowych.</w:t>
      </w:r>
    </w:p>
    <w:p w:rsidR="005F0D11" w:rsidRPr="00AD0EB4" w:rsidRDefault="005F0D11" w:rsidP="0078286A">
      <w:pPr>
        <w:pStyle w:val="Nagwek1"/>
        <w:numPr>
          <w:ilvl w:val="0"/>
          <w:numId w:val="7"/>
        </w:numPr>
      </w:pPr>
      <w:bookmarkStart w:id="6" w:name="_Toc343503995"/>
      <w:r w:rsidRPr="00AD0EB4">
        <w:lastRenderedPageBreak/>
        <w:t>Produkcja turystyczna i udział turystyki w PKB</w:t>
      </w:r>
      <w:bookmarkEnd w:id="6"/>
    </w:p>
    <w:p w:rsidR="005F0D11" w:rsidRPr="00AD0EB4" w:rsidRDefault="005F0D11" w:rsidP="005F0D11">
      <w:pPr>
        <w:spacing w:line="360" w:lineRule="auto"/>
      </w:pPr>
      <w:r w:rsidRPr="00AD0EB4">
        <w:t xml:space="preserve">Turystyczne PKB oszacowano na 1,6% całego Produktu Krajowego Brutto w cenach bieżących, z uwzględnieniem handlu oraz działalności drugorzędnej w 2009 roku. W 2010 roku zanotowano niewielki spadek relacji turystycznego PKB do produkcji globalnej gospodarki Polski, jednak jest on widoczny dopiero w zaokrągleniach tysiącznych. </w:t>
      </w:r>
    </w:p>
    <w:p w:rsidR="008D5338" w:rsidRDefault="005F0D11" w:rsidP="008D5338">
      <w:pPr>
        <w:spacing w:line="360" w:lineRule="auto"/>
      </w:pPr>
      <w:r w:rsidRPr="00AD0EB4">
        <w:t xml:space="preserve">Wzrost gospodarki turystycznej, mierzony wskaźnikiem wartości dodanej brutto, w roku 2010 w stosunku do 2009 wzrósł o 4,2%, przy wzroście wartości dodanej brutto w całej gospodarce o 4,4%. </w:t>
      </w:r>
    </w:p>
    <w:p w:rsidR="008D5338" w:rsidRDefault="008D5338" w:rsidP="008D5338">
      <w:pPr>
        <w:spacing w:line="360" w:lineRule="auto"/>
      </w:pPr>
    </w:p>
    <w:p w:rsidR="005F0D11" w:rsidRPr="00AD0EB4" w:rsidRDefault="00BF0B80" w:rsidP="008D5338">
      <w:pPr>
        <w:spacing w:line="360" w:lineRule="auto"/>
      </w:pPr>
      <w:r w:rsidRPr="00AD0EB4">
        <w:rPr>
          <w:noProof/>
          <w:lang w:eastAsia="pl-PL"/>
        </w:rPr>
        <w:drawing>
          <wp:inline distT="0" distB="0" distL="0" distR="0">
            <wp:extent cx="6166884" cy="3434316"/>
            <wp:effectExtent l="0" t="0" r="24765" b="1397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F0D11" w:rsidRPr="00AD0EB4" w:rsidRDefault="005F0D11" w:rsidP="005F0D11">
      <w:pPr>
        <w:pStyle w:val="Legenda"/>
      </w:pPr>
      <w:bookmarkStart w:id="7" w:name="_Toc342826623"/>
      <w:r w:rsidRPr="00AD0EB4">
        <w:t xml:space="preserve">Wykres </w:t>
      </w:r>
      <w:r w:rsidR="005263E3">
        <w:fldChar w:fldCharType="begin"/>
      </w:r>
      <w:r w:rsidR="00F716D3">
        <w:instrText xml:space="preserve"> SEQ Wykres \* ARABIC </w:instrText>
      </w:r>
      <w:r w:rsidR="005263E3">
        <w:fldChar w:fldCharType="separate"/>
      </w:r>
      <w:r w:rsidR="00F00506">
        <w:rPr>
          <w:noProof/>
        </w:rPr>
        <w:t>2</w:t>
      </w:r>
      <w:r w:rsidR="005263E3">
        <w:rPr>
          <w:noProof/>
        </w:rPr>
        <w:fldChar w:fldCharType="end"/>
      </w:r>
      <w:r w:rsidRPr="00AD0EB4">
        <w:t>. Struktura PKB wytworzonego w CRDT w głównych sekcjach w cenach bieżących (</w:t>
      </w:r>
      <w:r w:rsidR="00F00506">
        <w:t>MLD</w:t>
      </w:r>
      <w:r w:rsidRPr="00AD0EB4">
        <w:t xml:space="preserve"> PLN)</w:t>
      </w:r>
      <w:bookmarkEnd w:id="7"/>
    </w:p>
    <w:p w:rsidR="005F0D11" w:rsidRPr="00AD0EB4" w:rsidRDefault="005F0D11" w:rsidP="005F0D11">
      <w:pPr>
        <w:pStyle w:val="Legenda"/>
      </w:pPr>
      <w:r w:rsidRPr="00AD0EB4">
        <w:t>Źródło: Opracowanie własne na podstawie danych GUS</w:t>
      </w:r>
    </w:p>
    <w:p w:rsidR="005F0D11" w:rsidRPr="00AD0EB4" w:rsidRDefault="005F0D11" w:rsidP="005F0D11">
      <w:pPr>
        <w:spacing w:line="360" w:lineRule="auto"/>
      </w:pPr>
      <w:r w:rsidRPr="00AD0EB4">
        <w:t>Łączna produkcja globalna podmiotów świadczących usługi oraz sprzedających produkty należące do grupy charakterystycznych rodzajów działalności turystycznej wyniosła 262 953 mln złotych w 2009 i 274 065 mln złotych w 2010 roku – zanotowano tu wzrost</w:t>
      </w:r>
      <w:r w:rsidR="00AA110F">
        <w:t xml:space="preserve"> 4,2%</w:t>
      </w:r>
      <w:r w:rsidRPr="00AD0EB4">
        <w:t xml:space="preserve">. Dla poszczególnych sekcji PKD objętych analizą było to odpowiednio: 28 558 mln złotych dla sekcji I (PKD 2007) w 2009 i 29 896 mln złotych w 2010 (wzrost </w:t>
      </w:r>
      <w:r w:rsidR="00AA110F">
        <w:t>3,4</w:t>
      </w:r>
      <w:r w:rsidRPr="00AD0EB4">
        <w:t xml:space="preserve">%); 164 206 mln złotych w 2009 i 172 012 mln złotych w 2010 dla sekcji H (wzrost </w:t>
      </w:r>
      <w:r w:rsidR="00AA110F">
        <w:t>4,9</w:t>
      </w:r>
      <w:r w:rsidRPr="00AD0EB4">
        <w:t>%); oraz 27 251 mln złotych i 26 716 mln złotych tys. dla sekcji R (spadek 2%). Produkcja globalna sektora handlowego wzrosła z 387 390 mln złotych w 2009 do 403 502 mln w 2010 (wzrost 4</w:t>
      </w:r>
      <w:r w:rsidR="00AA110F">
        <w:t>,4</w:t>
      </w:r>
      <w:r w:rsidRPr="00AD0EB4">
        <w:t xml:space="preserve">%), natomiast sekcja N wzrosła z 42 938 mln złotych do 45 441 mln złotych (wzrost </w:t>
      </w:r>
      <w:r w:rsidR="00AA110F">
        <w:t>5,8</w:t>
      </w:r>
      <w:r w:rsidRPr="00AD0EB4">
        <w:t>%).</w:t>
      </w:r>
    </w:p>
    <w:p w:rsidR="005F0D11" w:rsidRPr="00AD0EB4" w:rsidRDefault="00732FEC" w:rsidP="005F0D11">
      <w:pPr>
        <w:spacing w:line="360" w:lineRule="auto"/>
      </w:pPr>
      <w:r>
        <w:t>P</w:t>
      </w:r>
      <w:r w:rsidR="005F0D11" w:rsidRPr="00AD0EB4">
        <w:t xml:space="preserve">rzyrost produkcji globalnej w gospodarce w 2010 wyniósł 4,4%, to już w branżach zaliczanych do CRDT – 11,2%. </w:t>
      </w:r>
      <w:r>
        <w:t>D</w:t>
      </w:r>
      <w:r w:rsidR="005F0D11" w:rsidRPr="00AD0EB4">
        <w:t>otyczyło to przede wszystkim branż zaliczanych do gospodarki turystycznej, które są dla nie</w:t>
      </w:r>
      <w:r>
        <w:t>j mniej istotne (zgodnie ze wspó</w:t>
      </w:r>
      <w:r w:rsidR="005F0D11" w:rsidRPr="00AD0EB4">
        <w:t>łczynnikiem turystycznej wartości dodanej). Wzrost turystycznej wartości dodanej w</w:t>
      </w:r>
      <w:r w:rsidR="00AA110F">
        <w:t xml:space="preserve"> charakterystycznych </w:t>
      </w:r>
      <w:r w:rsidR="00AA110F">
        <w:lastRenderedPageBreak/>
        <w:t xml:space="preserve">rodzajach działalności turystycznej (CRDT) </w:t>
      </w:r>
      <w:r w:rsidR="005F0D11" w:rsidRPr="00AD0EB4">
        <w:t>z wyłączeniem handlu wyniósł zgodnie z szacunkami 4,2%, natomiast wzrost handlu – 7,8%.</w:t>
      </w:r>
    </w:p>
    <w:p w:rsidR="005F0D11" w:rsidRPr="00AD0EB4" w:rsidRDefault="005F0D11" w:rsidP="005F0D11">
      <w:pPr>
        <w:spacing w:line="360" w:lineRule="auto"/>
      </w:pPr>
      <w:r w:rsidRPr="00AD0EB4">
        <w:t>Najważniejszymi źródłami PKB wytwarzanego w CRDT były zarówno w 2009 jak i w 2010 roku handel, usługi obiektów noclegowych, transport lotniczy oraz gastronomia. Struktura wytworzonego turystycznego PKB nie uległa znaczącej zmianie w kolejnych latach – widać jednak niewielki spadek udziału transportu lotniczego (ze względu na stagnację tej branży gospodarki turystycznej) oraz istotne zmniejszenie produkcji biur podróży i usług kulturalno-rekreacyjnych. Ma to związek z jednej strony ze wzrostem cen, z drugiej zaś – tłumacząc spadki – z poszukiwaniem przez konsumentów dóbr substytuujących najdroższe i najłatwiejsze do zastąpienia.</w:t>
      </w:r>
    </w:p>
    <w:p w:rsidR="005F0D11" w:rsidRPr="00AD0EB4" w:rsidRDefault="005F0D11" w:rsidP="0078286A">
      <w:pPr>
        <w:pStyle w:val="Nagwek1"/>
        <w:numPr>
          <w:ilvl w:val="0"/>
          <w:numId w:val="7"/>
        </w:numPr>
      </w:pPr>
      <w:bookmarkStart w:id="8" w:name="_Toc343503996"/>
      <w:r w:rsidRPr="00AD0EB4">
        <w:lastRenderedPageBreak/>
        <w:t>Pracujący w turystyce</w:t>
      </w:r>
      <w:bookmarkEnd w:id="8"/>
    </w:p>
    <w:p w:rsidR="005F0D11" w:rsidRPr="00AD0EB4" w:rsidRDefault="005F0D11" w:rsidP="005F0D11"/>
    <w:p w:rsidR="005F0D11" w:rsidRPr="00AD0EB4" w:rsidRDefault="005F0D11" w:rsidP="005F0D11">
      <w:pPr>
        <w:spacing w:line="360" w:lineRule="auto"/>
      </w:pPr>
      <w:r w:rsidRPr="00AD0EB4">
        <w:t>Liczbę osób pracujących w charakterystycznych rodzajach działalności turystycznej oszacowano w 2009 roku, po uwzględnieniu współczynnika TWD, na 161 568 etatów (w tym 66 089 mężczyzn i 95</w:t>
      </w:r>
      <w:r w:rsidR="00A27243">
        <w:t xml:space="preserve"> </w:t>
      </w:r>
      <w:r w:rsidRPr="00AD0EB4">
        <w:t>479 kobiet), natomiast w roku 2010 – 157</w:t>
      </w:r>
      <w:r w:rsidR="00A27243">
        <w:t xml:space="preserve"> </w:t>
      </w:r>
      <w:r w:rsidRPr="00AD0EB4">
        <w:t>888 osób (w tym 92 898 kobiet). Obliczenia te oparte są na danych Głównego Urzędu Statystycznego, który ze względu na charakter zbieranych informacji nie dysponuje pełnymi danymi, zwłaszcza w odniesieniu do małych podmiotów. Praca w większości badanych przedsiębiorstw (z wyłączeniem mikroprzedsiębiorstw) opiera się na zatrudnieniu zgodnym z kodeksem pracy (umowa o pracę). W sumie w przedsiębiorstwach należących do gospodarki turystycznej liczba zatrudnionych wyniosła 508 850 osób w 2009 i 539 740 osób w 2010 roku, natomiast liczba pracujących niezatrudnionych (właściciele, pomagający członkowie rodzin) 259 767 osób w 2009 roku i 254 089 osób w 2010 roku.</w:t>
      </w:r>
    </w:p>
    <w:p w:rsidR="005F0D11" w:rsidRDefault="005F0D11" w:rsidP="005F0D11">
      <w:pPr>
        <w:spacing w:line="360" w:lineRule="auto"/>
      </w:pPr>
      <w:r w:rsidRPr="00AD0EB4">
        <w:t>Liczba pracujących i zatrudnionych w mikroprzedsiębiorstwach została oszacowana na podstawie ogólnej struktury zatrudnienia w gospodarce turystycznej oraz danych z badania reprezentacyjnego</w:t>
      </w:r>
      <w:r w:rsidR="00A27243">
        <w:t xml:space="preserve"> Głównego Urzędu Statystycznego. N</w:t>
      </w:r>
      <w:r w:rsidRPr="00AD0EB4">
        <w:t>atomiast liczba pracujących i zatrudnionych w małych i średnich przedsiębiorstwach z wyłączeniem mikroprzedsiębiorstw – na podstawie badania pełnego.</w:t>
      </w:r>
    </w:p>
    <w:p w:rsidR="008D5338" w:rsidRPr="00AD0EB4" w:rsidRDefault="008D5338" w:rsidP="008D5338">
      <w:pPr>
        <w:spacing w:line="360" w:lineRule="auto"/>
      </w:pPr>
      <w:r>
        <w:t xml:space="preserve">Liczba osób pracujących w branżach turystycznych (CRDT) stanowiła w relacji do zatrudnienia w gospodarce narodowej 5,6% w roku 2009 i 5,4% w roku 2010. Liczba osób pracujących w turystyce po uwzględnieniu </w:t>
      </w:r>
      <w:r w:rsidR="00A27243">
        <w:t xml:space="preserve">jej </w:t>
      </w:r>
      <w:r>
        <w:t>udziału w produkcji globalnej tych branż 1,2% w 2009 roku, natomiast w 2010 roku – 1,1%.</w:t>
      </w:r>
      <w:r w:rsidR="00A27243">
        <w:t xml:space="preserve"> Zanotowany spadek zatrudnienia, po</w:t>
      </w:r>
      <w:r>
        <w:t>mimo swojej skali</w:t>
      </w:r>
      <w:r w:rsidR="00A27243">
        <w:t xml:space="preserve"> - jest w dużej mierze pozorny. R</w:t>
      </w:r>
      <w:r>
        <w:t xml:space="preserve">estrukturyzacja sektora kolejowego sprawiła, że osoby zatrudnione wcześniej w spółkach </w:t>
      </w:r>
      <w:r w:rsidR="00AA110F">
        <w:t xml:space="preserve">Grupy </w:t>
      </w:r>
      <w:r>
        <w:t>PKP, zostały przeniesione do wyspecjalizowanych podmiotów gospodarczych.</w:t>
      </w:r>
    </w:p>
    <w:p w:rsidR="005F0D11" w:rsidRPr="00AD0EB4" w:rsidRDefault="005F0D11" w:rsidP="00732FEC">
      <w:pPr>
        <w:spacing w:line="360" w:lineRule="auto"/>
      </w:pPr>
      <w:r w:rsidRPr="00AD0EB4">
        <w:t xml:space="preserve">W rachunku bieżącym, w mikroprzedsiębiorstwach zatrudnionych było w roku 2009 (po uwzględnieniu współczynnika TWD) 94 610 osób, natomiast w 2010 - </w:t>
      </w:r>
      <w:r w:rsidRPr="00AD0EB4">
        <w:rPr>
          <w:color w:val="000000"/>
        </w:rPr>
        <w:t>85 345 osób</w:t>
      </w:r>
      <w:r w:rsidR="00732FEC">
        <w:rPr>
          <w:color w:val="000000"/>
        </w:rPr>
        <w:t>.</w:t>
      </w:r>
    </w:p>
    <w:p w:rsidR="005F0D11" w:rsidRPr="00AD0EB4" w:rsidRDefault="005F0D11" w:rsidP="005F0D11">
      <w:pPr>
        <w:spacing w:line="360" w:lineRule="auto"/>
      </w:pPr>
      <w:r w:rsidRPr="00AD0EB4">
        <w:t>W branżach gospodarki turystycznej, w których nastąpiły</w:t>
      </w:r>
      <w:r w:rsidR="00A27243">
        <w:t xml:space="preserve"> największe spadki zatrudnienia</w:t>
      </w:r>
      <w:r w:rsidRPr="00AD0EB4">
        <w:t xml:space="preserve"> w sektorze mikroprzedsiębiorstw, zostały zrównoważone wśród małych i średnich przedsiębiorstw. Celowe wydaje się określenie w ramach kolejnego zadania badawczego, jaki wpływ na powyższą prawidłowość ma restrukturyzacja rynku – w tym przede wszystkim przepływy między kategorią mikroprzedsiębiorstw a kategorią małych i średnich przedsiębiorstw. Ustalenie tego na podstawie posiadanych podczas tworzenia niniejszego opracowania danych nie jest możliwe, gdyż po uwzględnieniu zmian w klasyfikacji działalności zmiany charakterystyki poszczególnych przedsiębiorstw w ramach MŚP nie są wystarczającym wytłumaczeniem obserwowanego zjawiska, zwłaszcza w kontekście globalnego spadku liczby pracujących.</w:t>
      </w:r>
    </w:p>
    <w:p w:rsidR="005F0D11" w:rsidRPr="00AD0EB4" w:rsidRDefault="005F0D11" w:rsidP="005F0D11">
      <w:pPr>
        <w:spacing w:line="360" w:lineRule="auto"/>
      </w:pPr>
      <w:r w:rsidRPr="00AD0EB4">
        <w:t xml:space="preserve">Wahania koniunkturowe w mniejszym stopniu dotknęły średnich przedsiębiorstw, niemogących reagować elastycznie na wahania rynku turystycznego. Wpływ na zatrudnienie mogły mieć także działania restrukturyzacyjne podmiotów działających w CRDT, podjęte z przyczyn niezwiązanych bezpośrednio z działalnością turystyczną – wydaje się to prawdopodobne w kontekście dość dobrej koniunktury na rynku usług turystycznych, a zwłaszcza w zwiększeniu liczby </w:t>
      </w:r>
      <w:r w:rsidRPr="00AD0EB4">
        <w:lastRenderedPageBreak/>
        <w:t>turystów, co mimo spadku przeciętnych wydatków, utrzymało poziom spożycia turystycznego w poszczególnych latach na zbliżonym poziomie.</w:t>
      </w:r>
    </w:p>
    <w:p w:rsidR="005F0D11" w:rsidRPr="00AD0EB4" w:rsidRDefault="005F0D11" w:rsidP="005F0D11">
      <w:pPr>
        <w:spacing w:line="360" w:lineRule="auto"/>
      </w:pPr>
      <w:r w:rsidRPr="00AD0EB4">
        <w:t xml:space="preserve">Struktura płci zatrudnionych w podmiotach gospodarki turystycznej, dla których możliwe było jej ustalenie, nie zmieniła się - zarówno w 2009 jak w 2010 roku </w:t>
      </w:r>
      <w:r w:rsidR="00C86437">
        <w:t xml:space="preserve">- </w:t>
      </w:r>
      <w:r w:rsidRPr="00AD0EB4">
        <w:t>40% zatrudnionych w branżach z zakresu CRDT stanowili mężczyźni. W związku z brakiem dostępności aktualnych danych o zatrudnieniu w dekompozycji na płeć i dział PKD, struktura zatrudnienia w mikroprzedsiębiorstwach w opracowaniu tabelarycznym oszacowana została na podstawie danych z populacji małych przedsiębiorstw techniką proporcjonalną.</w:t>
      </w:r>
    </w:p>
    <w:p w:rsidR="005F0D11" w:rsidRPr="00AD0EB4" w:rsidRDefault="005F0D11" w:rsidP="005F0D11">
      <w:pPr>
        <w:spacing w:line="360" w:lineRule="auto"/>
      </w:pPr>
    </w:p>
    <w:p w:rsidR="005F0D11" w:rsidRPr="00AD0EB4" w:rsidRDefault="005F0D11" w:rsidP="0078286A">
      <w:pPr>
        <w:pStyle w:val="Nagwek1"/>
        <w:numPr>
          <w:ilvl w:val="0"/>
          <w:numId w:val="7"/>
        </w:numPr>
      </w:pPr>
      <w:bookmarkStart w:id="9" w:name="_Toc343503997"/>
      <w:r w:rsidRPr="00AD0EB4">
        <w:lastRenderedPageBreak/>
        <w:t>Nakłady inwestycyjne i akumulacja kapitału</w:t>
      </w:r>
      <w:bookmarkEnd w:id="9"/>
    </w:p>
    <w:p w:rsidR="005F0D11" w:rsidRPr="00AD0EB4" w:rsidRDefault="005F0D11" w:rsidP="005F0D11"/>
    <w:p w:rsidR="005F0D11" w:rsidRPr="00AD0EB4" w:rsidRDefault="005F0D11" w:rsidP="005F0D11">
      <w:r w:rsidRPr="00AD0EB4">
        <w:t xml:space="preserve">W 2009 roku stan posiadanych aktywów niefinansowych osiągnął łączną wartość 43,1 miliarda złotych; w tym 6,7 miliarda </w:t>
      </w:r>
      <w:r w:rsidR="00C86437">
        <w:t xml:space="preserve">zł </w:t>
      </w:r>
      <w:r w:rsidRPr="00AD0EB4">
        <w:t>stanowiły grunty, natomiast 36,4 miliarda – budynki, lokale i obiekty inżynierii lądowej i wodnej. Rok później łączna wartość aktywów była już nieco wyższa i łącznie wynosiła 45,4 miliarda złotych. Zmniejszyła się wartość posiadanych gruntów (do 6,5 miliarda złotych), wzrosła natomiast – budynków, lokalów i obiektów inżynieryjnych (38,9 miliarda złotych).</w:t>
      </w:r>
    </w:p>
    <w:p w:rsidR="005F0D11" w:rsidRPr="00AD0EB4" w:rsidRDefault="005F0D11" w:rsidP="005F0D11">
      <w:pPr>
        <w:keepNext/>
      </w:pPr>
      <w:r w:rsidRPr="00AD0EB4">
        <w:t>Tak w 2009, jak i w 2010 roku najwyższą wartość miały posiadane aktywa niefinansowe w Dziale 49 PKD (</w:t>
      </w:r>
      <w:r w:rsidRPr="00AD0EB4">
        <w:rPr>
          <w:i/>
        </w:rPr>
        <w:t>Transport lądowy oraz transport rurociągowy</w:t>
      </w:r>
      <w:r w:rsidRPr="00AD0EB4">
        <w:t>). Na przestrzeni roku wartość gruntów posiadanych w tej kategorii zmniejszyła się jednak o blisko 2 miliardy złotych, natomiast dla budynków, lokalów i obiektów inżynieryjnych odnotowano spadek rzędu 12,77 miliarda</w:t>
      </w:r>
      <w:r w:rsidR="00C86437">
        <w:t xml:space="preserve"> zł</w:t>
      </w:r>
      <w:r w:rsidRPr="00AD0EB4">
        <w:t>. Na wartości straciły również znacząco aktywa niefinansowe związane z transportem lotniczym (grunty o 91,5, budynki i lokale o 51,6 milionów złotych). Największy wzrost wartości odnotowano natomiast względem nieruchomości w Dziale 52 PKD (</w:t>
      </w:r>
      <w:r w:rsidRPr="00AD0EB4">
        <w:rPr>
          <w:i/>
        </w:rPr>
        <w:t>Magazynowanie i działalność usługowa wspomagająca transport</w:t>
      </w:r>
      <w:r w:rsidRPr="00AD0EB4">
        <w:t>); dla gruntów było to ponad 2,5 miliarda</w:t>
      </w:r>
      <w:r w:rsidR="00C86437">
        <w:t xml:space="preserve"> zł</w:t>
      </w:r>
      <w:r w:rsidRPr="00AD0EB4">
        <w:t>, a dla budynków, lokali i obiektów inżynierii lądowej i wodnej aż 14,</w:t>
      </w:r>
      <w:r w:rsidR="00BE2066">
        <w:t>5</w:t>
      </w:r>
      <w:r w:rsidRPr="00AD0EB4">
        <w:t xml:space="preserve"> miliarda złotych przyrostu.</w:t>
      </w:r>
    </w:p>
    <w:p w:rsidR="005F0D11" w:rsidRPr="00AD0EB4" w:rsidRDefault="005F0D11" w:rsidP="005F0D11">
      <w:pPr>
        <w:keepNext/>
      </w:pPr>
      <w:r w:rsidRPr="00AD0EB4">
        <w:t>Mimo wzrostu wartości posiadanych aktywów niefinansowych, w analizowanym okresie zmniejszyły się ponoszone na nie nakłady bieżące. W 2009 roku ich łączna wartość wyniosła 4,44 miliarda złotych, natomiast w 2010 – 3,93 miliarda</w:t>
      </w:r>
      <w:r w:rsidR="009F5039">
        <w:t xml:space="preserve"> zł</w:t>
      </w:r>
      <w:r w:rsidRPr="00AD0EB4">
        <w:t>. Mimo wzrostu wydatków bieżących na posiadane grunty (400 milionów złotych), spadek odnotowano ze względu na znacznie niższy udział wydatków na budynki, lokale i obiekty inżynierii lądowej i wodnej (900 milionów złotych).</w:t>
      </w:r>
    </w:p>
    <w:p w:rsidR="005F0D11" w:rsidRPr="00AD0EB4" w:rsidRDefault="005F0D11" w:rsidP="005F0D11">
      <w:pPr>
        <w:keepNext/>
      </w:pPr>
      <w:r w:rsidRPr="00AD0EB4">
        <w:t>W 2009 roku najwyższe nakłady bieżące na aktywa niefinansowe odnotowano w Dziale 49 PKD (132 miliony złotych dla gruntów i 3</w:t>
      </w:r>
      <w:r w:rsidR="009F5039">
        <w:t xml:space="preserve"> </w:t>
      </w:r>
      <w:r w:rsidRPr="00AD0EB4">
        <w:t xml:space="preserve">104 miliony </w:t>
      </w:r>
      <w:r w:rsidR="009F5039">
        <w:t xml:space="preserve">złotych </w:t>
      </w:r>
      <w:r w:rsidRPr="00AD0EB4">
        <w:t>w przypadku budynków, lokalów i obiektów inżynieryjnych). W 2010 roku nakłady na obiekty w tym dziale zmniejszyły się o 2,66 miliarda złotych, a najwyższe wydatki zaczęto ponosić na utrzymanie gruntów i budynków w Dziale 52 (</w:t>
      </w:r>
      <w:r w:rsidRPr="00AD0EB4">
        <w:rPr>
          <w:i/>
        </w:rPr>
        <w:t>Magazynowanie i działalność usługowa wspomagająca transport</w:t>
      </w:r>
      <w:r w:rsidRPr="00AD0EB4">
        <w:t>); łącznie wyniosły one 1,61 miliarda złotych.</w:t>
      </w:r>
    </w:p>
    <w:p w:rsidR="005F0D11" w:rsidRPr="00AD0EB4" w:rsidRDefault="005F0D11" w:rsidP="005F0D11">
      <w:r w:rsidRPr="00AD0EB4">
        <w:t>W latach 2009 – 2010 odnotowano wzrost liczby obiektów noclegowych w Polsce (103,1%). Przybyło przede wszystkim obiektów hotelowych (125%), zespołów domków turystycznych (110,6%) i hoteli (109,9%), jednak liczba miejsc noclegowych nie zwiększyła się w analizowanym okresie znacząco (100,6%).</w:t>
      </w:r>
    </w:p>
    <w:p w:rsidR="005F0D11" w:rsidRPr="00AD0EB4" w:rsidRDefault="005F0D11" w:rsidP="005F0D11">
      <w:r w:rsidRPr="00AD0EB4">
        <w:t>Zwiększenie liczby miejsc noclegowych odnotowano – poza wymienionymi powyżej kategoriami – w motelach, szkolnych schroniskach młodzieżowych, ośrodkach szkoleniowo-wypoczynkowych oraz zakładach uzdrowiskowych.</w:t>
      </w:r>
    </w:p>
    <w:p w:rsidR="005F0D11" w:rsidRPr="00AD0EB4" w:rsidRDefault="005F0D11" w:rsidP="005F0D11">
      <w:pPr>
        <w:keepNext/>
      </w:pPr>
      <w:r w:rsidRPr="00AD0EB4">
        <w:t xml:space="preserve">W analizowanym okresie najistotniejszy wzrost procentowy liczebności obiektów turystycznych odnotowano w kategorii </w:t>
      </w:r>
      <w:r w:rsidRPr="00AD0EB4">
        <w:rPr>
          <w:i/>
        </w:rPr>
        <w:t>zespoły domków turystycznych</w:t>
      </w:r>
      <w:r w:rsidRPr="00AD0EB4">
        <w:t xml:space="preserve"> – ich liczba zwiększyła się o 35 obiektów</w:t>
      </w:r>
      <w:r w:rsidR="00732FEC">
        <w:t xml:space="preserve"> i wyniosła 365</w:t>
      </w:r>
      <w:r w:rsidRPr="00AD0EB4">
        <w:t>. Przybyło również hoteli</w:t>
      </w:r>
      <w:r w:rsidR="00732FEC">
        <w:t xml:space="preserve"> (do 1796)</w:t>
      </w:r>
      <w:r w:rsidRPr="00AD0EB4">
        <w:t xml:space="preserve">; na przestrzeni roku powstały 162 nowe obiekty tego typu (a także 202 </w:t>
      </w:r>
      <w:r w:rsidRPr="00AD0EB4">
        <w:rPr>
          <w:i/>
        </w:rPr>
        <w:t>inne obiekty hotelowe</w:t>
      </w:r>
      <w:r w:rsidRPr="00AD0EB4">
        <w:t>). Likwidowane były natomiast pola biwakowe (89,4%) – ubyło ich 23 - oraz domy wycieczkowe (86,7%); na przestrzeni roku było ich o 8 mniej. Na stałym poziomie utrzymana została jedynie liczba schronisk młodzieżowych (52 obiekty tego typu); należy jednak podkreślić, że zmniejszyła się liczba dostępnych w nich miejsc noclegowych (94,2%).</w:t>
      </w:r>
    </w:p>
    <w:p w:rsidR="005F0D11" w:rsidRPr="00AD0EB4" w:rsidRDefault="005F0D11" w:rsidP="005F0D11">
      <w:pPr>
        <w:keepNext/>
      </w:pPr>
      <w:r w:rsidRPr="00AD0EB4">
        <w:t xml:space="preserve">Największy wzrost liczby miejsc noclegowych odnotowano w </w:t>
      </w:r>
      <w:r w:rsidRPr="00AD0EB4">
        <w:rPr>
          <w:i/>
        </w:rPr>
        <w:t>innych obiektach hotelowych</w:t>
      </w:r>
      <w:r w:rsidR="00BE2066">
        <w:t xml:space="preserve"> (wzrost </w:t>
      </w:r>
      <w:r w:rsidRPr="00AD0EB4">
        <w:t>19,8%), pensjonatach (</w:t>
      </w:r>
      <w:r w:rsidR="00BE2066">
        <w:t xml:space="preserve">wzrost </w:t>
      </w:r>
      <w:r w:rsidRPr="00AD0EB4">
        <w:t>7,6%) i hotelach (</w:t>
      </w:r>
      <w:r w:rsidR="00BE2066">
        <w:t xml:space="preserve">wzrost </w:t>
      </w:r>
      <w:r w:rsidRPr="00AD0EB4">
        <w:t>6,3%). Zmniejszyła się natomiast liczba dostępnych m</w:t>
      </w:r>
      <w:r w:rsidR="002E2358">
        <w:t>iejsc na polach biwakowych (</w:t>
      </w:r>
      <w:r w:rsidR="00BE2066">
        <w:t>spadek o 12,5</w:t>
      </w:r>
      <w:r w:rsidRPr="00AD0EB4">
        <w:t>%),</w:t>
      </w:r>
      <w:r w:rsidR="002E2358">
        <w:t xml:space="preserve"> w ośrodkach kolonijnych (</w:t>
      </w:r>
      <w:r w:rsidR="00BE2066">
        <w:t>spadek 12,9%</w:t>
      </w:r>
      <w:r w:rsidRPr="00AD0EB4">
        <w:t xml:space="preserve">) oraz w </w:t>
      </w:r>
      <w:r w:rsidR="002E2358">
        <w:t>domach wycieczkowych (</w:t>
      </w:r>
      <w:r w:rsidR="00BE2066">
        <w:t>spadek o 12,8%</w:t>
      </w:r>
      <w:r w:rsidRPr="00AD0EB4">
        <w:t>).</w:t>
      </w:r>
    </w:p>
    <w:p w:rsidR="005F0D11" w:rsidRPr="00AD0EB4" w:rsidRDefault="005F0D11" w:rsidP="005F0D11">
      <w:pPr>
        <w:spacing w:line="360" w:lineRule="auto"/>
      </w:pPr>
    </w:p>
    <w:p w:rsidR="00BE2066" w:rsidRDefault="00BE2066" w:rsidP="0078286A">
      <w:pPr>
        <w:pStyle w:val="Nagwek1"/>
        <w:numPr>
          <w:ilvl w:val="0"/>
          <w:numId w:val="7"/>
        </w:numPr>
      </w:pPr>
      <w:bookmarkStart w:id="10" w:name="_Toc343498619"/>
      <w:bookmarkStart w:id="11" w:name="_Toc343503998"/>
      <w:r w:rsidRPr="00AD0EB4">
        <w:lastRenderedPageBreak/>
        <w:t>Uwagi końcowe</w:t>
      </w:r>
      <w:bookmarkEnd w:id="10"/>
      <w:bookmarkEnd w:id="11"/>
    </w:p>
    <w:p w:rsidR="00BE2066" w:rsidRPr="001E0230" w:rsidRDefault="00BE2066" w:rsidP="00BE2066"/>
    <w:p w:rsidR="00BE2066" w:rsidRPr="00AD0EB4" w:rsidRDefault="00BE2066" w:rsidP="00BE2066">
      <w:r w:rsidRPr="00AD0EB4">
        <w:t xml:space="preserve">Współcześnie turystyka staje się jedną z ważniejszych branż gospodarki – coraz szersze rzesze konsumentów uzyskują dostęp do możliwości swobodnego podróżowania. Wpływ globalizacji oraz akcesja do </w:t>
      </w:r>
      <w:r>
        <w:t>strefy Schengen</w:t>
      </w:r>
      <w:r w:rsidRPr="00AD0EB4">
        <w:t xml:space="preserve"> zmniejszają również postrzegane odległości – podróże stają się coraz bardziej dostępne zarówno w perspektywie finansowej, jak psychologicznej. Wpływa to również na zwiększenie istotności gospodarki turystycznej – stanowiącej zgodnie z szacunkami 1,6% produkcji krajowej, co – gdyby gospodarka turystyczna stanowiła odrębną sekcję w klasyfikacji działalności – dałoby jej wysoką pozycję na tle pozostałych sekcji.</w:t>
      </w:r>
    </w:p>
    <w:p w:rsidR="00BE2066" w:rsidRDefault="00BE2066" w:rsidP="00BE2066">
      <w:r w:rsidRPr="00AD0EB4">
        <w:t xml:space="preserve">Stabilny wzrost gospodarki turystycznej w relacji do wzrostu </w:t>
      </w:r>
      <w:r>
        <w:t>PKB w cenach bieżących</w:t>
      </w:r>
      <w:r w:rsidRPr="00AD0EB4">
        <w:t xml:space="preserve"> oznacza, że </w:t>
      </w:r>
      <w:r>
        <w:t xml:space="preserve">branża turystyczna </w:t>
      </w:r>
      <w:r w:rsidRPr="00AD0EB4">
        <w:t xml:space="preserve">w latach 2009-2010 utrzymywała stabilną pozycję, </w:t>
      </w:r>
      <w:r>
        <w:t>wychodząc z kryzysu lat wcześniejszych.</w:t>
      </w:r>
    </w:p>
    <w:p w:rsidR="00BE2066" w:rsidRPr="00AD0EB4" w:rsidRDefault="00BE2066" w:rsidP="00BE2066">
      <w:r w:rsidRPr="00AD0EB4">
        <w:t>Zatrudnienie w turystyce i branżach wspierających jest o tyle istotne we współczesnej gospodarce, nastawionej przede wszystkim na usługi, że pozwala stosunkowo łatwo wchłonąć nadwyżki siły roboczej na rynku pracy – elastyczność form zatrudnienia nie buduje często stałego przywiązania pracownika do branży, pozwala jednak na wchłonięcie osób o niskich kwalifikacjach.</w:t>
      </w:r>
    </w:p>
    <w:p w:rsidR="00866E3A" w:rsidRDefault="00BE2066" w:rsidP="00BE2066">
      <w:r w:rsidRPr="00AD0EB4">
        <w:t>Gospodarka turystyczna jako dziedzina płynna, i nie we wszystkich aspektach określona, ma również bardzo szeroką bazę branż zależnych – nie stanowiących sensu stricte produktów turystycznych, będących jednak często spożywanych przez turystów. Oznacza to, że rozwój gospodarki turystycznej ma wpływ na niemal wszystkie pozostałe branże gospodarki – dostarczające produktów od których produkcja turystyczna zależy.</w:t>
      </w:r>
    </w:p>
    <w:sectPr w:rsidR="00866E3A" w:rsidSect="005F0D11">
      <w:footerReference w:type="default" r:id="rId14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B1F" w:rsidRDefault="00E67B1F" w:rsidP="005F0D11">
      <w:pPr>
        <w:spacing w:after="0" w:line="240" w:lineRule="auto"/>
      </w:pPr>
      <w:r>
        <w:separator/>
      </w:r>
    </w:p>
  </w:endnote>
  <w:endnote w:type="continuationSeparator" w:id="0">
    <w:p w:rsidR="00E67B1F" w:rsidRDefault="00E67B1F" w:rsidP="005F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670416"/>
      <w:docPartObj>
        <w:docPartGallery w:val="Page Numbers (Bottom of Page)"/>
        <w:docPartUnique/>
      </w:docPartObj>
    </w:sdtPr>
    <w:sdtEndPr/>
    <w:sdtContent>
      <w:p w:rsidR="00C86437" w:rsidRDefault="005263E3">
        <w:pPr>
          <w:pStyle w:val="Stopka"/>
          <w:jc w:val="center"/>
        </w:pPr>
        <w:r>
          <w:fldChar w:fldCharType="begin"/>
        </w:r>
        <w:r w:rsidR="0059751D">
          <w:instrText>PAGE   \* MERGEFORMAT</w:instrText>
        </w:r>
        <w:r>
          <w:fldChar w:fldCharType="separate"/>
        </w:r>
        <w:r w:rsidR="00E4359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C86437" w:rsidRDefault="00C864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B1F" w:rsidRDefault="00E67B1F" w:rsidP="005F0D11">
      <w:pPr>
        <w:spacing w:after="0" w:line="240" w:lineRule="auto"/>
      </w:pPr>
      <w:r>
        <w:separator/>
      </w:r>
    </w:p>
  </w:footnote>
  <w:footnote w:type="continuationSeparator" w:id="0">
    <w:p w:rsidR="00E67B1F" w:rsidRDefault="00E67B1F" w:rsidP="005F0D11">
      <w:pPr>
        <w:spacing w:after="0" w:line="240" w:lineRule="auto"/>
      </w:pPr>
      <w:r>
        <w:continuationSeparator/>
      </w:r>
    </w:p>
  </w:footnote>
  <w:footnote w:id="1">
    <w:p w:rsidR="00C86437" w:rsidRDefault="00C86437" w:rsidP="005F0D11">
      <w:pPr>
        <w:pStyle w:val="Tekstprzypisudolnego"/>
      </w:pPr>
      <w:r>
        <w:rPr>
          <w:rStyle w:val="Odwoanieprzypisudolnego"/>
        </w:rPr>
        <w:footnoteRef/>
      </w:r>
      <w:r>
        <w:t xml:space="preserve"> Usługi zakwaterowania, w tym hotelarskie, wykorzystywane są również bez związku z turystyką – do obiektów typu hotelowego należą m.in. obiekty zakwaterowania zbiorowego wykorzystywane przez pracowników.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C4A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932EB6"/>
    <w:multiLevelType w:val="hybridMultilevel"/>
    <w:tmpl w:val="66B23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E2B23"/>
    <w:multiLevelType w:val="hybridMultilevel"/>
    <w:tmpl w:val="26DE8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82404"/>
    <w:multiLevelType w:val="hybridMultilevel"/>
    <w:tmpl w:val="B2C48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A5D63"/>
    <w:multiLevelType w:val="hybridMultilevel"/>
    <w:tmpl w:val="BACA7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60620"/>
    <w:multiLevelType w:val="hybridMultilevel"/>
    <w:tmpl w:val="6D0C0710"/>
    <w:lvl w:ilvl="0" w:tplc="6518B5F2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76004"/>
    <w:multiLevelType w:val="multilevel"/>
    <w:tmpl w:val="C5E8F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11"/>
    <w:rsid w:val="00202A39"/>
    <w:rsid w:val="00220181"/>
    <w:rsid w:val="002A69AD"/>
    <w:rsid w:val="002E2358"/>
    <w:rsid w:val="002E32AE"/>
    <w:rsid w:val="003036E2"/>
    <w:rsid w:val="00314C98"/>
    <w:rsid w:val="003E595B"/>
    <w:rsid w:val="00433122"/>
    <w:rsid w:val="0048388D"/>
    <w:rsid w:val="005263E3"/>
    <w:rsid w:val="0059751D"/>
    <w:rsid w:val="005C1EB2"/>
    <w:rsid w:val="005F0D11"/>
    <w:rsid w:val="006527C2"/>
    <w:rsid w:val="00697E86"/>
    <w:rsid w:val="00732FEC"/>
    <w:rsid w:val="0078286A"/>
    <w:rsid w:val="00866E3A"/>
    <w:rsid w:val="00871584"/>
    <w:rsid w:val="008D0165"/>
    <w:rsid w:val="008D5338"/>
    <w:rsid w:val="0098055F"/>
    <w:rsid w:val="009D6D58"/>
    <w:rsid w:val="009F5039"/>
    <w:rsid w:val="00A0755A"/>
    <w:rsid w:val="00A27243"/>
    <w:rsid w:val="00AA110F"/>
    <w:rsid w:val="00B96BD5"/>
    <w:rsid w:val="00BE2066"/>
    <w:rsid w:val="00BF0B80"/>
    <w:rsid w:val="00C607AD"/>
    <w:rsid w:val="00C76754"/>
    <w:rsid w:val="00C86437"/>
    <w:rsid w:val="00CF7CFF"/>
    <w:rsid w:val="00DB3E88"/>
    <w:rsid w:val="00E4359C"/>
    <w:rsid w:val="00E60BA6"/>
    <w:rsid w:val="00E67B1F"/>
    <w:rsid w:val="00E91E3D"/>
    <w:rsid w:val="00EA0E3E"/>
    <w:rsid w:val="00F00506"/>
    <w:rsid w:val="00F7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33C5E-4CFD-4B39-8D86-BF1C8181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755A"/>
  </w:style>
  <w:style w:type="paragraph" w:styleId="Nagwek1">
    <w:name w:val="heading 1"/>
    <w:basedOn w:val="Normalny"/>
    <w:next w:val="Normalny"/>
    <w:link w:val="Nagwek1Znak"/>
    <w:uiPriority w:val="9"/>
    <w:qFormat/>
    <w:rsid w:val="00A0755A"/>
    <w:pPr>
      <w:pageBreakBefore/>
      <w:spacing w:before="300" w:after="40" w:line="360" w:lineRule="auto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755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0755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755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755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755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755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755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755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755A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0755A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A0755A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0755A"/>
    <w:rPr>
      <w:smallCaps/>
      <w:spacing w:val="10"/>
      <w:sz w:val="22"/>
      <w:szCs w:val="22"/>
    </w:rPr>
  </w:style>
  <w:style w:type="paragraph" w:styleId="Akapitzlist">
    <w:name w:val="List Paragraph"/>
    <w:basedOn w:val="Normalny"/>
    <w:uiPriority w:val="34"/>
    <w:qFormat/>
    <w:rsid w:val="00A075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D11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D11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D11"/>
    <w:rPr>
      <w:rFonts w:eastAsia="Times New Roman" w:cstheme="minorHAns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D11"/>
    <w:rPr>
      <w:vertAlign w:val="superscript"/>
    </w:rPr>
  </w:style>
  <w:style w:type="table" w:styleId="Tabela-Siatka">
    <w:name w:val="Table Grid"/>
    <w:basedOn w:val="Standardowy"/>
    <w:uiPriority w:val="59"/>
    <w:rsid w:val="005F0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0755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A0755A"/>
    <w:rPr>
      <w:smallCaps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755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0755A"/>
    <w:rPr>
      <w:rFonts w:asciiTheme="majorHAnsi" w:eastAsiaTheme="majorEastAsia" w:hAnsiTheme="majorHAnsi" w:cstheme="majorBid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0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D1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D11"/>
    <w:rPr>
      <w:rFonts w:eastAsia="Times New Roman" w:cstheme="minorHAns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D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0D11"/>
    <w:rPr>
      <w:rFonts w:eastAsia="Times New Roman" w:cstheme="minorHAnsi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A0755A"/>
    <w:rPr>
      <w:b/>
      <w:bCs/>
      <w:caps/>
      <w:sz w:val="16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5F0D11"/>
    <w:pPr>
      <w:spacing w:after="0"/>
    </w:pPr>
  </w:style>
  <w:style w:type="character" w:styleId="Hipercze">
    <w:name w:val="Hyperlink"/>
    <w:basedOn w:val="Domylnaczcionkaakapitu"/>
    <w:uiPriority w:val="99"/>
    <w:unhideWhenUsed/>
    <w:rsid w:val="005F0D11"/>
    <w:rPr>
      <w:color w:val="0000FF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0755A"/>
    <w:pPr>
      <w:outlineLvl w:val="9"/>
    </w:pPr>
    <w:rPr>
      <w:lang w:bidi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5F0D1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F0D1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5F0D11"/>
    <w:pPr>
      <w:spacing w:after="100"/>
      <w:ind w:left="48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D11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0D11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D1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0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D11"/>
    <w:rPr>
      <w:rFonts w:eastAsia="Times New Roman" w:cstheme="minorHAnsi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0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D11"/>
    <w:rPr>
      <w:rFonts w:eastAsia="Times New Roman" w:cstheme="minorHAnsi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755A"/>
    <w:rPr>
      <w:smallCaps/>
      <w:color w:val="943634" w:themeColor="accent2" w:themeShade="BF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755A"/>
    <w:rPr>
      <w:smallCaps/>
      <w:color w:val="C0504D" w:themeColor="accent2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755A"/>
    <w:rPr>
      <w:b/>
      <w:smallCaps/>
      <w:color w:val="C0504D" w:themeColor="accent2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755A"/>
    <w:rPr>
      <w:b/>
      <w:i/>
      <w:smallCaps/>
      <w:color w:val="943634" w:themeColor="accent2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755A"/>
    <w:rPr>
      <w:b/>
      <w:i/>
      <w:smallCaps/>
      <w:color w:val="622423" w:themeColor="accent2" w:themeShade="7F"/>
    </w:rPr>
  </w:style>
  <w:style w:type="character" w:styleId="Pogrubienie">
    <w:name w:val="Strong"/>
    <w:uiPriority w:val="22"/>
    <w:qFormat/>
    <w:rsid w:val="00A0755A"/>
    <w:rPr>
      <w:b/>
      <w:color w:val="C0504D" w:themeColor="accent2"/>
    </w:rPr>
  </w:style>
  <w:style w:type="character" w:styleId="Uwydatnienie">
    <w:name w:val="Emphasis"/>
    <w:uiPriority w:val="20"/>
    <w:qFormat/>
    <w:rsid w:val="00A0755A"/>
    <w:rPr>
      <w:b/>
      <w:i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A0755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A0755A"/>
  </w:style>
  <w:style w:type="paragraph" w:styleId="Cytat">
    <w:name w:val="Quote"/>
    <w:basedOn w:val="Normalny"/>
    <w:next w:val="Normalny"/>
    <w:link w:val="CytatZnak"/>
    <w:uiPriority w:val="29"/>
    <w:qFormat/>
    <w:rsid w:val="00A0755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A0755A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755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755A"/>
    <w:rPr>
      <w:b/>
      <w:i/>
      <w:color w:val="FFFFFF" w:themeColor="background1"/>
      <w:shd w:val="clear" w:color="auto" w:fill="C0504D" w:themeFill="accent2"/>
    </w:rPr>
  </w:style>
  <w:style w:type="character" w:styleId="Wyrnieniedelikatne">
    <w:name w:val="Subtle Emphasis"/>
    <w:uiPriority w:val="19"/>
    <w:qFormat/>
    <w:rsid w:val="00A0755A"/>
    <w:rPr>
      <w:i/>
    </w:rPr>
  </w:style>
  <w:style w:type="character" w:styleId="Wyrnienieintensywne">
    <w:name w:val="Intense Emphasis"/>
    <w:uiPriority w:val="21"/>
    <w:qFormat/>
    <w:rsid w:val="00A0755A"/>
    <w:rPr>
      <w:b/>
      <w:i/>
      <w:color w:val="C0504D" w:themeColor="accent2"/>
      <w:spacing w:val="10"/>
    </w:rPr>
  </w:style>
  <w:style w:type="character" w:styleId="Odwoaniedelikatne">
    <w:name w:val="Subtle Reference"/>
    <w:uiPriority w:val="31"/>
    <w:qFormat/>
    <w:rsid w:val="00A0755A"/>
    <w:rPr>
      <w:b/>
    </w:rPr>
  </w:style>
  <w:style w:type="character" w:styleId="Odwoanieintensywne">
    <w:name w:val="Intense Reference"/>
    <w:uiPriority w:val="32"/>
    <w:qFormat/>
    <w:rsid w:val="00A0755A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A0755A"/>
    <w:rPr>
      <w:rFonts w:asciiTheme="majorHAnsi" w:eastAsiaTheme="majorEastAsia" w:hAnsiTheme="majorHAnsi" w:cstheme="majorBid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Arkusz3!$B$53:$E$54</c:f>
              <c:multiLvlStrCache>
                <c:ptCount val="4"/>
                <c:lvl>
                  <c:pt idx="0">
                    <c:v>Spożycie nierezydentów</c:v>
                  </c:pt>
                  <c:pt idx="1">
                    <c:v>Krajowe spożycie rezydentów</c:v>
                  </c:pt>
                  <c:pt idx="2">
                    <c:v>Spożycie nierezydentów</c:v>
                  </c:pt>
                  <c:pt idx="3">
                    <c:v>Krajowe spożycie rezydentów</c:v>
                  </c:pt>
                </c:lvl>
                <c:lvl>
                  <c:pt idx="0">
                    <c:v>2009</c:v>
                  </c:pt>
                  <c:pt idx="2">
                    <c:v> 2 010    </c:v>
                  </c:pt>
                </c:lvl>
              </c:multiLvlStrCache>
            </c:multiLvlStrRef>
          </c:cat>
          <c:val>
            <c:numRef>
              <c:f>Arkusz3!$B$55:$E$55</c:f>
              <c:numCache>
                <c:formatCode>General</c:formatCode>
                <c:ptCount val="4"/>
                <c:pt idx="0">
                  <c:v>13569015269.041656</c:v>
                </c:pt>
                <c:pt idx="1">
                  <c:v>9692604095.7133369</c:v>
                </c:pt>
                <c:pt idx="2">
                  <c:v>13344665892.742725</c:v>
                </c:pt>
                <c:pt idx="3">
                  <c:v>8701800005.0000019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2291056"/>
        <c:axId val="412291840"/>
      </c:barChart>
      <c:catAx>
        <c:axId val="412291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2291840"/>
        <c:crosses val="autoZero"/>
        <c:auto val="1"/>
        <c:lblAlgn val="ctr"/>
        <c:lblOffset val="100"/>
        <c:noMultiLvlLbl val="0"/>
      </c:catAx>
      <c:valAx>
        <c:axId val="412291840"/>
        <c:scaling>
          <c:orientation val="minMax"/>
          <c:max val="14000000000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crossAx val="412291056"/>
        <c:crosses val="autoZero"/>
        <c:crossBetween val="between"/>
        <c:dispUnits>
          <c:builtInUnit val="million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pl-PL"/>
                    <a:t>Milliony złotych</a:t>
                  </a:r>
                </a:p>
              </c:rich>
            </c:tx>
          </c:dispUnitsLbl>
        </c:dispUnits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Arkusz5!$C$9</c:f>
              <c:strCache>
                <c:ptCount val="1"/>
                <c:pt idx="0">
                  <c:v>rok 2009</c:v>
                </c:pt>
              </c:strCache>
            </c:strRef>
          </c:tx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Arkusz5!$B$10:$B$15</c:f>
              <c:strCache>
                <c:ptCount val="6"/>
                <c:pt idx="0">
                  <c:v>Sekcja I</c:v>
                </c:pt>
                <c:pt idx="1">
                  <c:v>Sekcja H</c:v>
                </c:pt>
                <c:pt idx="2">
                  <c:v>Sekcja N</c:v>
                </c:pt>
                <c:pt idx="3">
                  <c:v>Sekcja R</c:v>
                </c:pt>
                <c:pt idx="4">
                  <c:v>CRDT Ogółem</c:v>
                </c:pt>
                <c:pt idx="5">
                  <c:v>Sekcja G</c:v>
                </c:pt>
              </c:strCache>
            </c:strRef>
          </c:cat>
          <c:val>
            <c:numRef>
              <c:f>Arkusz5!$C$10:$C$15</c:f>
              <c:numCache>
                <c:formatCode>General</c:formatCode>
                <c:ptCount val="6"/>
                <c:pt idx="0">
                  <c:v>28558000</c:v>
                </c:pt>
                <c:pt idx="1">
                  <c:v>164206000</c:v>
                </c:pt>
                <c:pt idx="2">
                  <c:v>42938000</c:v>
                </c:pt>
                <c:pt idx="3">
                  <c:v>27251000</c:v>
                </c:pt>
                <c:pt idx="4">
                  <c:v>262953000</c:v>
                </c:pt>
                <c:pt idx="5">
                  <c:v>387390000</c:v>
                </c:pt>
              </c:numCache>
            </c:numRef>
          </c:val>
        </c:ser>
        <c:ser>
          <c:idx val="1"/>
          <c:order val="1"/>
          <c:tx>
            <c:strRef>
              <c:f>Arkusz5!$D$9</c:f>
              <c:strCache>
                <c:ptCount val="1"/>
                <c:pt idx="0">
                  <c:v>rok 2010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8.3333333333333367E-3"/>
                  <c:y val="-1.388888888888893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Arkusz5!$B$10:$B$15</c:f>
              <c:strCache>
                <c:ptCount val="6"/>
                <c:pt idx="0">
                  <c:v>Sekcja I</c:v>
                </c:pt>
                <c:pt idx="1">
                  <c:v>Sekcja H</c:v>
                </c:pt>
                <c:pt idx="2">
                  <c:v>Sekcja N</c:v>
                </c:pt>
                <c:pt idx="3">
                  <c:v>Sekcja R</c:v>
                </c:pt>
                <c:pt idx="4">
                  <c:v>CRDT Ogółem</c:v>
                </c:pt>
                <c:pt idx="5">
                  <c:v>Sekcja G</c:v>
                </c:pt>
              </c:strCache>
            </c:strRef>
          </c:cat>
          <c:val>
            <c:numRef>
              <c:f>Arkusz5!$D$10:$D$15</c:f>
              <c:numCache>
                <c:formatCode>General</c:formatCode>
                <c:ptCount val="6"/>
                <c:pt idx="0">
                  <c:v>29896000</c:v>
                </c:pt>
                <c:pt idx="1">
                  <c:v>172012000</c:v>
                </c:pt>
                <c:pt idx="2">
                  <c:v>45441000</c:v>
                </c:pt>
                <c:pt idx="3">
                  <c:v>26716000</c:v>
                </c:pt>
                <c:pt idx="4">
                  <c:v>274065000</c:v>
                </c:pt>
                <c:pt idx="5">
                  <c:v>403502000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12287528"/>
        <c:axId val="412293800"/>
      </c:barChart>
      <c:catAx>
        <c:axId val="4122875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2293800"/>
        <c:crosses val="autoZero"/>
        <c:auto val="1"/>
        <c:lblAlgn val="ctr"/>
        <c:lblOffset val="100"/>
        <c:noMultiLvlLbl val="0"/>
      </c:catAx>
      <c:valAx>
        <c:axId val="412293800"/>
        <c:scaling>
          <c:orientation val="minMax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crossAx val="412287528"/>
        <c:crosses val="autoZero"/>
        <c:crossBetween val="between"/>
        <c:dispUnits>
          <c:builtInUnit val="million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en-US"/>
                    <a:t>Mili</a:t>
                  </a:r>
                  <a:r>
                    <a:rPr lang="pl-PL"/>
                    <a:t>ardy złotych</a:t>
                  </a:r>
                  <a:endParaRPr lang="en-US"/>
                </a:p>
              </c:rich>
            </c:tx>
          </c:dispUnitsLbl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2D2D6-2C4A-4DEB-83A6-C1C2ADE3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2946</Words>
  <Characters>17681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kref</dc:creator>
  <cp:lastModifiedBy>Wodzynska Ewelina</cp:lastModifiedBy>
  <cp:revision>3</cp:revision>
  <cp:lastPrinted>2012-12-15T15:32:00Z</cp:lastPrinted>
  <dcterms:created xsi:type="dcterms:W3CDTF">2017-11-28T12:02:00Z</dcterms:created>
  <dcterms:modified xsi:type="dcterms:W3CDTF">2017-11-28T12:02:00Z</dcterms:modified>
</cp:coreProperties>
</file>