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17DA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0A67E7">
        <w:rPr>
          <w:rFonts w:asciiTheme="minorHAnsi" w:hAnsiTheme="minorHAnsi" w:cstheme="minorHAnsi"/>
          <w:sz w:val="24"/>
          <w:szCs w:val="24"/>
        </w:rPr>
        <w:t>27 lutego 2026</w:t>
      </w:r>
      <w:bookmarkEnd w:id="0"/>
      <w:r w:rsidRPr="000A67E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146E475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0A67E7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0A67E7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0A67E7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0A67E7">
        <w:rPr>
          <w:rFonts w:asciiTheme="minorHAnsi" w:hAnsiTheme="minorHAnsi" w:cstheme="minorHAnsi"/>
          <w:sz w:val="24"/>
          <w:szCs w:val="24"/>
        </w:rPr>
        <w:t>.23</w:t>
      </w:r>
    </w:p>
    <w:p w14:paraId="67B7234F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77D2807C" w14:textId="77777777" w:rsidR="00000000" w:rsidRPr="000A67E7" w:rsidRDefault="00000000" w:rsidP="000A67E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A67E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1981FBD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0A67E7">
        <w:rPr>
          <w:rFonts w:asciiTheme="minorHAnsi" w:hAnsiTheme="minorHAnsi" w:cstheme="minorHAnsi"/>
          <w:sz w:val="24"/>
          <w:szCs w:val="24"/>
        </w:rPr>
        <w:t>od decyzji Regionalnego Dyrektora Ochrony Środowiska w Białymstoku z 16 września 2024 r., znak: WOOŚ.420.5.2024.KW, o środowiskowych uwarunkowaniach dla przedsięwzięcia pod nazwą: „Prace na linii E75 na odcinku Białystok – Suwałki – Trakiszki (granica państwa), etap I, odcinek Białystok – Ełk”,</w:t>
      </w:r>
      <w:r w:rsidRPr="000A67E7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15 maja 2026 r. Przyczyną zwłoki jest konieczność przeprowadzenia dodatkowego postępowania wyjaśniającego. W związku z powyższym Generalny Dyrektor Ochrony Środowiska, pismem z 3 grudnia 2025 r., znak: DOOŚ-WDŚII.420.24.2024.AWT.18, wezwał PKP Polskie Linie Kolejowe S.A. do złożenia wyjaśnień oraz uzupełnienia raportu o oddziaływaniu przedsięwzięcia na środowisko. Pismem z 30 stycznia 2026 r. wnioskodawca zwrócił się do GDOŚ z prośbą o przedłużenie terminu złożenia wyjaśnień do 16 marca 2026 r.</w:t>
      </w:r>
    </w:p>
    <w:p w14:paraId="240677E5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73244B0" w14:textId="77777777" w:rsidR="00000000" w:rsidRPr="000A67E7" w:rsidRDefault="00000000" w:rsidP="000A67E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4E81EC21" w14:textId="77777777" w:rsidR="00000000" w:rsidRPr="000A67E7" w:rsidRDefault="00000000" w:rsidP="000A67E7">
      <w:pPr>
        <w:spacing w:after="0"/>
        <w:ind w:right="-17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94C7FCF" w14:textId="77777777" w:rsidR="00000000" w:rsidRPr="000A67E7" w:rsidRDefault="00000000" w:rsidP="000A67E7">
      <w:pPr>
        <w:ind w:right="-17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6D00F87" w14:textId="77777777" w:rsidR="00000000" w:rsidRPr="000A67E7" w:rsidRDefault="00000000" w:rsidP="000A67E7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>KATARZYNA BIŃKOWSKA</w:t>
      </w:r>
    </w:p>
    <w:p w14:paraId="66F07406" w14:textId="77777777" w:rsidR="00000000" w:rsidRPr="000A67E7" w:rsidRDefault="00000000" w:rsidP="000A67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>Naczelnik Wydziału</w:t>
      </w:r>
    </w:p>
    <w:p w14:paraId="319FFD0C" w14:textId="77777777" w:rsidR="00000000" w:rsidRPr="000A67E7" w:rsidRDefault="00000000" w:rsidP="000A67E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61BB7A4B" w14:textId="77777777" w:rsidR="00000000" w:rsidRPr="000A67E7" w:rsidRDefault="00000000" w:rsidP="000A67E7">
      <w:pPr>
        <w:pStyle w:val="menfont"/>
        <w:spacing w:line="276" w:lineRule="auto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  <w:color w:val="7F7F7F" w:themeColor="text1" w:themeTint="80"/>
        </w:rPr>
        <w:t>/ – podpisano cyfrowo – /</w:t>
      </w:r>
    </w:p>
    <w:p w14:paraId="704F6D47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</w:p>
    <w:p w14:paraId="32203B6C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1994772D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  <w:r w:rsidRPr="000A67E7">
        <w:rPr>
          <w:rFonts w:asciiTheme="minorHAnsi" w:hAnsiTheme="minorHAnsi" w:cstheme="minorHAnsi"/>
          <w:sz w:val="24"/>
          <w:szCs w:val="24"/>
        </w:rPr>
        <w:lastRenderedPageBreak/>
        <w:t>Pieczęć urzędu i podpis:</w:t>
      </w:r>
    </w:p>
    <w:p w14:paraId="6FACC420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</w:p>
    <w:p w14:paraId="51ECE41A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</w:p>
    <w:p w14:paraId="07F7A99E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</w:p>
    <w:p w14:paraId="4332C2A7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 xml:space="preserve">Art. 36 ustawy z dnia 14 czerwca 1960 r. – Kodeks postępowania administracyjnego (Dz. U. z 2025 r. poz. 1691), dalej </w:t>
      </w:r>
      <w:r w:rsidRPr="000A67E7">
        <w:rPr>
          <w:rFonts w:asciiTheme="minorHAnsi" w:hAnsiTheme="minorHAnsi" w:cstheme="minorHAnsi"/>
          <w:iCs/>
        </w:rPr>
        <w:t>k.p.a.:</w:t>
      </w:r>
      <w:r w:rsidRPr="000A67E7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D62599C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 xml:space="preserve">Art. 37 § 1 </w:t>
      </w:r>
      <w:r w:rsidRPr="000A67E7">
        <w:rPr>
          <w:rFonts w:asciiTheme="minorHAnsi" w:hAnsiTheme="minorHAnsi" w:cstheme="minorHAnsi"/>
          <w:iCs/>
        </w:rPr>
        <w:t>k.p.a.:</w:t>
      </w:r>
      <w:r w:rsidRPr="000A67E7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11148074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5A90A041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 xml:space="preserve">Art. 49 § 1 </w:t>
      </w:r>
      <w:r w:rsidRPr="000A67E7">
        <w:rPr>
          <w:rFonts w:asciiTheme="minorHAnsi" w:hAnsiTheme="minorHAnsi" w:cstheme="minorHAnsi"/>
          <w:iCs/>
        </w:rPr>
        <w:t>k.p.a.</w:t>
      </w:r>
      <w:r w:rsidRPr="000A67E7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60CDB4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 xml:space="preserve">Art. 74 ust. 3 </w:t>
      </w:r>
      <w:r w:rsidRPr="000A67E7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0A67E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1C06868" w14:textId="77777777" w:rsidR="00000000" w:rsidRPr="000A67E7" w:rsidRDefault="00000000" w:rsidP="000A67E7">
      <w:pPr>
        <w:pStyle w:val="Bezodstpw1"/>
        <w:spacing w:after="60"/>
        <w:rPr>
          <w:rFonts w:asciiTheme="minorHAnsi" w:hAnsiTheme="minorHAnsi" w:cstheme="minorHAnsi"/>
        </w:rPr>
      </w:pPr>
      <w:r w:rsidRPr="000A67E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D72148E" w14:textId="77777777" w:rsidR="00000000" w:rsidRPr="000A67E7" w:rsidRDefault="00000000" w:rsidP="000A67E7">
      <w:pPr>
        <w:rPr>
          <w:rFonts w:asciiTheme="minorHAnsi" w:hAnsiTheme="minorHAnsi" w:cstheme="minorHAnsi"/>
          <w:sz w:val="24"/>
          <w:szCs w:val="24"/>
        </w:rPr>
      </w:pPr>
    </w:p>
    <w:sectPr w:rsidR="00C26B2E" w:rsidRPr="000A67E7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4F70" w14:textId="77777777" w:rsidR="00E0266C" w:rsidRDefault="00E0266C">
      <w:pPr>
        <w:spacing w:after="0" w:line="240" w:lineRule="auto"/>
      </w:pPr>
      <w:r>
        <w:separator/>
      </w:r>
    </w:p>
  </w:endnote>
  <w:endnote w:type="continuationSeparator" w:id="0">
    <w:p w14:paraId="76EE1B67" w14:textId="77777777" w:rsidR="00E0266C" w:rsidRDefault="00E0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9E41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A933" w14:textId="77777777" w:rsidR="00E0266C" w:rsidRDefault="00E0266C">
      <w:pPr>
        <w:spacing w:after="0" w:line="240" w:lineRule="auto"/>
      </w:pPr>
      <w:r>
        <w:separator/>
      </w:r>
    </w:p>
  </w:footnote>
  <w:footnote w:type="continuationSeparator" w:id="0">
    <w:p w14:paraId="68E65150" w14:textId="77777777" w:rsidR="00E0266C" w:rsidRDefault="00E0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512D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D7E69" w14:paraId="5731640A" w14:textId="77777777" w:rsidTr="000F1838">
      <w:trPr>
        <w:trHeight w:val="470"/>
      </w:trPr>
      <w:tc>
        <w:tcPr>
          <w:tcW w:w="4641" w:type="dxa"/>
          <w:vAlign w:val="center"/>
        </w:tcPr>
        <w:p w14:paraId="6BDFC7CE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73FEBCF" wp14:editId="4A46583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3010840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59A62DA1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1CD7A95A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69"/>
    <w:rsid w:val="00063FB2"/>
    <w:rsid w:val="000A67E7"/>
    <w:rsid w:val="00AD7E69"/>
    <w:rsid w:val="00E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0091"/>
  <w15:docId w15:val="{3C6EC060-949A-4251-BD86-72C43BF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26B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2026-03-03T06:17:00Z</dcterms:created>
  <dcterms:modified xsi:type="dcterms:W3CDTF">2026-03-03T06:17:00Z</dcterms:modified>
</cp:coreProperties>
</file>