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4CE2" w14:textId="27AA02E6" w:rsidR="00326F24" w:rsidRDefault="00326F24" w:rsidP="00326F24">
      <w:pPr>
        <w:rPr>
          <w:b/>
        </w:rPr>
      </w:pPr>
      <w:r w:rsidRPr="00326F24">
        <w:rPr>
          <w:b/>
          <w:bCs/>
        </w:rPr>
        <w:t>BDG-</w:t>
      </w:r>
      <w:r w:rsidR="007F64CC">
        <w:rPr>
          <w:b/>
          <w:bCs/>
        </w:rPr>
        <w:t>………………</w:t>
      </w:r>
    </w:p>
    <w:p w14:paraId="72B74D92" w14:textId="77777777" w:rsidR="00B87180" w:rsidRPr="00284F67" w:rsidRDefault="00284F67" w:rsidP="00284F67">
      <w:pPr>
        <w:jc w:val="right"/>
        <w:rPr>
          <w:b/>
        </w:rPr>
      </w:pPr>
      <w:r>
        <w:rPr>
          <w:b/>
        </w:rPr>
        <w:t>Załącznik nr 1 do SIWZ</w:t>
      </w:r>
    </w:p>
    <w:p w14:paraId="43851817" w14:textId="77777777" w:rsidR="00FE5FC0" w:rsidRDefault="00FE5FC0" w:rsidP="00212743">
      <w:pPr>
        <w:tabs>
          <w:tab w:val="center" w:pos="4536"/>
        </w:tabs>
        <w:jc w:val="center"/>
        <w:rPr>
          <w:b/>
          <w:sz w:val="28"/>
          <w:szCs w:val="28"/>
          <w:u w:val="single"/>
        </w:rPr>
      </w:pPr>
    </w:p>
    <w:p w14:paraId="08FB89CA" w14:textId="77777777" w:rsidR="00FE5FC0" w:rsidRDefault="00FE5FC0" w:rsidP="00212743">
      <w:pPr>
        <w:tabs>
          <w:tab w:val="center" w:pos="4536"/>
        </w:tabs>
        <w:jc w:val="center"/>
        <w:rPr>
          <w:b/>
          <w:sz w:val="28"/>
          <w:szCs w:val="28"/>
          <w:u w:val="single"/>
        </w:rPr>
      </w:pPr>
    </w:p>
    <w:p w14:paraId="7D27C136" w14:textId="63FA00BF" w:rsidR="006B7623" w:rsidRPr="000C3CD1" w:rsidRDefault="00212D20" w:rsidP="00212743">
      <w:pPr>
        <w:tabs>
          <w:tab w:val="center" w:pos="4536"/>
        </w:tabs>
        <w:jc w:val="center"/>
        <w:rPr>
          <w:b/>
          <w:sz w:val="28"/>
          <w:szCs w:val="28"/>
          <w:u w:val="single"/>
        </w:rPr>
      </w:pPr>
      <w:r w:rsidRPr="000C3CD1">
        <w:rPr>
          <w:b/>
          <w:sz w:val="28"/>
          <w:szCs w:val="28"/>
          <w:u w:val="single"/>
        </w:rPr>
        <w:t>OPIS PRZEDMIOTU ZAMÓWIENIA</w:t>
      </w:r>
    </w:p>
    <w:p w14:paraId="544794EC" w14:textId="258D6504" w:rsidR="00FA2449" w:rsidRPr="000C3CD1" w:rsidRDefault="00FA2449" w:rsidP="00041DC9">
      <w:pPr>
        <w:spacing w:after="120" w:line="240" w:lineRule="auto"/>
        <w:jc w:val="center"/>
      </w:pPr>
      <w:r w:rsidRPr="000C3CD1">
        <w:t xml:space="preserve">na </w:t>
      </w:r>
      <w:bookmarkStart w:id="0" w:name="_Hlk156571689"/>
      <w:r w:rsidR="00092E0A">
        <w:t>wdrożenie i utrzymanie</w:t>
      </w:r>
      <w:r w:rsidR="00B3527F" w:rsidRPr="000C3CD1">
        <w:t xml:space="preserve"> </w:t>
      </w:r>
      <w:r w:rsidR="00041DC9">
        <w:t>nowego komponentu systemu EXPORT INTELLIGENCE – Generator Danych Handlowych</w:t>
      </w:r>
      <w:bookmarkEnd w:id="0"/>
    </w:p>
    <w:p w14:paraId="59290A09" w14:textId="77777777" w:rsidR="00F914F6" w:rsidRPr="000C3CD1" w:rsidRDefault="00F914F6" w:rsidP="00A25492">
      <w:pPr>
        <w:jc w:val="center"/>
        <w:rPr>
          <w:b/>
        </w:rPr>
      </w:pPr>
    </w:p>
    <w:p w14:paraId="1672CF1E" w14:textId="77777777" w:rsidR="000C3CD1" w:rsidRPr="000C3CD1" w:rsidRDefault="000C3CD1" w:rsidP="00A25492">
      <w:pPr>
        <w:jc w:val="center"/>
        <w:rPr>
          <w:b/>
        </w:rPr>
      </w:pPr>
    </w:p>
    <w:p w14:paraId="4D806F30" w14:textId="77777777" w:rsidR="00ED043B" w:rsidRPr="000C3CD1" w:rsidRDefault="00B3167B" w:rsidP="000B1AC6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r w:rsidRPr="000C3CD1">
        <w:rPr>
          <w:rFonts w:cs="Calibri"/>
          <w:b/>
        </w:rPr>
        <w:t>C</w:t>
      </w:r>
      <w:r w:rsidR="00A25492" w:rsidRPr="000C3CD1">
        <w:rPr>
          <w:rFonts w:cs="Calibri"/>
          <w:b/>
        </w:rPr>
        <w:t>ZĘŚĆ I</w:t>
      </w:r>
    </w:p>
    <w:p w14:paraId="5336749B" w14:textId="77777777" w:rsidR="00A25492" w:rsidRPr="000C3CD1" w:rsidRDefault="00A25492" w:rsidP="00A25492">
      <w:pPr>
        <w:jc w:val="center"/>
        <w:rPr>
          <w:b/>
        </w:rPr>
      </w:pPr>
      <w:r w:rsidRPr="000C3CD1">
        <w:rPr>
          <w:b/>
        </w:rPr>
        <w:t>Informacje ogólne</w:t>
      </w:r>
    </w:p>
    <w:p w14:paraId="6B2434EC" w14:textId="77777777" w:rsidR="002C0B61" w:rsidRPr="000C3CD1" w:rsidRDefault="002C0B61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0C3CD1">
        <w:rPr>
          <w:rFonts w:cs="Calibri"/>
          <w:b/>
          <w:u w:val="single"/>
        </w:rPr>
        <w:t>INFORMACJE O ZAMAWIAJĄCYM</w:t>
      </w:r>
    </w:p>
    <w:p w14:paraId="670F4109" w14:textId="2352EDF3" w:rsidR="005354F6" w:rsidRPr="000C3CD1" w:rsidRDefault="002C0B61" w:rsidP="00ED043B">
      <w:pPr>
        <w:spacing w:before="120" w:after="120" w:line="320" w:lineRule="atLeast"/>
        <w:jc w:val="both"/>
        <w:rPr>
          <w:rFonts w:cs="Calibri"/>
        </w:rPr>
      </w:pPr>
      <w:r w:rsidRPr="000C3CD1">
        <w:rPr>
          <w:rFonts w:cs="Calibri"/>
        </w:rPr>
        <w:t xml:space="preserve">Ministerstwo </w:t>
      </w:r>
      <w:r w:rsidR="007765D1" w:rsidRPr="000C3CD1">
        <w:rPr>
          <w:rFonts w:cs="Calibri"/>
        </w:rPr>
        <w:t>Rozwoju</w:t>
      </w:r>
      <w:r w:rsidR="00041DC9">
        <w:rPr>
          <w:rFonts w:cs="Calibri"/>
        </w:rPr>
        <w:t xml:space="preserve"> i Technologii</w:t>
      </w:r>
      <w:r w:rsidRPr="000C3CD1">
        <w:rPr>
          <w:rFonts w:cs="Calibri"/>
        </w:rPr>
        <w:t xml:space="preserve">, </w:t>
      </w:r>
      <w:r w:rsidR="00C50A3B" w:rsidRPr="000C3CD1">
        <w:rPr>
          <w:rFonts w:cs="Calibri"/>
        </w:rPr>
        <w:t xml:space="preserve">Departament </w:t>
      </w:r>
      <w:r w:rsidR="009C2448" w:rsidRPr="000C3CD1">
        <w:rPr>
          <w:rFonts w:cs="Calibri"/>
        </w:rPr>
        <w:t>Handlu i Współpracy Międzynarodowej</w:t>
      </w:r>
      <w:r w:rsidR="00C50A3B" w:rsidRPr="000C3CD1">
        <w:rPr>
          <w:rFonts w:cs="Calibri"/>
        </w:rPr>
        <w:t xml:space="preserve">, </w:t>
      </w:r>
      <w:r w:rsidRPr="000C3CD1">
        <w:rPr>
          <w:rFonts w:cs="Calibri"/>
        </w:rPr>
        <w:t>Plac Trzech Krzyży 3/5, 00-507 Warszawa</w:t>
      </w:r>
      <w:r w:rsidR="006B7623" w:rsidRPr="000C3CD1">
        <w:rPr>
          <w:rFonts w:cs="Calibri"/>
        </w:rPr>
        <w:t>.</w:t>
      </w:r>
    </w:p>
    <w:p w14:paraId="4F3EE77C" w14:textId="77777777" w:rsidR="00B02658" w:rsidRPr="000C3CD1" w:rsidRDefault="00B02658" w:rsidP="00ED043B">
      <w:pPr>
        <w:spacing w:before="120" w:after="120" w:line="320" w:lineRule="atLeast"/>
        <w:jc w:val="both"/>
        <w:rPr>
          <w:rFonts w:cs="Calibri"/>
        </w:rPr>
      </w:pPr>
    </w:p>
    <w:p w14:paraId="7F3B70EE" w14:textId="77777777" w:rsidR="00C3796D" w:rsidRPr="000C3CD1" w:rsidRDefault="00D14B70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0C3CD1">
        <w:rPr>
          <w:rFonts w:cs="Calibri"/>
          <w:b/>
          <w:u w:val="single"/>
        </w:rPr>
        <w:t>PRZEDMIOT ZAMÓWIENIA</w:t>
      </w:r>
    </w:p>
    <w:p w14:paraId="15BD1928" w14:textId="77777777" w:rsidR="00E311E5" w:rsidRDefault="00E05BC6" w:rsidP="00E05BC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>Przedmiotem zamówienia jest</w:t>
      </w:r>
      <w:r w:rsidR="00E311E5">
        <w:rPr>
          <w:rFonts w:cstheme="minorHAnsi"/>
        </w:rPr>
        <w:t>:</w:t>
      </w:r>
    </w:p>
    <w:p w14:paraId="005E48A1" w14:textId="3C150688" w:rsidR="00E311E5" w:rsidRPr="00E311E5" w:rsidRDefault="00E05BC6">
      <w:pPr>
        <w:pStyle w:val="Akapitzlist"/>
        <w:numPr>
          <w:ilvl w:val="0"/>
          <w:numId w:val="11"/>
        </w:numPr>
        <w:spacing w:after="120"/>
        <w:jc w:val="both"/>
        <w:rPr>
          <w:rFonts w:cstheme="minorHAnsi"/>
        </w:rPr>
      </w:pPr>
      <w:r w:rsidRPr="00E311E5">
        <w:rPr>
          <w:rFonts w:cstheme="minorHAnsi"/>
        </w:rPr>
        <w:t xml:space="preserve">opracowanie dokumentu </w:t>
      </w:r>
      <w:r w:rsidR="00041DC9" w:rsidRPr="00E311E5">
        <w:rPr>
          <w:rFonts w:cstheme="minorHAnsi"/>
        </w:rPr>
        <w:t xml:space="preserve">szczegółowej koncepcji </w:t>
      </w:r>
      <w:r w:rsidR="008E1E9D" w:rsidRPr="00E311E5">
        <w:rPr>
          <w:rFonts w:cstheme="minorHAnsi"/>
        </w:rPr>
        <w:t>funkcjonalnej</w:t>
      </w:r>
      <w:r w:rsidR="00041DC9" w:rsidRPr="00E311E5">
        <w:rPr>
          <w:rFonts w:cstheme="minorHAnsi"/>
        </w:rPr>
        <w:t xml:space="preserve"> </w:t>
      </w:r>
      <w:r w:rsidR="000D4B3C" w:rsidRPr="00E311E5">
        <w:rPr>
          <w:rFonts w:cstheme="minorHAnsi"/>
        </w:rPr>
        <w:t>i</w:t>
      </w:r>
      <w:r w:rsidR="00041DC9" w:rsidRPr="00E311E5">
        <w:rPr>
          <w:rFonts w:cstheme="minorHAnsi"/>
        </w:rPr>
        <w:t xml:space="preserve"> technicznej</w:t>
      </w:r>
      <w:r w:rsidR="000D4B3C" w:rsidRPr="00E311E5">
        <w:rPr>
          <w:rFonts w:cstheme="minorHAnsi"/>
        </w:rPr>
        <w:t xml:space="preserve"> na bazie wymagań przedstawionych w SOPZ,</w:t>
      </w:r>
    </w:p>
    <w:p w14:paraId="26684409" w14:textId="1BD72A07" w:rsidR="00E05BC6" w:rsidRDefault="00E05BC6">
      <w:pPr>
        <w:pStyle w:val="Akapitzlist"/>
        <w:numPr>
          <w:ilvl w:val="0"/>
          <w:numId w:val="11"/>
        </w:numPr>
        <w:spacing w:after="120"/>
        <w:jc w:val="both"/>
        <w:rPr>
          <w:rFonts w:cstheme="minorHAnsi"/>
        </w:rPr>
      </w:pPr>
      <w:r w:rsidRPr="00E311E5">
        <w:rPr>
          <w:rFonts w:cstheme="minorHAnsi"/>
        </w:rPr>
        <w:t xml:space="preserve">zrealizowanie oraz wdrożenie </w:t>
      </w:r>
      <w:r w:rsidR="00041DC9" w:rsidRPr="00E311E5">
        <w:rPr>
          <w:rFonts w:cstheme="minorHAnsi"/>
        </w:rPr>
        <w:t>Generatora Danych Handlowych (GDH)</w:t>
      </w:r>
      <w:r w:rsidR="00E311E5">
        <w:rPr>
          <w:rFonts w:cstheme="minorHAnsi"/>
        </w:rPr>
        <w:t>,</w:t>
      </w:r>
    </w:p>
    <w:p w14:paraId="6F31EB1C" w14:textId="2BC9CC91" w:rsidR="00E311E5" w:rsidRDefault="00E311E5">
      <w:pPr>
        <w:pStyle w:val="Akapitzlist"/>
        <w:numPr>
          <w:ilvl w:val="0"/>
          <w:numId w:val="11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usługa utrzymania GDH do dnia 31 marca 2028 r.</w:t>
      </w:r>
      <w:r w:rsidR="005329BB">
        <w:rPr>
          <w:rFonts w:cstheme="minorHAnsi"/>
        </w:rPr>
        <w:t>,</w:t>
      </w:r>
    </w:p>
    <w:p w14:paraId="26B04C6A" w14:textId="5CE4B849" w:rsidR="005329BB" w:rsidRPr="00E311E5" w:rsidRDefault="005329BB">
      <w:pPr>
        <w:pStyle w:val="Akapitzlist"/>
        <w:numPr>
          <w:ilvl w:val="0"/>
          <w:numId w:val="11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usługa rozwoju systemu do dnia </w:t>
      </w:r>
      <w:bookmarkStart w:id="1" w:name="_Hlk156571920"/>
      <w:r>
        <w:rPr>
          <w:rFonts w:cstheme="minorHAnsi"/>
        </w:rPr>
        <w:t>31 marca 2028 r.</w:t>
      </w:r>
      <w:bookmarkEnd w:id="1"/>
    </w:p>
    <w:p w14:paraId="0906E491" w14:textId="5DE4F180" w:rsidR="00006050" w:rsidRPr="000C3CD1" w:rsidRDefault="00006050" w:rsidP="00E05BC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>Z</w:t>
      </w:r>
      <w:r w:rsidR="0052193B" w:rsidRPr="000C3CD1">
        <w:rPr>
          <w:rFonts w:cstheme="minorHAnsi"/>
        </w:rPr>
        <w:t>amawia</w:t>
      </w:r>
      <w:r w:rsidRPr="000C3CD1">
        <w:rPr>
          <w:rFonts w:cstheme="minorHAnsi"/>
        </w:rPr>
        <w:t>jący wymaga, aby w trakcie prac po stronie Wykonawcy został powołany kierownik projektu odpowiedzialny za komunikację z kierownikiem projektu po stronie Zamawiającego. Określa się minimalną częstotliwość kontaktów pomiędzy kierownikami projektu po stronie Zamawiającego i Wykonawcy na raz w tygodniu (wyjątek mogą stanowić okresy wakacji, świąt lub majówki).</w:t>
      </w:r>
    </w:p>
    <w:p w14:paraId="687B333D" w14:textId="77777777" w:rsidR="00E02909" w:rsidRPr="000C3CD1" w:rsidRDefault="00E05BC6" w:rsidP="00B33333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>Przedmiot</w:t>
      </w:r>
      <w:r w:rsidR="00E02909" w:rsidRPr="000C3CD1">
        <w:rPr>
          <w:rFonts w:cstheme="minorHAnsi"/>
        </w:rPr>
        <w:t xml:space="preserve"> zamówienia </w:t>
      </w:r>
      <w:r w:rsidRPr="000C3CD1">
        <w:rPr>
          <w:rFonts w:cstheme="minorHAnsi"/>
        </w:rPr>
        <w:t>obejmuje</w:t>
      </w:r>
      <w:r w:rsidR="00E02909" w:rsidRPr="000C3CD1">
        <w:rPr>
          <w:rFonts w:cstheme="minorHAnsi"/>
        </w:rPr>
        <w:t xml:space="preserve"> wykonanie następujących prac:</w:t>
      </w:r>
    </w:p>
    <w:p w14:paraId="20807DB5" w14:textId="77777777" w:rsidR="0039433A" w:rsidRDefault="0039433A" w:rsidP="00041DC9">
      <w:pPr>
        <w:spacing w:after="120"/>
        <w:jc w:val="both"/>
        <w:rPr>
          <w:rFonts w:cstheme="minorHAnsi"/>
          <w:b/>
        </w:rPr>
      </w:pPr>
    </w:p>
    <w:p w14:paraId="7616A602" w14:textId="26CF090E" w:rsidR="00E02909" w:rsidRPr="0039433A" w:rsidRDefault="005329BB" w:rsidP="00041DC9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Zadanie</w:t>
      </w:r>
      <w:r w:rsidR="00AA2BB9" w:rsidRPr="0039433A">
        <w:rPr>
          <w:rFonts w:cstheme="minorHAnsi"/>
          <w:b/>
        </w:rPr>
        <w:t xml:space="preserve"> 1:</w:t>
      </w:r>
      <w:r w:rsidR="00041DC9" w:rsidRPr="0039433A">
        <w:rPr>
          <w:rFonts w:cstheme="minorHAnsi"/>
          <w:b/>
        </w:rPr>
        <w:t xml:space="preserve"> Przygotowanie szczegółowej koncepcji </w:t>
      </w:r>
      <w:r w:rsidR="00580293">
        <w:rPr>
          <w:rFonts w:cstheme="minorHAnsi"/>
          <w:b/>
        </w:rPr>
        <w:t>funkcjonalnej</w:t>
      </w:r>
      <w:r w:rsidR="00041DC9" w:rsidRPr="0039433A">
        <w:rPr>
          <w:rFonts w:cstheme="minorHAnsi"/>
          <w:b/>
        </w:rPr>
        <w:t xml:space="preserve"> </w:t>
      </w:r>
      <w:r w:rsidR="00677679">
        <w:rPr>
          <w:rFonts w:cstheme="minorHAnsi"/>
          <w:b/>
        </w:rPr>
        <w:t xml:space="preserve">i technicznej </w:t>
      </w:r>
      <w:r w:rsidR="00D37815">
        <w:rPr>
          <w:rFonts w:cstheme="minorHAnsi"/>
          <w:b/>
        </w:rPr>
        <w:t>Generatora Danych Handlowych (</w:t>
      </w:r>
      <w:r w:rsidR="00041DC9" w:rsidRPr="0039433A">
        <w:rPr>
          <w:rFonts w:cstheme="minorHAnsi"/>
          <w:b/>
        </w:rPr>
        <w:t>GDH</w:t>
      </w:r>
      <w:r w:rsidR="00D37815">
        <w:rPr>
          <w:rFonts w:cstheme="minorHAnsi"/>
          <w:b/>
        </w:rPr>
        <w:t>)</w:t>
      </w:r>
      <w:r w:rsidR="00E311E5">
        <w:rPr>
          <w:rFonts w:cstheme="minorHAnsi"/>
          <w:b/>
        </w:rPr>
        <w:t xml:space="preserve"> </w:t>
      </w:r>
      <w:r w:rsidR="00E311E5" w:rsidRPr="00E311E5">
        <w:rPr>
          <w:rFonts w:cstheme="minorHAnsi"/>
          <w:b/>
        </w:rPr>
        <w:t>na bazie wymagań przedstawionych w SOPZ</w:t>
      </w:r>
    </w:p>
    <w:p w14:paraId="28BCFB55" w14:textId="485FB8C7" w:rsidR="00041DC9" w:rsidRDefault="00041DC9" w:rsidP="00037C2C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Zamawiający wymaga, aby Wykonawca przygotował szczegółową koncepcję </w:t>
      </w:r>
      <w:r w:rsidR="00580293">
        <w:rPr>
          <w:rFonts w:cs="Calibri"/>
        </w:rPr>
        <w:t>funkcjonalną</w:t>
      </w:r>
      <w:r>
        <w:rPr>
          <w:rFonts w:cs="Calibri"/>
        </w:rPr>
        <w:t xml:space="preserve"> GDH. W trakcie przygotowywania Zamawiający wymaga przeprowadzenia dwukrotnie warsztatów z przedstawicielami zamawiającego – przyszłymi użytkownikami GDH. Przedmiotem pierwszego z warsztatów jest zebranie potrzeb użytkowników, a drugiego – akceptacja rozwiązania </w:t>
      </w:r>
      <w:r w:rsidR="00580293">
        <w:rPr>
          <w:rFonts w:cs="Calibri"/>
        </w:rPr>
        <w:t>funkcjonalnego</w:t>
      </w:r>
      <w:r>
        <w:rPr>
          <w:rFonts w:cs="Calibri"/>
        </w:rPr>
        <w:t>.</w:t>
      </w:r>
    </w:p>
    <w:p w14:paraId="626C9ED6" w14:textId="61384FF1" w:rsidR="00041DC9" w:rsidRDefault="00041DC9" w:rsidP="00037C2C">
      <w:pPr>
        <w:spacing w:after="120"/>
        <w:jc w:val="both"/>
        <w:rPr>
          <w:rFonts w:cs="Calibri"/>
        </w:rPr>
      </w:pPr>
      <w:r>
        <w:rPr>
          <w:rFonts w:cs="Calibri"/>
        </w:rPr>
        <w:lastRenderedPageBreak/>
        <w:t xml:space="preserve">Wykonawca może przeprowadzić większą ilość warsztatów i spotkań, jeśli to konieczne dla osiągnięcia celu, czyli zebrania i uzgodnienia wymagań </w:t>
      </w:r>
      <w:r w:rsidR="00E311E5">
        <w:rPr>
          <w:rFonts w:cs="Calibri"/>
        </w:rPr>
        <w:t>funkcjonalnych</w:t>
      </w:r>
      <w:r>
        <w:rPr>
          <w:rFonts w:cs="Calibri"/>
        </w:rPr>
        <w:t xml:space="preserve"> dla GDH.</w:t>
      </w:r>
    </w:p>
    <w:p w14:paraId="23104237" w14:textId="2D474991" w:rsidR="00041DC9" w:rsidRDefault="00041DC9" w:rsidP="00037C2C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Wynikiem Etapu 1 będzie dokument opisujący szczegółową koncepcję biznesową GDH, zawierający </w:t>
      </w:r>
      <w:r w:rsidR="0039433A">
        <w:rPr>
          <w:rFonts w:cs="Calibri"/>
        </w:rPr>
        <w:t xml:space="preserve">opis wszystkich funkcji, wizualizacje kluczowych ekranów, przykłady plików </w:t>
      </w:r>
      <w:proofErr w:type="spellStart"/>
      <w:r w:rsidR="0039433A">
        <w:rPr>
          <w:rFonts w:cs="Calibri"/>
        </w:rPr>
        <w:t>excel</w:t>
      </w:r>
      <w:proofErr w:type="spellEnd"/>
      <w:r w:rsidR="0039433A">
        <w:rPr>
          <w:rFonts w:cs="Calibri"/>
        </w:rPr>
        <w:t xml:space="preserve"> z generowanymi przez GDH dla głównych przypadków użycia.</w:t>
      </w:r>
    </w:p>
    <w:p w14:paraId="39C2B9F3" w14:textId="21371DCA" w:rsidR="0039433A" w:rsidRDefault="0039433A" w:rsidP="00037C2C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Wymagania biznesowe będą określone w postaci </w:t>
      </w:r>
      <w:proofErr w:type="spellStart"/>
      <w:r>
        <w:rPr>
          <w:rFonts w:cs="Calibri"/>
        </w:rPr>
        <w:t>user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stories</w:t>
      </w:r>
      <w:proofErr w:type="spellEnd"/>
      <w:r>
        <w:rPr>
          <w:rFonts w:cs="Calibri"/>
        </w:rPr>
        <w:t xml:space="preserve">, zgodnych z metodologią </w:t>
      </w:r>
      <w:proofErr w:type="spellStart"/>
      <w:r>
        <w:rPr>
          <w:rFonts w:cs="Calibri"/>
        </w:rPr>
        <w:t>scrum</w:t>
      </w:r>
      <w:proofErr w:type="spellEnd"/>
      <w:r>
        <w:rPr>
          <w:rFonts w:cs="Calibri"/>
        </w:rPr>
        <w:t>.</w:t>
      </w:r>
    </w:p>
    <w:p w14:paraId="43487B15" w14:textId="4E4977F4" w:rsidR="0039433A" w:rsidRDefault="0039433A" w:rsidP="00037C2C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Rozwiązania UI powinny być zgodne ze stylistyką </w:t>
      </w:r>
      <w:r w:rsidR="000F62AE">
        <w:rPr>
          <w:rFonts w:cs="Calibri"/>
        </w:rPr>
        <w:t xml:space="preserve">i ideą ergonomii </w:t>
      </w:r>
      <w:r>
        <w:rPr>
          <w:rFonts w:cs="Calibri"/>
        </w:rPr>
        <w:t>systemu EXPORT INTELLIGENCE oraz zgodne z wymogami WCAG.</w:t>
      </w:r>
    </w:p>
    <w:p w14:paraId="595BC111" w14:textId="772221AB" w:rsidR="00182C86" w:rsidRPr="000C3CD1" w:rsidRDefault="00182C86" w:rsidP="00182C8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Wykonawca na podstawie wykonanej koncepcji funkcjonalnej zaproponuje rozwiązanie technologiczne dla </w:t>
      </w:r>
      <w:r w:rsidR="003621D2">
        <w:rPr>
          <w:rFonts w:cstheme="minorHAnsi"/>
        </w:rPr>
        <w:t>GDH</w:t>
      </w:r>
      <w:r w:rsidRPr="000C3CD1">
        <w:rPr>
          <w:rFonts w:cstheme="minorHAnsi"/>
        </w:rPr>
        <w:t>.</w:t>
      </w:r>
    </w:p>
    <w:p w14:paraId="300A8E2E" w14:textId="579EC918" w:rsidR="00182C86" w:rsidRPr="000C3CD1" w:rsidRDefault="003621D2" w:rsidP="00182C86">
      <w:pPr>
        <w:spacing w:after="120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182C86" w:rsidRPr="000C3CD1">
        <w:rPr>
          <w:rFonts w:cstheme="minorHAnsi"/>
        </w:rPr>
        <w:t xml:space="preserve"> nie narzuca technologii w jakiej ma być wykonywany </w:t>
      </w:r>
      <w:r>
        <w:rPr>
          <w:rFonts w:cstheme="minorHAnsi"/>
        </w:rPr>
        <w:t>GDH</w:t>
      </w:r>
      <w:r w:rsidR="00182C86" w:rsidRPr="000C3CD1">
        <w:rPr>
          <w:rFonts w:cstheme="minorHAnsi"/>
        </w:rPr>
        <w:t>. Dopuszczamy również rozwiązania open-</w:t>
      </w:r>
      <w:proofErr w:type="spellStart"/>
      <w:r w:rsidR="00182C86" w:rsidRPr="000C3CD1">
        <w:rPr>
          <w:rFonts w:cstheme="minorHAnsi"/>
        </w:rPr>
        <w:t>source</w:t>
      </w:r>
      <w:proofErr w:type="spellEnd"/>
      <w:r w:rsidR="00182C86" w:rsidRPr="000C3CD1">
        <w:rPr>
          <w:rFonts w:cstheme="minorHAnsi"/>
        </w:rPr>
        <w:t xml:space="preserve">. Technologia wykorzystana do tworzenia </w:t>
      </w:r>
      <w:r>
        <w:rPr>
          <w:rFonts w:cstheme="minorHAnsi"/>
        </w:rPr>
        <w:t>GDH</w:t>
      </w:r>
      <w:r w:rsidR="00182C86" w:rsidRPr="000C3CD1">
        <w:rPr>
          <w:rFonts w:cstheme="minorHAnsi"/>
        </w:rPr>
        <w:t xml:space="preserve"> nie powinna wymagać od Zamawiającego zakupu dodatkowych narzędzi. Wykonawca przeprowadzi szczegółow</w:t>
      </w:r>
      <w:r w:rsidR="00D61A08" w:rsidRPr="000C3CD1">
        <w:rPr>
          <w:rFonts w:cstheme="minorHAnsi"/>
        </w:rPr>
        <w:t>ą</w:t>
      </w:r>
      <w:r w:rsidR="00182C86" w:rsidRPr="000C3CD1">
        <w:rPr>
          <w:rFonts w:cstheme="minorHAnsi"/>
        </w:rPr>
        <w:t xml:space="preserve"> analiz</w:t>
      </w:r>
      <w:r w:rsidR="00D61A08" w:rsidRPr="000C3CD1">
        <w:rPr>
          <w:rFonts w:cstheme="minorHAnsi"/>
        </w:rPr>
        <w:t>ę</w:t>
      </w:r>
      <w:r w:rsidR="00182C86" w:rsidRPr="000C3CD1">
        <w:rPr>
          <w:rFonts w:cstheme="minorHAnsi"/>
        </w:rPr>
        <w:t xml:space="preserve"> ryzyka </w:t>
      </w:r>
      <w:proofErr w:type="spellStart"/>
      <w:r w:rsidR="00182C86" w:rsidRPr="000C3CD1">
        <w:rPr>
          <w:rFonts w:cstheme="minorHAnsi"/>
        </w:rPr>
        <w:t>vendor-lockingu</w:t>
      </w:r>
      <w:proofErr w:type="spellEnd"/>
      <w:r w:rsidR="00182C86" w:rsidRPr="000C3CD1">
        <w:rPr>
          <w:rFonts w:cstheme="minorHAnsi"/>
        </w:rPr>
        <w:t xml:space="preserve"> planowanego rozwiązania technologicznego. Zamawiający nie akceptuje ryzyka </w:t>
      </w:r>
      <w:proofErr w:type="spellStart"/>
      <w:r w:rsidR="00182C86" w:rsidRPr="000C3CD1">
        <w:rPr>
          <w:rFonts w:cstheme="minorHAnsi"/>
        </w:rPr>
        <w:t>vendor-lockingu</w:t>
      </w:r>
      <w:proofErr w:type="spellEnd"/>
      <w:r w:rsidR="00182C86" w:rsidRPr="000C3CD1">
        <w:rPr>
          <w:rFonts w:cstheme="minorHAnsi"/>
        </w:rPr>
        <w:t>.</w:t>
      </w:r>
    </w:p>
    <w:p w14:paraId="1FFD4EDC" w14:textId="5669D568" w:rsidR="00182C86" w:rsidRDefault="003621D2" w:rsidP="00182C86">
      <w:pPr>
        <w:spacing w:after="120"/>
        <w:jc w:val="both"/>
        <w:rPr>
          <w:rFonts w:cstheme="minorHAnsi"/>
        </w:rPr>
      </w:pPr>
      <w:r>
        <w:rPr>
          <w:rFonts w:cstheme="minorHAnsi"/>
        </w:rPr>
        <w:t>GDH</w:t>
      </w:r>
      <w:r w:rsidR="00182C86" w:rsidRPr="000C3CD1">
        <w:rPr>
          <w:rFonts w:cstheme="minorHAnsi"/>
        </w:rPr>
        <w:t xml:space="preserve"> powinien być zintegrowany funkcjonalnie z </w:t>
      </w:r>
      <w:r>
        <w:rPr>
          <w:rFonts w:cstheme="minorHAnsi"/>
        </w:rPr>
        <w:t>systemem EXPORT INTELLIGENCE</w:t>
      </w:r>
      <w:r w:rsidR="00182C86" w:rsidRPr="000C3CD1">
        <w:rPr>
          <w:rFonts w:cstheme="minorHAnsi"/>
        </w:rPr>
        <w:t xml:space="preserve">, w szczególności powinny zostać zdefiniowany i zaprogramowany sposób </w:t>
      </w:r>
      <w:r>
        <w:rPr>
          <w:rFonts w:cstheme="minorHAnsi"/>
        </w:rPr>
        <w:t xml:space="preserve">integracji GDH z EXPORT INTELLIGENCE. </w:t>
      </w:r>
      <w:r w:rsidR="00182C86" w:rsidRPr="000C3CD1">
        <w:rPr>
          <w:rFonts w:cstheme="minorHAnsi"/>
        </w:rPr>
        <w:t>Zakres integracji funkcjonalnej określi Wykonawca wspólnie z Zamawiającym.</w:t>
      </w:r>
      <w:r>
        <w:rPr>
          <w:rFonts w:cstheme="minorHAnsi"/>
        </w:rPr>
        <w:t xml:space="preserve"> Zamawiający wymaga, aby z punktu widzenia użytkownika przechodzenie do GDH w ramach EXPORT INTELLIGENCE było niezauważalne (pełna spójność graficzna i funkcjonalna). GDH powinien być dostępny tylko poprzez front-end tego systemu.</w:t>
      </w:r>
      <w:r w:rsidR="000F62AE">
        <w:rPr>
          <w:rFonts w:cstheme="minorHAnsi"/>
        </w:rPr>
        <w:t xml:space="preserve"> Przycisk lub zakładkę z dostępem do GDH wykona Zamawiający.</w:t>
      </w:r>
    </w:p>
    <w:p w14:paraId="60A7CE48" w14:textId="630C95E8" w:rsidR="003D1BC2" w:rsidRPr="000C3CD1" w:rsidRDefault="003D1BC2" w:rsidP="00182C86">
      <w:pPr>
        <w:spacing w:after="120"/>
        <w:jc w:val="both"/>
        <w:rPr>
          <w:rFonts w:cstheme="minorHAnsi"/>
        </w:rPr>
      </w:pPr>
      <w:r>
        <w:rPr>
          <w:rFonts w:cstheme="minorHAnsi"/>
        </w:rPr>
        <w:t>Wykonawca w ramach koncepcji technologicznej określi minimalne wymagania w zakresie infrastruktury niezbędnej do uruchomienia GDH, spełniającej wymagania bezpieczeństwa i wydajności.</w:t>
      </w:r>
    </w:p>
    <w:p w14:paraId="53C700B9" w14:textId="7DD64A14" w:rsidR="00182C86" w:rsidRPr="000C3CD1" w:rsidRDefault="00182C86" w:rsidP="00182C8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Technologia wykorzystana do tworzenia </w:t>
      </w:r>
      <w:r w:rsidR="006C5EE8">
        <w:rPr>
          <w:rFonts w:cstheme="minorHAnsi"/>
        </w:rPr>
        <w:t>GDH</w:t>
      </w:r>
      <w:r w:rsidRPr="000C3CD1">
        <w:rPr>
          <w:rFonts w:cstheme="minorHAnsi"/>
        </w:rPr>
        <w:t xml:space="preserve"> powinna umożliwiać korzystanie z niego w przeglądarkach internetowych </w:t>
      </w:r>
      <w:r w:rsidR="00A842D1" w:rsidRPr="000C3CD1">
        <w:rPr>
          <w:rFonts w:cstheme="minorHAnsi"/>
        </w:rPr>
        <w:t xml:space="preserve">takich jak </w:t>
      </w:r>
      <w:proofErr w:type="spellStart"/>
      <w:r w:rsidRPr="000C3CD1">
        <w:rPr>
          <w:rFonts w:cstheme="minorHAnsi"/>
        </w:rPr>
        <w:t>Firefox</w:t>
      </w:r>
      <w:proofErr w:type="spellEnd"/>
      <w:r w:rsidRPr="000C3CD1">
        <w:rPr>
          <w:rFonts w:cstheme="minorHAnsi"/>
        </w:rPr>
        <w:t>, Safari, Chrome</w:t>
      </w:r>
      <w:r w:rsidR="00386BF7" w:rsidRPr="000C3CD1">
        <w:rPr>
          <w:rFonts w:cstheme="minorHAnsi"/>
        </w:rPr>
        <w:t xml:space="preserve">, Samsung Web, MS Edge </w:t>
      </w:r>
      <w:r w:rsidRPr="000C3CD1">
        <w:rPr>
          <w:rFonts w:cstheme="minorHAnsi"/>
        </w:rPr>
        <w:t>w wersjach aktualnych oraz do 3 wersji wstecz.</w:t>
      </w:r>
    </w:p>
    <w:p w14:paraId="10DDBD7F" w14:textId="6F358CA5" w:rsidR="00182C86" w:rsidRPr="000C3CD1" w:rsidRDefault="00182C86" w:rsidP="00182C8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>Wykorzystane oprogramowanie firm trzecich powinno mieć zapewnione aktualne wsparcie</w:t>
      </w:r>
      <w:r w:rsidR="00775057">
        <w:rPr>
          <w:rFonts w:cstheme="minorHAnsi"/>
        </w:rPr>
        <w:t xml:space="preserve"> </w:t>
      </w:r>
      <w:r w:rsidR="006C5EE8">
        <w:rPr>
          <w:rFonts w:cstheme="minorHAnsi"/>
        </w:rPr>
        <w:t>na okres min. 4 lat po wdrożeniu</w:t>
      </w:r>
      <w:r w:rsidRPr="000C3CD1">
        <w:rPr>
          <w:rFonts w:cstheme="minorHAnsi"/>
        </w:rPr>
        <w:t>.</w:t>
      </w:r>
    </w:p>
    <w:p w14:paraId="25BB6870" w14:textId="67FACDA7" w:rsidR="00182C86" w:rsidRPr="000C3CD1" w:rsidRDefault="00A83F37" w:rsidP="00182C8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Po zakończeniu umowy </w:t>
      </w:r>
      <w:r w:rsidR="00182C86" w:rsidRPr="000C3CD1">
        <w:rPr>
          <w:rFonts w:cstheme="minorHAnsi"/>
        </w:rPr>
        <w:t xml:space="preserve">Wykonawca będzie zobowiązany do przekazania </w:t>
      </w:r>
      <w:r w:rsidRPr="000C3CD1">
        <w:rPr>
          <w:rFonts w:cstheme="minorHAnsi"/>
        </w:rPr>
        <w:t xml:space="preserve">Zamawiającemu </w:t>
      </w:r>
      <w:r w:rsidR="00182C86" w:rsidRPr="000C3CD1">
        <w:rPr>
          <w:rFonts w:cstheme="minorHAnsi"/>
        </w:rPr>
        <w:t xml:space="preserve">kodów źródłowych i dokumentacji </w:t>
      </w:r>
      <w:r w:rsidR="006C5EE8">
        <w:rPr>
          <w:rFonts w:cstheme="minorHAnsi"/>
        </w:rPr>
        <w:t>GDH</w:t>
      </w:r>
      <w:r w:rsidR="00182C86" w:rsidRPr="000C3CD1">
        <w:rPr>
          <w:rFonts w:cstheme="minorHAnsi"/>
        </w:rPr>
        <w:t>.</w:t>
      </w:r>
    </w:p>
    <w:p w14:paraId="21A2461D" w14:textId="3BE41B82" w:rsidR="00182C86" w:rsidRDefault="00182C86" w:rsidP="00182C8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Wymagane jest przedstawienie koncepcji technologicznej </w:t>
      </w:r>
      <w:r w:rsidR="002471A1">
        <w:rPr>
          <w:rFonts w:cstheme="minorHAnsi"/>
        </w:rPr>
        <w:t>GDH</w:t>
      </w:r>
      <w:r w:rsidRPr="000C3CD1">
        <w:rPr>
          <w:rFonts w:cstheme="minorHAnsi"/>
        </w:rPr>
        <w:t xml:space="preserve"> spełniającej wymogi ustawy z dnia 4 kwietnia 2019 r. o dostępności cyfrowej stron internetowych i aplikacji mobilnych podmiotów publicznych.</w:t>
      </w:r>
    </w:p>
    <w:p w14:paraId="69688D91" w14:textId="1981EC82" w:rsidR="006F381B" w:rsidRPr="000C3CD1" w:rsidRDefault="00E311E5" w:rsidP="00182C86">
      <w:pPr>
        <w:spacing w:after="120"/>
        <w:jc w:val="both"/>
        <w:rPr>
          <w:rFonts w:cstheme="minorHAnsi"/>
        </w:rPr>
      </w:pPr>
      <w:r>
        <w:rPr>
          <w:rFonts w:cstheme="minorHAnsi"/>
        </w:rPr>
        <w:t>GDH</w:t>
      </w:r>
      <w:r w:rsidR="006F381B" w:rsidRPr="0075785A">
        <w:rPr>
          <w:rFonts w:cstheme="minorHAnsi"/>
        </w:rPr>
        <w:t xml:space="preserve"> ma umożliwiać korzystanie użytkownikom z niepełnosprawnością sensoryczną, niepełnosprawnością fizyczną oraz częściowo wykluczonymi cyfrowo i będzie dla nich przyjazny. Dostęp do danych będzie zgodny z międzynarodowym standardem w dziedzinie budowania stron internetowych - Web Content Accessibility </w:t>
      </w:r>
      <w:proofErr w:type="spellStart"/>
      <w:r w:rsidR="006F381B" w:rsidRPr="0075785A">
        <w:rPr>
          <w:rFonts w:cstheme="minorHAnsi"/>
        </w:rPr>
        <w:t>Guidelines</w:t>
      </w:r>
      <w:proofErr w:type="spellEnd"/>
      <w:r w:rsidR="006F381B" w:rsidRPr="0075785A">
        <w:rPr>
          <w:rFonts w:cstheme="minorHAnsi"/>
        </w:rPr>
        <w:t xml:space="preserve"> 2.0 (WCAG 2.0) do poziomu AA.</w:t>
      </w:r>
    </w:p>
    <w:p w14:paraId="6B0BD501" w14:textId="3865010E" w:rsidR="00182C86" w:rsidRDefault="00182C86" w:rsidP="00182C86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Koncepcja technologiczna </w:t>
      </w:r>
      <w:r w:rsidR="006C5EE8">
        <w:rPr>
          <w:rFonts w:cstheme="minorHAnsi"/>
        </w:rPr>
        <w:t>GDH</w:t>
      </w:r>
      <w:r w:rsidRPr="000C3CD1">
        <w:rPr>
          <w:rFonts w:cstheme="minorHAnsi"/>
        </w:rPr>
        <w:t xml:space="preserve"> powinna być opracowana w formie pełnej dokumentacji przedstawionej do akceptacji dla Zamawiającego wraz opisem technologii i harmonogramem wdrożenia.</w:t>
      </w:r>
    </w:p>
    <w:p w14:paraId="3E531741" w14:textId="540E983C" w:rsidR="006C5EE8" w:rsidRPr="000C3CD1" w:rsidRDefault="006C5EE8" w:rsidP="00182C86">
      <w:pPr>
        <w:spacing w:after="120"/>
        <w:jc w:val="both"/>
        <w:rPr>
          <w:rFonts w:cstheme="minorHAnsi"/>
        </w:rPr>
      </w:pPr>
      <w:r>
        <w:rPr>
          <w:rFonts w:cstheme="minorHAnsi"/>
        </w:rPr>
        <w:lastRenderedPageBreak/>
        <w:t>W przypadku zastosowania oprogramowania opartego o licencje firm trzecich, Wykonawca przedstawi koszt tych licencji i dokona ich zakupu na okres kolejnych 5 lat po wdrożeniu.</w:t>
      </w:r>
    </w:p>
    <w:p w14:paraId="3FF785B1" w14:textId="77777777" w:rsidR="00725A54" w:rsidRPr="000C3CD1" w:rsidRDefault="00725A54" w:rsidP="00382845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>----------------------------------------------</w:t>
      </w:r>
    </w:p>
    <w:p w14:paraId="15D0BABC" w14:textId="4F1332C2" w:rsidR="00980ED9" w:rsidRPr="000C3CD1" w:rsidRDefault="005329BB" w:rsidP="00382845">
      <w:pPr>
        <w:spacing w:after="120"/>
        <w:jc w:val="both"/>
        <w:rPr>
          <w:rFonts w:cstheme="minorHAnsi"/>
        </w:rPr>
      </w:pPr>
      <w:r>
        <w:rPr>
          <w:rFonts w:cstheme="minorHAnsi"/>
        </w:rPr>
        <w:t>Zadanie</w:t>
      </w:r>
      <w:r w:rsidR="00980ED9" w:rsidRPr="000C3CD1">
        <w:rPr>
          <w:rFonts w:cstheme="minorHAnsi"/>
        </w:rPr>
        <w:t xml:space="preserve"> </w:t>
      </w:r>
      <w:r w:rsidR="00630A4D">
        <w:rPr>
          <w:rFonts w:cstheme="minorHAnsi"/>
        </w:rPr>
        <w:t>1</w:t>
      </w:r>
      <w:r w:rsidR="00980ED9" w:rsidRPr="000C3CD1">
        <w:rPr>
          <w:rFonts w:cstheme="minorHAnsi"/>
        </w:rPr>
        <w:t xml:space="preserve"> zostan</w:t>
      </w:r>
      <w:r w:rsidR="00677679">
        <w:rPr>
          <w:rFonts w:cstheme="minorHAnsi"/>
        </w:rPr>
        <w:t>ie</w:t>
      </w:r>
      <w:r w:rsidR="00980ED9" w:rsidRPr="000C3CD1">
        <w:rPr>
          <w:rFonts w:cstheme="minorHAnsi"/>
        </w:rPr>
        <w:t xml:space="preserve"> zakończon</w:t>
      </w:r>
      <w:r w:rsidR="006C5EE8">
        <w:rPr>
          <w:rFonts w:cstheme="minorHAnsi"/>
        </w:rPr>
        <w:t>e</w:t>
      </w:r>
      <w:r w:rsidR="00980ED9" w:rsidRPr="000C3CD1">
        <w:rPr>
          <w:rFonts w:cstheme="minorHAnsi"/>
        </w:rPr>
        <w:t xml:space="preserve"> po akceptacji przez Zamawiającego koncepcji </w:t>
      </w:r>
      <w:r w:rsidR="00580293">
        <w:rPr>
          <w:rFonts w:cstheme="minorHAnsi"/>
        </w:rPr>
        <w:t>funkcjonalnej</w:t>
      </w:r>
      <w:r w:rsidR="006C5EE8">
        <w:rPr>
          <w:rFonts w:cstheme="minorHAnsi"/>
        </w:rPr>
        <w:t xml:space="preserve"> i technicznej GDH</w:t>
      </w:r>
      <w:r w:rsidR="00980ED9" w:rsidRPr="000C3CD1">
        <w:rPr>
          <w:rFonts w:cstheme="minorHAnsi"/>
        </w:rPr>
        <w:t xml:space="preserve">. Podczas akceptacji </w:t>
      </w:r>
      <w:r w:rsidR="006C5EE8">
        <w:rPr>
          <w:rFonts w:cstheme="minorHAnsi"/>
        </w:rPr>
        <w:t xml:space="preserve">obu </w:t>
      </w:r>
      <w:r w:rsidR="00980ED9" w:rsidRPr="000C3CD1">
        <w:rPr>
          <w:rFonts w:cstheme="minorHAnsi"/>
        </w:rPr>
        <w:t xml:space="preserve">koncepcji </w:t>
      </w:r>
      <w:r w:rsidR="00A842D1" w:rsidRPr="000C3CD1">
        <w:rPr>
          <w:rFonts w:cstheme="minorHAnsi"/>
        </w:rPr>
        <w:t>Zamawi</w:t>
      </w:r>
      <w:r w:rsidR="00980ED9" w:rsidRPr="000C3CD1">
        <w:rPr>
          <w:rFonts w:cstheme="minorHAnsi"/>
        </w:rPr>
        <w:t>ający będzie kierował się następującymi priorytetami:</w:t>
      </w:r>
    </w:p>
    <w:p w14:paraId="03987333" w14:textId="53E0D5E9" w:rsidR="00980ED9" w:rsidRPr="000C3CD1" w:rsidRDefault="00017782">
      <w:pPr>
        <w:pStyle w:val="Akapitzlist"/>
        <w:numPr>
          <w:ilvl w:val="0"/>
          <w:numId w:val="2"/>
        </w:numPr>
        <w:spacing w:after="120"/>
        <w:ind w:left="426"/>
        <w:jc w:val="both"/>
        <w:rPr>
          <w:rFonts w:cstheme="minorHAnsi"/>
        </w:rPr>
      </w:pPr>
      <w:r w:rsidRPr="000C3CD1">
        <w:rPr>
          <w:rFonts w:cstheme="minorHAnsi"/>
        </w:rPr>
        <w:t>f</w:t>
      </w:r>
      <w:r w:rsidR="00980ED9" w:rsidRPr="000C3CD1">
        <w:rPr>
          <w:rFonts w:cstheme="minorHAnsi"/>
        </w:rPr>
        <w:t xml:space="preserve">unkcjonalność, </w:t>
      </w:r>
      <w:r w:rsidRPr="000C3CD1">
        <w:rPr>
          <w:rFonts w:cstheme="minorHAnsi"/>
        </w:rPr>
        <w:t xml:space="preserve">łatwość dotarcia do odpowiednich </w:t>
      </w:r>
      <w:r w:rsidR="006C5EE8">
        <w:rPr>
          <w:rFonts w:cstheme="minorHAnsi"/>
        </w:rPr>
        <w:t>danych,</w:t>
      </w:r>
      <w:r w:rsidR="00980ED9" w:rsidRPr="000C3CD1">
        <w:rPr>
          <w:rFonts w:cstheme="minorHAnsi"/>
        </w:rPr>
        <w:t xml:space="preserve"> estetyka</w:t>
      </w:r>
      <w:r w:rsidR="006C5EE8">
        <w:rPr>
          <w:rFonts w:cstheme="minorHAnsi"/>
        </w:rPr>
        <w:t xml:space="preserve"> i spójność z EXPORT INTELLIGENCE,</w:t>
      </w:r>
    </w:p>
    <w:p w14:paraId="0F3FD75C" w14:textId="04BD6A70" w:rsidR="00980ED9" w:rsidRPr="000C3CD1" w:rsidRDefault="00980ED9">
      <w:pPr>
        <w:pStyle w:val="Akapitzlist"/>
        <w:numPr>
          <w:ilvl w:val="0"/>
          <w:numId w:val="2"/>
        </w:numPr>
        <w:spacing w:after="120"/>
        <w:ind w:left="426"/>
        <w:jc w:val="both"/>
        <w:rPr>
          <w:rFonts w:cstheme="minorHAnsi"/>
        </w:rPr>
      </w:pPr>
      <w:r w:rsidRPr="000C3CD1">
        <w:rPr>
          <w:rFonts w:cstheme="minorHAnsi"/>
        </w:rPr>
        <w:t xml:space="preserve">spójność z oczekiwaniami </w:t>
      </w:r>
      <w:r w:rsidR="006C5EE8">
        <w:rPr>
          <w:rFonts w:cstheme="minorHAnsi"/>
        </w:rPr>
        <w:t xml:space="preserve">użytkowników – pracowników </w:t>
      </w:r>
      <w:proofErr w:type="spellStart"/>
      <w:r w:rsidR="006C5EE8">
        <w:rPr>
          <w:rFonts w:cstheme="minorHAnsi"/>
        </w:rPr>
        <w:t>MRiT</w:t>
      </w:r>
      <w:proofErr w:type="spellEnd"/>
      <w:r w:rsidRPr="000C3CD1">
        <w:rPr>
          <w:rFonts w:cstheme="minorHAnsi"/>
        </w:rPr>
        <w:t>,</w:t>
      </w:r>
    </w:p>
    <w:p w14:paraId="688F4784" w14:textId="2F33C46A" w:rsidR="00980ED9" w:rsidRPr="006F381B" w:rsidRDefault="00182C86">
      <w:pPr>
        <w:pStyle w:val="Akapitzlist"/>
        <w:numPr>
          <w:ilvl w:val="0"/>
          <w:numId w:val="2"/>
        </w:numPr>
        <w:spacing w:after="120"/>
        <w:ind w:left="426"/>
        <w:jc w:val="both"/>
        <w:rPr>
          <w:rFonts w:cs="Calibri"/>
        </w:rPr>
      </w:pPr>
      <w:r w:rsidRPr="000C3CD1">
        <w:rPr>
          <w:rFonts w:cstheme="minorHAnsi"/>
        </w:rPr>
        <w:t xml:space="preserve">użyteczność zaproponowanego rozwiązania technologicznego, koszty i możliwości rozwoju i rozbudowy </w:t>
      </w:r>
      <w:r w:rsidR="006C5EE8">
        <w:rPr>
          <w:rFonts w:cstheme="minorHAnsi"/>
        </w:rPr>
        <w:t>GDH</w:t>
      </w:r>
      <w:r w:rsidRPr="000C3CD1">
        <w:rPr>
          <w:rFonts w:cstheme="minorHAnsi"/>
        </w:rPr>
        <w:t xml:space="preserve">, koszty utrzymania, perspektywy rozwoju </w:t>
      </w:r>
      <w:r w:rsidR="006F381B">
        <w:rPr>
          <w:rFonts w:cstheme="minorHAnsi"/>
        </w:rPr>
        <w:t>danej technologii w przyszłości,</w:t>
      </w:r>
    </w:p>
    <w:p w14:paraId="5BB77230" w14:textId="77777777" w:rsidR="006F381B" w:rsidRPr="0075785A" w:rsidRDefault="006F381B">
      <w:pPr>
        <w:pStyle w:val="Akapitzlist"/>
        <w:numPr>
          <w:ilvl w:val="0"/>
          <w:numId w:val="2"/>
        </w:numPr>
        <w:spacing w:after="120"/>
        <w:ind w:left="426"/>
        <w:jc w:val="both"/>
        <w:rPr>
          <w:rFonts w:cs="Calibri"/>
        </w:rPr>
      </w:pPr>
      <w:r w:rsidRPr="0075785A">
        <w:rPr>
          <w:rFonts w:cstheme="minorHAnsi"/>
        </w:rPr>
        <w:t>zgodność ze standardem WCAG 2.0.</w:t>
      </w:r>
    </w:p>
    <w:p w14:paraId="27A4701C" w14:textId="77777777" w:rsidR="00142C7D" w:rsidRPr="000C3CD1" w:rsidRDefault="00142C7D" w:rsidP="00382845">
      <w:pPr>
        <w:spacing w:after="120"/>
        <w:jc w:val="both"/>
        <w:rPr>
          <w:rFonts w:cs="Calibri"/>
        </w:rPr>
      </w:pPr>
    </w:p>
    <w:p w14:paraId="1F549FAC" w14:textId="38D630B6" w:rsidR="00677679" w:rsidRPr="003621D2" w:rsidRDefault="005329BB" w:rsidP="00677679">
      <w:pPr>
        <w:spacing w:after="1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Zadanie</w:t>
      </w:r>
      <w:r w:rsidR="00677679" w:rsidRPr="003621D2">
        <w:rPr>
          <w:rFonts w:cs="Calibri"/>
          <w:b/>
          <w:bCs/>
        </w:rPr>
        <w:t xml:space="preserve"> </w:t>
      </w:r>
      <w:r w:rsidR="00677679">
        <w:rPr>
          <w:rFonts w:cs="Calibri"/>
          <w:b/>
          <w:bCs/>
        </w:rPr>
        <w:t>2</w:t>
      </w:r>
      <w:r w:rsidR="00677679" w:rsidRPr="003621D2">
        <w:rPr>
          <w:rFonts w:cs="Calibri"/>
          <w:b/>
          <w:bCs/>
        </w:rPr>
        <w:t xml:space="preserve">: </w:t>
      </w:r>
      <w:r w:rsidR="00677679">
        <w:rPr>
          <w:rFonts w:cs="Calibri"/>
          <w:b/>
          <w:bCs/>
        </w:rPr>
        <w:t>Stworzenie i wdrożenie produkcyjne</w:t>
      </w:r>
      <w:r w:rsidR="00677679" w:rsidRPr="003621D2">
        <w:rPr>
          <w:rFonts w:cs="Calibri"/>
          <w:b/>
          <w:bCs/>
        </w:rPr>
        <w:t xml:space="preserve"> GDH</w:t>
      </w:r>
    </w:p>
    <w:p w14:paraId="0A88822B" w14:textId="663D8F18" w:rsidR="00FC059C" w:rsidRPr="000C3CD1" w:rsidRDefault="00FC059C" w:rsidP="00FC059C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W </w:t>
      </w:r>
      <w:r w:rsidR="005329BB">
        <w:rPr>
          <w:rFonts w:cstheme="minorHAnsi"/>
        </w:rPr>
        <w:t>ramach Zadania</w:t>
      </w:r>
      <w:r w:rsidRPr="000C3CD1">
        <w:rPr>
          <w:rFonts w:cstheme="minorHAnsi"/>
        </w:rPr>
        <w:t xml:space="preserve"> </w:t>
      </w:r>
      <w:r w:rsidR="00677679">
        <w:rPr>
          <w:rFonts w:cstheme="minorHAnsi"/>
        </w:rPr>
        <w:t xml:space="preserve">2 </w:t>
      </w:r>
      <w:r w:rsidRPr="000C3CD1">
        <w:rPr>
          <w:rFonts w:cstheme="minorHAnsi"/>
        </w:rPr>
        <w:t>Wykonawc</w:t>
      </w:r>
      <w:r w:rsidR="005329BB">
        <w:rPr>
          <w:rFonts w:cstheme="minorHAnsi"/>
        </w:rPr>
        <w:t>a</w:t>
      </w:r>
      <w:r w:rsidRPr="000C3CD1">
        <w:rPr>
          <w:rFonts w:cstheme="minorHAnsi"/>
        </w:rPr>
        <w:t xml:space="preserve"> stworz</w:t>
      </w:r>
      <w:r w:rsidR="005329BB">
        <w:rPr>
          <w:rFonts w:cstheme="minorHAnsi"/>
        </w:rPr>
        <w:t>y</w:t>
      </w:r>
      <w:r w:rsidRPr="000C3CD1">
        <w:rPr>
          <w:rFonts w:cstheme="minorHAnsi"/>
        </w:rPr>
        <w:t>, wdroż</w:t>
      </w:r>
      <w:r w:rsidR="005329BB">
        <w:rPr>
          <w:rFonts w:cstheme="minorHAnsi"/>
        </w:rPr>
        <w:t>y</w:t>
      </w:r>
      <w:r w:rsidRPr="000C3CD1">
        <w:rPr>
          <w:rFonts w:cstheme="minorHAnsi"/>
        </w:rPr>
        <w:t xml:space="preserve"> i uruchomi </w:t>
      </w:r>
      <w:r w:rsidR="00677679">
        <w:rPr>
          <w:rFonts w:cstheme="minorHAnsi"/>
        </w:rPr>
        <w:t>GDH</w:t>
      </w:r>
      <w:r w:rsidRPr="000C3CD1">
        <w:rPr>
          <w:rFonts w:cstheme="minorHAnsi"/>
        </w:rPr>
        <w:t xml:space="preserve"> zgodnie z koncepcją </w:t>
      </w:r>
      <w:r w:rsidR="00580293">
        <w:rPr>
          <w:rFonts w:cstheme="minorHAnsi"/>
        </w:rPr>
        <w:t>funkcjonalną</w:t>
      </w:r>
      <w:r w:rsidR="00677679">
        <w:rPr>
          <w:rFonts w:cstheme="minorHAnsi"/>
        </w:rPr>
        <w:t xml:space="preserve"> i techniczną </w:t>
      </w:r>
      <w:r w:rsidRPr="000C3CD1">
        <w:rPr>
          <w:rFonts w:cstheme="minorHAnsi"/>
        </w:rPr>
        <w:t>zaakceptowaną przez Zamawiającego</w:t>
      </w:r>
      <w:r w:rsidR="005329BB">
        <w:rPr>
          <w:rFonts w:cstheme="minorHAnsi"/>
        </w:rPr>
        <w:t>, na infrastrukturze wskazanej przez Zamawiającego</w:t>
      </w:r>
      <w:r w:rsidRPr="000C3CD1">
        <w:rPr>
          <w:rFonts w:cstheme="minorHAnsi"/>
        </w:rPr>
        <w:t>.</w:t>
      </w:r>
      <w:r w:rsidR="00D36610">
        <w:rPr>
          <w:rFonts w:cstheme="minorHAnsi"/>
        </w:rPr>
        <w:t xml:space="preserve"> Dotyczy to zarówno środowiska produkcyjnego, jak i testowego.</w:t>
      </w:r>
    </w:p>
    <w:p w14:paraId="47775124" w14:textId="6E9EF3D4" w:rsidR="003D1BC2" w:rsidRDefault="003D1BC2" w:rsidP="00FC059C">
      <w:pPr>
        <w:spacing w:after="120"/>
        <w:jc w:val="both"/>
        <w:rPr>
          <w:rFonts w:cstheme="minorHAnsi"/>
        </w:rPr>
      </w:pPr>
      <w:r>
        <w:rPr>
          <w:rFonts w:cstheme="minorHAnsi"/>
        </w:rPr>
        <w:t>Proces tworzenia GDH będzie realizowany na środowisku Wykonawcy.</w:t>
      </w:r>
    </w:p>
    <w:p w14:paraId="31F65FFF" w14:textId="74DFC436" w:rsidR="00FC059C" w:rsidRPr="000C3CD1" w:rsidRDefault="00FC059C" w:rsidP="00FC059C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Poszczególne elementy </w:t>
      </w:r>
      <w:r w:rsidR="00677679">
        <w:rPr>
          <w:rFonts w:cstheme="minorHAnsi"/>
        </w:rPr>
        <w:t>i funkcje GDH</w:t>
      </w:r>
      <w:r w:rsidRPr="000C3CD1">
        <w:rPr>
          <w:rFonts w:cstheme="minorHAnsi"/>
        </w:rPr>
        <w:t xml:space="preserve"> powinny być weryfikowane z opinią i potrzebami użytkowników </w:t>
      </w:r>
      <w:r w:rsidR="0020657D" w:rsidRPr="000C3CD1">
        <w:rPr>
          <w:rFonts w:cstheme="minorHAnsi"/>
        </w:rPr>
        <w:t>– przed ich ostatecznym wdrożeniem</w:t>
      </w:r>
      <w:r w:rsidRPr="000C3CD1">
        <w:rPr>
          <w:rFonts w:cstheme="minorHAnsi"/>
        </w:rPr>
        <w:t>.</w:t>
      </w:r>
      <w:r w:rsidR="00677679">
        <w:rPr>
          <w:rFonts w:cstheme="minorHAnsi"/>
        </w:rPr>
        <w:t xml:space="preserve"> W przypadku rozbieżności Wykonawca dokona stosownych korekt.</w:t>
      </w:r>
    </w:p>
    <w:p w14:paraId="7F776185" w14:textId="5A67C034" w:rsidR="006F381B" w:rsidRDefault="006F381B" w:rsidP="006F381B">
      <w:pPr>
        <w:spacing w:after="120"/>
        <w:jc w:val="both"/>
        <w:rPr>
          <w:rFonts w:cstheme="minorHAnsi"/>
        </w:rPr>
      </w:pPr>
      <w:r w:rsidRPr="0075785A">
        <w:rPr>
          <w:rFonts w:cstheme="minorHAnsi"/>
        </w:rPr>
        <w:t xml:space="preserve">Na etapie projektowania i tworzenia </w:t>
      </w:r>
      <w:r w:rsidR="00677679">
        <w:rPr>
          <w:rFonts w:cstheme="minorHAnsi"/>
        </w:rPr>
        <w:t>GDH</w:t>
      </w:r>
      <w:r w:rsidRPr="0075785A">
        <w:rPr>
          <w:rFonts w:cstheme="minorHAnsi"/>
        </w:rPr>
        <w:t xml:space="preserve"> uwzględnione zostaną wymagania WCAG 2.0 dla systemów informatycznych. Potencjalne problemy zostaną określone za pomocą </w:t>
      </w:r>
      <w:proofErr w:type="spellStart"/>
      <w:r w:rsidRPr="0075785A">
        <w:rPr>
          <w:rFonts w:cstheme="minorHAnsi"/>
        </w:rPr>
        <w:t>walidatora</w:t>
      </w:r>
      <w:proofErr w:type="spellEnd"/>
      <w:r w:rsidRPr="0075785A">
        <w:rPr>
          <w:rFonts w:cstheme="minorHAnsi"/>
        </w:rPr>
        <w:t xml:space="preserve"> WCAG (takiego jak np.: http://achecker.ca/checker/index.php), o ile będzie to możliwe. W cyklu rozwojowym oprogramowania zastosowane zostaną narzędzia informatyczne sprawdzające poprawność przygotowanych stron WWW z wymaganiami WCAG 2.0 na poziomie AA i wymaganiami zależnymi np. W3C.</w:t>
      </w:r>
    </w:p>
    <w:p w14:paraId="35F28BBC" w14:textId="77777777" w:rsidR="00E311E5" w:rsidRDefault="00E311E5" w:rsidP="00E311E5">
      <w:pPr>
        <w:spacing w:after="120"/>
        <w:jc w:val="both"/>
        <w:rPr>
          <w:rFonts w:cs="Calibri"/>
          <w:b/>
          <w:bCs/>
        </w:rPr>
      </w:pPr>
    </w:p>
    <w:p w14:paraId="2DAEB99E" w14:textId="133420BD" w:rsidR="00E311E5" w:rsidRPr="003621D2" w:rsidRDefault="005329BB" w:rsidP="00E311E5">
      <w:pPr>
        <w:spacing w:after="1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Zadanie</w:t>
      </w:r>
      <w:r w:rsidR="00E311E5" w:rsidRPr="003621D2">
        <w:rPr>
          <w:rFonts w:cs="Calibri"/>
          <w:b/>
          <w:bCs/>
        </w:rPr>
        <w:t xml:space="preserve"> </w:t>
      </w:r>
      <w:r w:rsidR="00E311E5">
        <w:rPr>
          <w:rFonts w:cs="Calibri"/>
          <w:b/>
          <w:bCs/>
        </w:rPr>
        <w:t>3</w:t>
      </w:r>
      <w:r w:rsidR="00E311E5" w:rsidRPr="003621D2">
        <w:rPr>
          <w:rFonts w:cs="Calibri"/>
          <w:b/>
          <w:bCs/>
        </w:rPr>
        <w:t xml:space="preserve">: </w:t>
      </w:r>
      <w:r w:rsidR="00E311E5">
        <w:rPr>
          <w:rFonts w:cs="Calibri"/>
          <w:b/>
          <w:bCs/>
        </w:rPr>
        <w:t>U</w:t>
      </w:r>
      <w:r w:rsidR="00E311E5" w:rsidRPr="00E311E5">
        <w:rPr>
          <w:rFonts w:cs="Calibri"/>
          <w:b/>
          <w:bCs/>
        </w:rPr>
        <w:t>sługa utrzymania GDH do dnia 31 marca 2028 r.</w:t>
      </w:r>
    </w:p>
    <w:p w14:paraId="4EABDF32" w14:textId="25130BC4" w:rsidR="005329BB" w:rsidRDefault="005329BB" w:rsidP="005329BB">
      <w:pPr>
        <w:spacing w:after="120"/>
        <w:jc w:val="both"/>
        <w:rPr>
          <w:rFonts w:cstheme="minorHAnsi"/>
        </w:rPr>
      </w:pPr>
      <w:r w:rsidRPr="005329BB">
        <w:rPr>
          <w:rFonts w:cstheme="minorHAnsi"/>
        </w:rPr>
        <w:t xml:space="preserve">W ramach realizacji </w:t>
      </w:r>
      <w:r>
        <w:rPr>
          <w:rFonts w:cstheme="minorHAnsi"/>
        </w:rPr>
        <w:t>Zadania 3</w:t>
      </w:r>
      <w:r w:rsidRPr="005329BB">
        <w:rPr>
          <w:rFonts w:cstheme="minorHAnsi"/>
        </w:rPr>
        <w:t xml:space="preserve"> Wykonawca zobowiązany jest do usuwania błędów w działaniu </w:t>
      </w:r>
      <w:r>
        <w:rPr>
          <w:rFonts w:cstheme="minorHAnsi"/>
        </w:rPr>
        <w:t>GDH</w:t>
      </w:r>
      <w:r w:rsidRPr="005329BB">
        <w:rPr>
          <w:rFonts w:cstheme="minorHAnsi"/>
        </w:rPr>
        <w:t>. Wykonawca zobowiązany jest do trwałego usunięcia błędów zgodnie z warunkami opisanymi w SOPZ.</w:t>
      </w:r>
    </w:p>
    <w:p w14:paraId="7B9C13C0" w14:textId="5B677E7E" w:rsidR="00E311E5" w:rsidRDefault="005329BB" w:rsidP="005329BB">
      <w:pPr>
        <w:spacing w:after="120"/>
        <w:jc w:val="both"/>
        <w:rPr>
          <w:rFonts w:cstheme="minorHAnsi"/>
        </w:rPr>
      </w:pPr>
      <w:r w:rsidRPr="005329BB">
        <w:rPr>
          <w:rFonts w:cstheme="minorHAnsi"/>
        </w:rPr>
        <w:t xml:space="preserve">Zamawiający wymaga, że w ramach usługi utrzymania </w:t>
      </w:r>
      <w:r>
        <w:rPr>
          <w:rFonts w:cstheme="minorHAnsi"/>
        </w:rPr>
        <w:t>GDH</w:t>
      </w:r>
      <w:r w:rsidRPr="005329BB">
        <w:rPr>
          <w:rFonts w:cstheme="minorHAnsi"/>
        </w:rPr>
        <w:t xml:space="preserve"> Wykonawca zapewni jego dostępność na poziomie min. 95% (</w:t>
      </w:r>
      <w:proofErr w:type="gramStart"/>
      <w:r w:rsidRPr="005329BB">
        <w:rPr>
          <w:rFonts w:cstheme="minorHAnsi"/>
        </w:rPr>
        <w:t>tzn.</w:t>
      </w:r>
      <w:proofErr w:type="gramEnd"/>
      <w:r w:rsidRPr="005329BB">
        <w:rPr>
          <w:rFonts w:cstheme="minorHAnsi"/>
        </w:rPr>
        <w:t xml:space="preserve"> że błędy krytyczne mogą występować łącznie przez maksymalnie 3 dni robocze w kwartale). Równocześnie Wykonawca zapewni brak jakichkolwiek błędów krytycznych i niekrytycznych przez min. 90% dni roboczych w kwartale (</w:t>
      </w:r>
      <w:proofErr w:type="gramStart"/>
      <w:r w:rsidRPr="005329BB">
        <w:rPr>
          <w:rFonts w:cstheme="minorHAnsi"/>
        </w:rPr>
        <w:t>tzn.</w:t>
      </w:r>
      <w:proofErr w:type="gramEnd"/>
      <w:r w:rsidRPr="005329BB">
        <w:rPr>
          <w:rFonts w:cstheme="minorHAnsi"/>
        </w:rPr>
        <w:t xml:space="preserve"> że błędy krytyczne i niekrytyczne mogą występować łącznie przez maksymalnie 6 dni roboczych w kwartale).</w:t>
      </w:r>
    </w:p>
    <w:p w14:paraId="5018D494" w14:textId="77777777" w:rsidR="005329BB" w:rsidRDefault="005329BB" w:rsidP="005329BB">
      <w:pPr>
        <w:spacing w:after="120"/>
        <w:jc w:val="both"/>
        <w:rPr>
          <w:rFonts w:cs="Calibri"/>
          <w:b/>
          <w:bCs/>
        </w:rPr>
      </w:pPr>
    </w:p>
    <w:p w14:paraId="126DB437" w14:textId="0A92505E" w:rsidR="005329BB" w:rsidRPr="003621D2" w:rsidRDefault="005329BB" w:rsidP="005329BB">
      <w:pPr>
        <w:spacing w:after="1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Zadanie</w:t>
      </w:r>
      <w:r w:rsidRPr="003621D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4</w:t>
      </w:r>
      <w:r w:rsidRPr="003621D2">
        <w:rPr>
          <w:rFonts w:cs="Calibri"/>
          <w:b/>
          <w:bCs/>
        </w:rPr>
        <w:t xml:space="preserve">: </w:t>
      </w:r>
      <w:r>
        <w:rPr>
          <w:rFonts w:cs="Calibri"/>
          <w:b/>
          <w:bCs/>
        </w:rPr>
        <w:t>U</w:t>
      </w:r>
      <w:r w:rsidRPr="00E311E5">
        <w:rPr>
          <w:rFonts w:cs="Calibri"/>
          <w:b/>
          <w:bCs/>
        </w:rPr>
        <w:t xml:space="preserve">sługa </w:t>
      </w:r>
      <w:r>
        <w:rPr>
          <w:rFonts w:cs="Calibri"/>
          <w:b/>
          <w:bCs/>
        </w:rPr>
        <w:t>rozwoju</w:t>
      </w:r>
      <w:r w:rsidRPr="00E311E5">
        <w:rPr>
          <w:rFonts w:cs="Calibri"/>
          <w:b/>
          <w:bCs/>
        </w:rPr>
        <w:t xml:space="preserve"> GDH do dnia 31 marca 2028 r.</w:t>
      </w:r>
    </w:p>
    <w:p w14:paraId="5957C9F2" w14:textId="5168B4A2" w:rsidR="005329BB" w:rsidRDefault="005329BB" w:rsidP="005329BB">
      <w:pPr>
        <w:spacing w:after="120"/>
        <w:jc w:val="both"/>
        <w:rPr>
          <w:rFonts w:cstheme="minorHAnsi"/>
        </w:rPr>
      </w:pPr>
      <w:r w:rsidRPr="005329BB">
        <w:rPr>
          <w:rFonts w:cstheme="minorHAnsi"/>
        </w:rPr>
        <w:lastRenderedPageBreak/>
        <w:t xml:space="preserve">W ramach usługi </w:t>
      </w:r>
      <w:r>
        <w:rPr>
          <w:rFonts w:cstheme="minorHAnsi"/>
        </w:rPr>
        <w:t>r</w:t>
      </w:r>
      <w:r w:rsidRPr="005329BB">
        <w:rPr>
          <w:rFonts w:cstheme="minorHAnsi"/>
        </w:rPr>
        <w:t xml:space="preserve">ozwoju </w:t>
      </w:r>
      <w:r>
        <w:rPr>
          <w:rFonts w:cstheme="minorHAnsi"/>
        </w:rPr>
        <w:t>GDH</w:t>
      </w:r>
      <w:r w:rsidRPr="005329BB">
        <w:rPr>
          <w:rFonts w:cstheme="minorHAnsi"/>
        </w:rPr>
        <w:t xml:space="preserve"> Wykonawca będzie zobowiązany do realizacji </w:t>
      </w:r>
      <w:r>
        <w:rPr>
          <w:rFonts w:cstheme="minorHAnsi"/>
        </w:rPr>
        <w:t>prac rozwojowych zleconych przez Zamawiającego w liczbie do 1.00</w:t>
      </w:r>
      <w:r w:rsidRPr="005329BB">
        <w:rPr>
          <w:rFonts w:cstheme="minorHAnsi"/>
        </w:rPr>
        <w:t xml:space="preserve">0 </w:t>
      </w:r>
      <w:r>
        <w:rPr>
          <w:rFonts w:cstheme="minorHAnsi"/>
        </w:rPr>
        <w:t>godzin</w:t>
      </w:r>
      <w:r w:rsidRPr="005329BB">
        <w:rPr>
          <w:rFonts w:cstheme="minorHAnsi"/>
        </w:rPr>
        <w:t xml:space="preserve"> roboczych, do wykorzystania w okresie utrzymania systemu, na zlecone prace rozwojowe funkcjonalności systemu</w:t>
      </w:r>
      <w:r>
        <w:rPr>
          <w:rFonts w:cstheme="minorHAnsi"/>
        </w:rPr>
        <w:t>, po cenie określonej w ofercie Wykonawcy</w:t>
      </w:r>
      <w:r w:rsidRPr="005329BB">
        <w:rPr>
          <w:rFonts w:cstheme="minorHAnsi"/>
        </w:rPr>
        <w:t>.</w:t>
      </w:r>
    </w:p>
    <w:p w14:paraId="4B76BD01" w14:textId="5F1F7050" w:rsidR="005329BB" w:rsidRPr="000C3CD1" w:rsidRDefault="005329BB" w:rsidP="005329BB">
      <w:pPr>
        <w:spacing w:after="120"/>
        <w:jc w:val="both"/>
        <w:rPr>
          <w:rFonts w:cstheme="minorHAnsi"/>
        </w:rPr>
      </w:pPr>
      <w:r>
        <w:rPr>
          <w:rFonts w:cstheme="minorHAnsi"/>
        </w:rPr>
        <w:t>Zamawiający może, ale nie musi, przedstawić zlecenia na pełne 1.000 godzin roboczych.</w:t>
      </w:r>
    </w:p>
    <w:p w14:paraId="7B013692" w14:textId="77777777" w:rsidR="00E05BC6" w:rsidRPr="000C3CD1" w:rsidRDefault="00E05BC6" w:rsidP="00B33333">
      <w:pPr>
        <w:spacing w:after="120"/>
        <w:jc w:val="both"/>
        <w:rPr>
          <w:rFonts w:cstheme="minorHAnsi"/>
        </w:rPr>
      </w:pPr>
    </w:p>
    <w:p w14:paraId="789780A9" w14:textId="77777777" w:rsidR="00D864CE" w:rsidRPr="000C3CD1" w:rsidRDefault="00D864CE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0C3CD1">
        <w:rPr>
          <w:rFonts w:cs="Calibri"/>
          <w:b/>
          <w:u w:val="single"/>
        </w:rPr>
        <w:t xml:space="preserve">TERMIN </w:t>
      </w:r>
      <w:r w:rsidR="00442D47" w:rsidRPr="000C3CD1">
        <w:rPr>
          <w:rFonts w:cs="Calibri"/>
          <w:b/>
          <w:u w:val="single"/>
        </w:rPr>
        <w:t>REALIZACJI</w:t>
      </w:r>
    </w:p>
    <w:p w14:paraId="672FDCE3" w14:textId="57FB3DD7" w:rsidR="0093262C" w:rsidRPr="000C3CD1" w:rsidRDefault="0012111C" w:rsidP="00B33333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Koncepcja </w:t>
      </w:r>
      <w:r w:rsidR="00580293">
        <w:rPr>
          <w:rFonts w:cstheme="minorHAnsi"/>
        </w:rPr>
        <w:t>funkcjonalna</w:t>
      </w:r>
      <w:r w:rsidRPr="000C3CD1">
        <w:rPr>
          <w:rFonts w:cstheme="minorHAnsi"/>
        </w:rPr>
        <w:t xml:space="preserve"> i technologiczna </w:t>
      </w:r>
      <w:r w:rsidR="00DB6887">
        <w:rPr>
          <w:rFonts w:cstheme="minorHAnsi"/>
        </w:rPr>
        <w:t>GDH</w:t>
      </w:r>
      <w:r w:rsidR="002E09EC" w:rsidRPr="000C3CD1">
        <w:rPr>
          <w:rFonts w:cstheme="minorHAnsi"/>
        </w:rPr>
        <w:t xml:space="preserve"> </w:t>
      </w:r>
      <w:r w:rsidR="003667DA" w:rsidRPr="000C3CD1">
        <w:rPr>
          <w:rFonts w:cstheme="minorHAnsi"/>
        </w:rPr>
        <w:t>(wraz z wynikami i wnioskami z</w:t>
      </w:r>
      <w:r w:rsidR="00247DF0" w:rsidRPr="000C3CD1">
        <w:rPr>
          <w:rFonts w:cstheme="minorHAnsi"/>
        </w:rPr>
        <w:t> </w:t>
      </w:r>
      <w:r w:rsidR="003667DA" w:rsidRPr="000C3CD1">
        <w:rPr>
          <w:rFonts w:cstheme="minorHAnsi"/>
        </w:rPr>
        <w:t xml:space="preserve">badań użytkowników) </w:t>
      </w:r>
      <w:r w:rsidR="00442D47" w:rsidRPr="000C3CD1">
        <w:rPr>
          <w:rFonts w:cstheme="minorHAnsi"/>
        </w:rPr>
        <w:t>powinna być dostarczona</w:t>
      </w:r>
      <w:r w:rsidR="0093262C" w:rsidRPr="000C3CD1">
        <w:rPr>
          <w:rFonts w:cstheme="minorHAnsi"/>
        </w:rPr>
        <w:t xml:space="preserve"> do </w:t>
      </w:r>
      <w:r w:rsidR="00442D47" w:rsidRPr="000C3CD1">
        <w:rPr>
          <w:rFonts w:cstheme="minorHAnsi"/>
        </w:rPr>
        <w:t xml:space="preserve">Zamawiającego </w:t>
      </w:r>
      <w:r w:rsidR="002E09EC" w:rsidRPr="000C3CD1">
        <w:rPr>
          <w:rFonts w:cstheme="minorHAnsi"/>
        </w:rPr>
        <w:t xml:space="preserve">najpóźniej </w:t>
      </w:r>
      <w:r w:rsidR="00C80830" w:rsidRPr="000C3CD1">
        <w:rPr>
          <w:rFonts w:cstheme="minorHAnsi"/>
        </w:rPr>
        <w:t xml:space="preserve">w ciągu </w:t>
      </w:r>
      <w:r w:rsidR="00DB6887">
        <w:rPr>
          <w:rFonts w:cstheme="minorHAnsi"/>
        </w:rPr>
        <w:t>6</w:t>
      </w:r>
      <w:r w:rsidR="004D7D16" w:rsidRPr="000C3CD1">
        <w:rPr>
          <w:rFonts w:cstheme="minorHAnsi"/>
        </w:rPr>
        <w:t>0</w:t>
      </w:r>
      <w:r w:rsidR="00C80830" w:rsidRPr="000C3CD1">
        <w:rPr>
          <w:rFonts w:cstheme="minorHAnsi"/>
        </w:rPr>
        <w:t xml:space="preserve"> dni </w:t>
      </w:r>
      <w:r w:rsidR="00E05BC6" w:rsidRPr="000C3CD1">
        <w:rPr>
          <w:rFonts w:cstheme="minorHAnsi"/>
        </w:rPr>
        <w:t xml:space="preserve">kalendarzowych </w:t>
      </w:r>
      <w:r w:rsidR="00C80830" w:rsidRPr="000C3CD1">
        <w:rPr>
          <w:rFonts w:cstheme="minorHAnsi"/>
        </w:rPr>
        <w:t>od dnia podpisania umowy.</w:t>
      </w:r>
      <w:r w:rsidR="005A7C1A" w:rsidRPr="000C3CD1">
        <w:rPr>
          <w:rFonts w:cstheme="minorHAnsi"/>
        </w:rPr>
        <w:t xml:space="preserve"> </w:t>
      </w:r>
      <w:r w:rsidR="00615803" w:rsidRPr="000C3CD1">
        <w:rPr>
          <w:rFonts w:cstheme="minorHAnsi"/>
        </w:rPr>
        <w:t>Stworzenie i w</w:t>
      </w:r>
      <w:r w:rsidR="005A7C1A" w:rsidRPr="000C3CD1">
        <w:rPr>
          <w:rFonts w:cstheme="minorHAnsi"/>
        </w:rPr>
        <w:t xml:space="preserve">drożenie zmodernizowanego Portalu powinno nastąpić maksymalnie </w:t>
      </w:r>
      <w:r w:rsidR="00C80830" w:rsidRPr="000C3CD1">
        <w:rPr>
          <w:rFonts w:cstheme="minorHAnsi"/>
        </w:rPr>
        <w:t>w</w:t>
      </w:r>
      <w:r w:rsidR="00247DF0" w:rsidRPr="000C3CD1">
        <w:rPr>
          <w:rFonts w:cstheme="minorHAnsi"/>
        </w:rPr>
        <w:t> </w:t>
      </w:r>
      <w:r w:rsidR="00C80830" w:rsidRPr="000C3CD1">
        <w:rPr>
          <w:rFonts w:cstheme="minorHAnsi"/>
        </w:rPr>
        <w:t xml:space="preserve">ciągu </w:t>
      </w:r>
      <w:r w:rsidR="00DB6887">
        <w:rPr>
          <w:rFonts w:cstheme="minorHAnsi"/>
        </w:rPr>
        <w:t>12</w:t>
      </w:r>
      <w:r w:rsidR="00C80830" w:rsidRPr="000C3CD1">
        <w:rPr>
          <w:rFonts w:cstheme="minorHAnsi"/>
        </w:rPr>
        <w:t xml:space="preserve">0 dni </w:t>
      </w:r>
      <w:r w:rsidR="00E05BC6" w:rsidRPr="000C3CD1">
        <w:rPr>
          <w:rFonts w:cstheme="minorHAnsi"/>
        </w:rPr>
        <w:t xml:space="preserve">kalendarzowych </w:t>
      </w:r>
      <w:r w:rsidR="00C80830" w:rsidRPr="000C3CD1">
        <w:rPr>
          <w:rFonts w:cstheme="minorHAnsi"/>
        </w:rPr>
        <w:t xml:space="preserve">od dnia zaakceptowania koncepcji </w:t>
      </w:r>
      <w:r w:rsidR="00DB6887">
        <w:rPr>
          <w:rFonts w:cstheme="minorHAnsi"/>
        </w:rPr>
        <w:t>GDH</w:t>
      </w:r>
      <w:r w:rsidR="00C80830" w:rsidRPr="000C3CD1">
        <w:rPr>
          <w:rFonts w:cstheme="minorHAnsi"/>
        </w:rPr>
        <w:t xml:space="preserve"> przez Zamawiającego</w:t>
      </w:r>
      <w:r w:rsidR="005A7C1A" w:rsidRPr="000C3CD1">
        <w:rPr>
          <w:rFonts w:cstheme="minorHAnsi"/>
        </w:rPr>
        <w:t xml:space="preserve">. Ostateczny </w:t>
      </w:r>
      <w:r w:rsidRPr="000C3CD1">
        <w:rPr>
          <w:rFonts w:cstheme="minorHAnsi"/>
        </w:rPr>
        <w:t xml:space="preserve">szczegółowy </w:t>
      </w:r>
      <w:r w:rsidR="005A7C1A" w:rsidRPr="000C3CD1">
        <w:rPr>
          <w:rFonts w:cstheme="minorHAnsi"/>
        </w:rPr>
        <w:t xml:space="preserve">harmonogram </w:t>
      </w:r>
      <w:r w:rsidRPr="000C3CD1">
        <w:rPr>
          <w:rFonts w:cstheme="minorHAnsi"/>
        </w:rPr>
        <w:t xml:space="preserve">poszczególnych działań </w:t>
      </w:r>
      <w:r w:rsidR="005A7C1A" w:rsidRPr="000C3CD1">
        <w:rPr>
          <w:rFonts w:cstheme="minorHAnsi"/>
        </w:rPr>
        <w:t xml:space="preserve">zaproponuje </w:t>
      </w:r>
      <w:r w:rsidR="001974F1" w:rsidRPr="000C3CD1">
        <w:rPr>
          <w:rFonts w:cstheme="minorHAnsi"/>
        </w:rPr>
        <w:t>W</w:t>
      </w:r>
      <w:r w:rsidR="005A7C1A" w:rsidRPr="000C3CD1">
        <w:rPr>
          <w:rFonts w:cstheme="minorHAnsi"/>
        </w:rPr>
        <w:t>ykonawca</w:t>
      </w:r>
      <w:r w:rsidR="00B746F7" w:rsidRPr="000C3CD1">
        <w:rPr>
          <w:rFonts w:cstheme="minorHAnsi"/>
        </w:rPr>
        <w:t xml:space="preserve"> i podlega on akceptacji przez Zamawiającego jako część koncepcji realizacji </w:t>
      </w:r>
      <w:r w:rsidR="00DB6887">
        <w:rPr>
          <w:rFonts w:cstheme="minorHAnsi"/>
        </w:rPr>
        <w:t>GDH</w:t>
      </w:r>
      <w:r w:rsidR="001974F1" w:rsidRPr="000C3CD1">
        <w:rPr>
          <w:rFonts w:cstheme="minorHAnsi"/>
        </w:rPr>
        <w:t>.</w:t>
      </w:r>
    </w:p>
    <w:p w14:paraId="3239D64B" w14:textId="04575A42" w:rsidR="00090F55" w:rsidRDefault="00090F55" w:rsidP="00B33333">
      <w:pPr>
        <w:spacing w:after="120"/>
        <w:jc w:val="both"/>
        <w:rPr>
          <w:rFonts w:cstheme="minorHAnsi"/>
        </w:rPr>
      </w:pPr>
      <w:r w:rsidRPr="000C3CD1">
        <w:rPr>
          <w:rFonts w:cstheme="minorHAnsi"/>
        </w:rPr>
        <w:t xml:space="preserve">Czas dostarczenia koncepcji </w:t>
      </w:r>
      <w:r w:rsidR="00580293">
        <w:rPr>
          <w:rFonts w:cstheme="minorHAnsi"/>
        </w:rPr>
        <w:t>funkcjonalnej i merytorycznej</w:t>
      </w:r>
      <w:r w:rsidRPr="000C3CD1">
        <w:rPr>
          <w:rFonts w:cstheme="minorHAnsi"/>
        </w:rPr>
        <w:t xml:space="preserve"> oraz czas </w:t>
      </w:r>
      <w:r w:rsidR="00070763" w:rsidRPr="000C3CD1">
        <w:rPr>
          <w:rFonts w:cstheme="minorHAnsi"/>
        </w:rPr>
        <w:t xml:space="preserve">tworzenia i </w:t>
      </w:r>
      <w:r w:rsidRPr="000C3CD1">
        <w:rPr>
          <w:rFonts w:cstheme="minorHAnsi"/>
        </w:rPr>
        <w:t xml:space="preserve">wdrożenia </w:t>
      </w:r>
      <w:r w:rsidR="00580293">
        <w:rPr>
          <w:rFonts w:cstheme="minorHAnsi"/>
        </w:rPr>
        <w:t xml:space="preserve">GDH </w:t>
      </w:r>
      <w:r w:rsidRPr="000C3CD1">
        <w:rPr>
          <w:rFonts w:cstheme="minorHAnsi"/>
        </w:rPr>
        <w:t xml:space="preserve">mogą ulec zmianie w trakcie uzgodnień z Wykonawcą, ale nie może ulec zmianie łączny czas realizacji projektu wynoszący maksymalnie </w:t>
      </w:r>
      <w:r w:rsidR="00DB6887">
        <w:rPr>
          <w:rFonts w:cstheme="minorHAnsi"/>
        </w:rPr>
        <w:t>18</w:t>
      </w:r>
      <w:r w:rsidRPr="000C3CD1">
        <w:rPr>
          <w:rFonts w:cstheme="minorHAnsi"/>
        </w:rPr>
        <w:t xml:space="preserve">0 dni </w:t>
      </w:r>
      <w:r w:rsidR="00E05BC6" w:rsidRPr="000C3CD1">
        <w:rPr>
          <w:rFonts w:cstheme="minorHAnsi"/>
        </w:rPr>
        <w:t xml:space="preserve">kalendarzowych </w:t>
      </w:r>
      <w:r w:rsidRPr="000C3CD1">
        <w:rPr>
          <w:rFonts w:cstheme="minorHAnsi"/>
        </w:rPr>
        <w:t>od dnia podpisania umowy</w:t>
      </w:r>
      <w:r w:rsidR="00615803" w:rsidRPr="000C3CD1">
        <w:rPr>
          <w:rFonts w:cstheme="minorHAnsi"/>
        </w:rPr>
        <w:t xml:space="preserve"> + czas potrzebny na akceptację koncepcji </w:t>
      </w:r>
      <w:r w:rsidR="00580293">
        <w:rPr>
          <w:rFonts w:cstheme="minorHAnsi"/>
        </w:rPr>
        <w:t>GDH i zapewnienie infrastruktury przez Zamawiającego</w:t>
      </w:r>
      <w:r w:rsidRPr="000C3CD1">
        <w:rPr>
          <w:rFonts w:cstheme="minorHAnsi"/>
        </w:rPr>
        <w:t>.</w:t>
      </w:r>
    </w:p>
    <w:p w14:paraId="1BEFF435" w14:textId="43D1F29F" w:rsidR="005329BB" w:rsidRPr="000C3CD1" w:rsidRDefault="005329BB" w:rsidP="00B33333">
      <w:pPr>
        <w:spacing w:after="120"/>
        <w:jc w:val="both"/>
        <w:rPr>
          <w:rFonts w:cstheme="minorHAnsi"/>
        </w:rPr>
      </w:pPr>
      <w:r>
        <w:rPr>
          <w:rFonts w:cstheme="minorHAnsi"/>
        </w:rPr>
        <w:t>Zadania utrzymania i rozwoju systemu (3 i 4) świadczone będą od dnia odbioru GDH do 31 marca 2028 r.</w:t>
      </w:r>
    </w:p>
    <w:p w14:paraId="51C4289F" w14:textId="77777777" w:rsidR="000B1AC6" w:rsidRPr="000C3CD1" w:rsidRDefault="000B1AC6">
      <w:pPr>
        <w:rPr>
          <w:rFonts w:cs="Calibri"/>
          <w:b/>
        </w:rPr>
      </w:pPr>
      <w:r w:rsidRPr="000C3CD1">
        <w:rPr>
          <w:rFonts w:cs="Calibri"/>
          <w:b/>
        </w:rPr>
        <w:br w:type="page"/>
      </w:r>
    </w:p>
    <w:p w14:paraId="6D573FA4" w14:textId="77777777" w:rsidR="00434F18" w:rsidRPr="000C3CD1" w:rsidRDefault="000B1AC6" w:rsidP="00766E33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r w:rsidRPr="000C3CD1">
        <w:rPr>
          <w:rFonts w:cs="Calibri"/>
          <w:b/>
        </w:rPr>
        <w:lastRenderedPageBreak/>
        <w:t>CZĘŚĆ II</w:t>
      </w:r>
    </w:p>
    <w:p w14:paraId="4731554A" w14:textId="33273C04" w:rsidR="00434F18" w:rsidRPr="000C3CD1" w:rsidRDefault="007E4FE2" w:rsidP="00766E33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r w:rsidRPr="000C3CD1">
        <w:rPr>
          <w:rFonts w:cs="Calibri"/>
          <w:b/>
        </w:rPr>
        <w:t xml:space="preserve">Szczegółowy opis wybranych funkcji </w:t>
      </w:r>
      <w:r w:rsidR="00630A4D">
        <w:rPr>
          <w:rFonts w:cs="Calibri"/>
          <w:b/>
        </w:rPr>
        <w:t>GDH</w:t>
      </w:r>
    </w:p>
    <w:p w14:paraId="4AA1C223" w14:textId="77777777" w:rsidR="007E4FE2" w:rsidRPr="000C3CD1" w:rsidRDefault="007E4FE2" w:rsidP="00766E33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</w:p>
    <w:p w14:paraId="3AA192C8" w14:textId="7B684383" w:rsidR="00F526DC" w:rsidRPr="000C3CD1" w:rsidRDefault="00F526DC" w:rsidP="00F526DC">
      <w:pPr>
        <w:jc w:val="both"/>
      </w:pPr>
      <w:r w:rsidRPr="000C3CD1">
        <w:t xml:space="preserve">Zadaniem dla Wykonawcy będzie wskazanie optymalnego zakresu </w:t>
      </w:r>
      <w:r w:rsidR="00630A4D">
        <w:t>funkcjonalności</w:t>
      </w:r>
      <w:r w:rsidRPr="000C3CD1">
        <w:t xml:space="preserve">, jaki powinien zostać zawarty </w:t>
      </w:r>
      <w:r w:rsidR="00630A4D">
        <w:t>w ramach GDH</w:t>
      </w:r>
      <w:r w:rsidRPr="000C3CD1">
        <w:t xml:space="preserve">. Oczekuje się, że taki zakres powstanie w oparciu o przeprowadzone badania </w:t>
      </w:r>
      <w:r w:rsidR="00630A4D">
        <w:t>w</w:t>
      </w:r>
      <w:r w:rsidRPr="000C3CD1">
        <w:t>ewnętrzne z użytkownikami</w:t>
      </w:r>
      <w:r w:rsidR="00630A4D">
        <w:t xml:space="preserve"> – pracownikami </w:t>
      </w:r>
      <w:proofErr w:type="spellStart"/>
      <w:r w:rsidR="00630A4D">
        <w:t>MRiT</w:t>
      </w:r>
      <w:proofErr w:type="spellEnd"/>
      <w:r w:rsidR="00630A4D">
        <w:t xml:space="preserve"> (</w:t>
      </w:r>
      <w:r w:rsidR="0009451C">
        <w:t>maks.</w:t>
      </w:r>
      <w:r w:rsidR="00630A4D">
        <w:t xml:space="preserve"> </w:t>
      </w:r>
      <w:r w:rsidR="0009451C">
        <w:t>10 osób)</w:t>
      </w:r>
      <w:r w:rsidRPr="000C3CD1">
        <w:t xml:space="preserve">. </w:t>
      </w:r>
      <w:r w:rsidR="0009451C">
        <w:t>Z</w:t>
      </w:r>
      <w:r w:rsidRPr="000C3CD1">
        <w:t>akres informacji</w:t>
      </w:r>
      <w:r w:rsidR="0009451C">
        <w:t xml:space="preserve"> i funkcji</w:t>
      </w:r>
      <w:r w:rsidRPr="000C3CD1">
        <w:t xml:space="preserve">, jaki </w:t>
      </w:r>
      <w:r w:rsidR="0009451C">
        <w:t>powinien</w:t>
      </w:r>
      <w:r w:rsidRPr="000C3CD1">
        <w:t xml:space="preserve"> zawierać </w:t>
      </w:r>
      <w:r w:rsidR="0009451C">
        <w:t>GDH</w:t>
      </w:r>
      <w:r w:rsidRPr="000C3CD1">
        <w:t xml:space="preserve">, </w:t>
      </w:r>
      <w:r w:rsidR="0009451C">
        <w:t>opisane są</w:t>
      </w:r>
      <w:r w:rsidRPr="000C3CD1">
        <w:t xml:space="preserve"> poniżej. Zawartość </w:t>
      </w:r>
      <w:r w:rsidR="0009451C">
        <w:t>GDH</w:t>
      </w:r>
      <w:r w:rsidRPr="000C3CD1">
        <w:t xml:space="preserve"> może wybiegać poza funkcjonalności opisane poniżej – propozycje kreatywne będą przedmiotem oceny przez Zamawiającego. Powinny być one potwierdzone wynikami badań opinii i oczekiwań </w:t>
      </w:r>
      <w:r w:rsidR="0023082D">
        <w:t xml:space="preserve">pracowników </w:t>
      </w:r>
      <w:proofErr w:type="spellStart"/>
      <w:r w:rsidR="0023082D">
        <w:t>MRiT</w:t>
      </w:r>
      <w:proofErr w:type="spellEnd"/>
      <w:r w:rsidRPr="000C3CD1">
        <w:t xml:space="preserve"> oraz mieć potwierdzone możliwości techniczne i finansowe wdrożenia i utrzymania danego rozwiązania.</w:t>
      </w:r>
    </w:p>
    <w:p w14:paraId="702D9261" w14:textId="77777777" w:rsidR="00F5613B" w:rsidRDefault="00F5613B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</w:p>
    <w:p w14:paraId="0B42620E" w14:textId="2674F6D2" w:rsidR="00F5613B" w:rsidRPr="00F5613B" w:rsidRDefault="00F5613B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  <w:r w:rsidRPr="00F5613B">
        <w:rPr>
          <w:rFonts w:asciiTheme="minorHAnsi" w:hAnsiTheme="minorHAnsi" w:cstheme="minorHAnsi"/>
          <w:sz w:val="22"/>
          <w:szCs w:val="24"/>
        </w:rPr>
        <w:t>Umiejscowienie w systemie EXPORT INTELLIGENCE</w:t>
      </w:r>
    </w:p>
    <w:p w14:paraId="0CB87D32" w14:textId="25EBEE79" w:rsidR="00F5613B" w:rsidRDefault="00F5613B" w:rsidP="00F5613B">
      <w:r w:rsidRPr="00740FEC">
        <w:t>Umiejscowienie w systemie jest d</w:t>
      </w:r>
      <w:r>
        <w:t>o dyskusji. Możliwa jest dodatkowa sekcja w ramach Biblioteki p.t. „Generator”</w:t>
      </w:r>
      <w:r w:rsidR="00FE5FC0">
        <w:t xml:space="preserve"> (nazwa docelowa dla tej funkcji do dopracowania w trakcie realizacji Zamówienia)</w:t>
      </w:r>
      <w:r>
        <w:t>.</w:t>
      </w:r>
    </w:p>
    <w:p w14:paraId="516C9760" w14:textId="56CB97B2" w:rsidR="00F5613B" w:rsidRDefault="00F5613B" w:rsidP="00F561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76BC5" wp14:editId="77DBC215">
                <wp:simplePos x="0" y="0"/>
                <wp:positionH relativeFrom="column">
                  <wp:posOffset>1615694</wp:posOffset>
                </wp:positionH>
                <wp:positionV relativeFrom="paragraph">
                  <wp:posOffset>667004</wp:posOffset>
                </wp:positionV>
                <wp:extent cx="446227" cy="123901"/>
                <wp:effectExtent l="0" t="0" r="11430" b="28575"/>
                <wp:wrapNone/>
                <wp:docPr id="2105486492" name="Strzałka: w le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12390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99AE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2" o:spid="_x0000_s1026" type="#_x0000_t66" style="position:absolute;margin-left:127.2pt;margin-top:52.5pt;width:35.15pt;height: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" adj="2999" fillcolor="#4f81bd [3204]" strokecolor="#0a121c [48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C049B5E" wp14:editId="5B9F101E">
            <wp:extent cx="5760720" cy="3240405"/>
            <wp:effectExtent l="0" t="0" r="0" b="0"/>
            <wp:docPr id="1953500580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00580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78CEE" w14:textId="77777777" w:rsidR="00F5613B" w:rsidRDefault="00F5613B" w:rsidP="00F5613B">
      <w:r>
        <w:t xml:space="preserve">Pożądane jest rozwiązanie, które da się łatwo rozszerzyć o bazę </w:t>
      </w:r>
      <w:proofErr w:type="spellStart"/>
      <w:r>
        <w:t>Comext</w:t>
      </w:r>
      <w:proofErr w:type="spellEnd"/>
      <w:r>
        <w:t xml:space="preserve"> i Comtrade, aby użytkownik mógł eksplorować dane handlowe krajów całego świata.</w:t>
      </w:r>
    </w:p>
    <w:p w14:paraId="1AA8D62C" w14:textId="77777777" w:rsidR="003E4DEE" w:rsidRDefault="003E4DEE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</w:p>
    <w:p w14:paraId="62D64EEA" w14:textId="7A93FEF4" w:rsidR="00F5613B" w:rsidRPr="002050D8" w:rsidRDefault="00F5613B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  <w:r w:rsidRPr="002050D8">
        <w:rPr>
          <w:rFonts w:asciiTheme="minorHAnsi" w:hAnsiTheme="minorHAnsi" w:cstheme="minorHAnsi"/>
          <w:sz w:val="22"/>
          <w:szCs w:val="24"/>
        </w:rPr>
        <w:t>Zakres danych źródłowych (tabel) do wyliczeń:</w:t>
      </w:r>
    </w:p>
    <w:p w14:paraId="529E59A6" w14:textId="0D4814EB" w:rsidR="00F5613B" w:rsidRDefault="002050D8" w:rsidP="002050D8">
      <w:r>
        <w:t xml:space="preserve">W bazie systemu EXPORT INTELLIGENCE dostępne są dane miesięczne z GUS o </w:t>
      </w:r>
      <w:r w:rsidRPr="003E4DEE">
        <w:rPr>
          <w:u w:val="single"/>
        </w:rPr>
        <w:t>eksporcie</w:t>
      </w:r>
      <w:r>
        <w:t xml:space="preserve"> towarów:</w:t>
      </w:r>
    </w:p>
    <w:p w14:paraId="1FE20BB3" w14:textId="77777777" w:rsidR="00F5613B" w:rsidRPr="00EE6EC0" w:rsidRDefault="00F5613B" w:rsidP="00F5613B">
      <w:r>
        <w:rPr>
          <w:noProof/>
          <w:lang w:eastAsia="pl-PL"/>
        </w:rPr>
        <w:lastRenderedPageBreak/>
        <w:drawing>
          <wp:inline distT="0" distB="0" distL="0" distR="0" wp14:anchorId="4FEE516B" wp14:editId="04B664B2">
            <wp:extent cx="5966460" cy="1245235"/>
            <wp:effectExtent l="0" t="0" r="0" b="0"/>
            <wp:docPr id="7" name="Picture 7" descr="Obraz zawierający tekst, Czcionka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braz zawierający tekst, Czcionka, linia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DDD6" w14:textId="7BDDB7D5" w:rsidR="002050D8" w:rsidRDefault="002050D8" w:rsidP="00F5613B">
      <w:r>
        <w:t xml:space="preserve">Dla każdego z ww. </w:t>
      </w:r>
      <w:r w:rsidR="00665AC2">
        <w:t>wskaźników możliwa jest konfiguracja poniższych parametrów:</w:t>
      </w:r>
    </w:p>
    <w:p w14:paraId="1DABE94B" w14:textId="61582498" w:rsidR="00665AC2" w:rsidRDefault="003E4DEE" w:rsidP="00F5613B">
      <w:r>
        <w:rPr>
          <w:noProof/>
        </w:rPr>
        <w:drawing>
          <wp:inline distT="0" distB="0" distL="0" distR="0" wp14:anchorId="0D80CA7E" wp14:editId="4D8A909D">
            <wp:extent cx="5760720" cy="3240405"/>
            <wp:effectExtent l="0" t="0" r="0" b="0"/>
            <wp:docPr id="386272676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72676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0AA70" w14:textId="77777777" w:rsidR="002050D8" w:rsidRDefault="002050D8" w:rsidP="00F5613B"/>
    <w:p w14:paraId="63060814" w14:textId="01E0F99C" w:rsidR="003E4DEE" w:rsidRDefault="003E4DEE" w:rsidP="003E4DEE">
      <w:r>
        <w:t>W bazie systemu EXPORT INTELLIGENCE dostępne są dane miesięczne z GUS o imporcie towarów:</w:t>
      </w:r>
    </w:p>
    <w:p w14:paraId="7874BAF3" w14:textId="3D1FADA5" w:rsidR="00F5613B" w:rsidRDefault="003E4DEE" w:rsidP="00F5613B">
      <w:r>
        <w:rPr>
          <w:noProof/>
        </w:rPr>
        <w:lastRenderedPageBreak/>
        <w:drawing>
          <wp:inline distT="0" distB="0" distL="0" distR="0" wp14:anchorId="03555AA7" wp14:editId="2BD496F5">
            <wp:extent cx="5760720" cy="3240405"/>
            <wp:effectExtent l="0" t="0" r="0" b="0"/>
            <wp:docPr id="201461683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1683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6763" w14:textId="77777777" w:rsidR="003E4DEE" w:rsidRDefault="003E4DEE" w:rsidP="003E4DEE">
      <w:r>
        <w:t>Dla każdego z ww. wskaźników możliwa jest konfiguracja poniższych parametrów:</w:t>
      </w:r>
    </w:p>
    <w:p w14:paraId="1D9DECFF" w14:textId="494E2D49" w:rsidR="003E4DEE" w:rsidRDefault="003E4DEE" w:rsidP="00F5613B">
      <w:r>
        <w:rPr>
          <w:noProof/>
        </w:rPr>
        <w:drawing>
          <wp:inline distT="0" distB="0" distL="0" distR="0" wp14:anchorId="572C3664" wp14:editId="0533FA17">
            <wp:extent cx="5760720" cy="3240405"/>
            <wp:effectExtent l="0" t="0" r="0" b="0"/>
            <wp:docPr id="975926432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26432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7915" w14:textId="77777777" w:rsidR="003E4DEE" w:rsidRDefault="003E4DEE" w:rsidP="00F5613B"/>
    <w:p w14:paraId="4EF54E8E" w14:textId="3926AC75" w:rsidR="003E4DEE" w:rsidRDefault="003E4DEE" w:rsidP="00F5613B">
      <w:r w:rsidRPr="003E4DEE">
        <w:rPr>
          <w:highlight w:val="yellow"/>
        </w:rPr>
        <w:t xml:space="preserve">Przykładowe dane </w:t>
      </w:r>
      <w:r w:rsidR="009418A4">
        <w:rPr>
          <w:highlight w:val="yellow"/>
        </w:rPr>
        <w:t xml:space="preserve">surowe </w:t>
      </w:r>
      <w:r w:rsidRPr="003E4DEE">
        <w:rPr>
          <w:highlight w:val="yellow"/>
        </w:rPr>
        <w:t xml:space="preserve">otrzymywane z GUS dot. eksportu i importu są załącznikiem </w:t>
      </w:r>
      <w:r w:rsidR="003D1045">
        <w:rPr>
          <w:highlight w:val="yellow"/>
        </w:rPr>
        <w:t xml:space="preserve">nr 1 </w:t>
      </w:r>
      <w:r w:rsidRPr="003E4DEE">
        <w:rPr>
          <w:highlight w:val="yellow"/>
        </w:rPr>
        <w:t>do OPZ.</w:t>
      </w:r>
    </w:p>
    <w:p w14:paraId="313505FF" w14:textId="5D291E6D" w:rsidR="00F5613B" w:rsidRDefault="003E4DEE" w:rsidP="00F5613B">
      <w:r>
        <w:t xml:space="preserve">Na podstawie danych GUS dot. importu i eksportu GDH powinien umożliwiać generowanie zestawień w formacie </w:t>
      </w:r>
      <w:proofErr w:type="spellStart"/>
      <w:r>
        <w:t>excel</w:t>
      </w:r>
      <w:proofErr w:type="spellEnd"/>
      <w:r>
        <w:t xml:space="preserve">. </w:t>
      </w:r>
      <w:r w:rsidR="00F5613B" w:rsidRPr="009A03C2">
        <w:t xml:space="preserve">Zakres danych oraz układ generowanego </w:t>
      </w:r>
      <w:r>
        <w:t>zestawienia</w:t>
      </w:r>
      <w:r w:rsidR="00F5613B" w:rsidRPr="009A03C2">
        <w:t xml:space="preserve"> będą zależn</w:t>
      </w:r>
      <w:r w:rsidR="00F5613B">
        <w:t>e</w:t>
      </w:r>
      <w:r w:rsidR="00F5613B" w:rsidRPr="009A03C2">
        <w:t xml:space="preserve"> od wybranych parametrów. Zakres parametrów będzie zgodny z tabelą opisującą elementy zobrazowane na wstępnej makiecie/ekranie (makieta i sposób wyboru poszczególnych parametrów zostanie dopracowany na etapie realizacji).</w:t>
      </w:r>
    </w:p>
    <w:p w14:paraId="5A33DC14" w14:textId="747490C6" w:rsidR="00F5613B" w:rsidRDefault="003E4DEE" w:rsidP="00F5613B">
      <w:r>
        <w:lastRenderedPageBreak/>
        <w:t>Zestawienie</w:t>
      </w:r>
      <w:r w:rsidR="00F5613B" w:rsidRPr="009A03C2">
        <w:t xml:space="preserve"> będzie prezentował</w:t>
      </w:r>
      <w:r>
        <w:t>o</w:t>
      </w:r>
      <w:r w:rsidR="00F5613B" w:rsidRPr="009A03C2">
        <w:t xml:space="preserve"> dane źródłowe oraz dane przetworzone </w:t>
      </w:r>
      <w:r>
        <w:t>z</w:t>
      </w:r>
      <w:r w:rsidR="00F5613B" w:rsidRPr="009A03C2">
        <w:t xml:space="preserve"> system</w:t>
      </w:r>
      <w:r>
        <w:t>u</w:t>
      </w:r>
      <w:r w:rsidR="00F5613B" w:rsidRPr="009A03C2">
        <w:t xml:space="preserve"> EI (np. wartość obrotów będzie wyliczana przez system na podstawie danych źródłowych wartość importu + wartość eksportu). Zakres przetwarzania danych został opisany w dalszej części dokumentu. </w:t>
      </w:r>
    </w:p>
    <w:p w14:paraId="128EE04F" w14:textId="34C4229F" w:rsidR="00F5613B" w:rsidRDefault="00F5613B" w:rsidP="00F5613B">
      <w:r>
        <w:t>Generator będzie miał wbudowane ograniczenie zabezpieczające przed jednorazowym pobraniem zbyt dużej ilości danych i przeciążaniem</w:t>
      </w:r>
      <w:r w:rsidR="002471A1">
        <w:t xml:space="preserve"> GDH lub EI</w:t>
      </w:r>
      <w:r>
        <w:t xml:space="preserve"> (ekstremalnie np. eksport, import, wiele walut, dynamika, udziały za wszystkie miesiące od 2010 do 2022, wszystkie kody CN i wszystkie kraje). Przed wygenerowaniem zestawienia system przeliczy </w:t>
      </w:r>
      <w:proofErr w:type="gramStart"/>
      <w:r>
        <w:t>finalną</w:t>
      </w:r>
      <w:proofErr w:type="gramEnd"/>
      <w:r>
        <w:t xml:space="preserve"> liczbę kolumn i wierszy i jeśli jedna z tych liczb przekroczy ustalone maksimum, to użytkownik otrzyma komunikat o konieczności rozbicia zapytania na mniejsze.</w:t>
      </w:r>
    </w:p>
    <w:p w14:paraId="0E3FDF8A" w14:textId="77777777" w:rsidR="00F5613B" w:rsidRPr="00053585" w:rsidRDefault="00F5613B" w:rsidP="00F5613B">
      <w:r>
        <w:t>Maksymalna liczba kolumn i wierszy zestawienia do ustalenia z Wykonawcą na etapie prac wdrożeniowych.</w:t>
      </w:r>
    </w:p>
    <w:p w14:paraId="436F6462" w14:textId="77777777" w:rsidR="00F5613B" w:rsidRPr="009A03C2" w:rsidRDefault="00F5613B" w:rsidP="00F5613B"/>
    <w:p w14:paraId="572279AF" w14:textId="2D218910" w:rsidR="00F5613B" w:rsidRPr="003E4DEE" w:rsidRDefault="003E4DEE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  <w:r w:rsidRPr="003E4DEE">
        <w:rPr>
          <w:rFonts w:asciiTheme="minorHAnsi" w:hAnsiTheme="minorHAnsi" w:cstheme="minorHAnsi"/>
          <w:sz w:val="22"/>
          <w:szCs w:val="24"/>
        </w:rPr>
        <w:t>Wstępna m</w:t>
      </w:r>
      <w:r w:rsidR="00F5613B" w:rsidRPr="003E4DEE">
        <w:rPr>
          <w:rFonts w:asciiTheme="minorHAnsi" w:hAnsiTheme="minorHAnsi" w:cstheme="minorHAnsi"/>
          <w:sz w:val="22"/>
          <w:szCs w:val="24"/>
        </w:rPr>
        <w:t>akieta głównego ekranu wyboru parametrów zestawienia</w:t>
      </w:r>
    </w:p>
    <w:p w14:paraId="6D5DAFF3" w14:textId="77777777" w:rsidR="00F5613B" w:rsidRDefault="00F5613B" w:rsidP="00F5613B">
      <w:r>
        <w:rPr>
          <w:noProof/>
          <w:lang w:eastAsia="pl-PL"/>
        </w:rPr>
        <w:drawing>
          <wp:inline distT="0" distB="0" distL="0" distR="0" wp14:anchorId="327CB2EE" wp14:editId="53F6D74A">
            <wp:extent cx="4780040" cy="5171846"/>
            <wp:effectExtent l="0" t="0" r="1905" b="0"/>
            <wp:docPr id="2" name="Picture 2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braz zawierający tekst, zrzut ekranu, numer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900" cy="518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E0B5" w14:textId="77777777" w:rsidR="00F5613B" w:rsidRDefault="00F5613B" w:rsidP="00F5613B"/>
    <w:p w14:paraId="67405B17" w14:textId="04CC78EB" w:rsidR="00F5613B" w:rsidRPr="003D1045" w:rsidRDefault="00F5613B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  <w:r w:rsidRPr="003D1045">
        <w:rPr>
          <w:rFonts w:asciiTheme="minorHAnsi" w:hAnsiTheme="minorHAnsi" w:cstheme="minorHAnsi"/>
          <w:sz w:val="22"/>
          <w:szCs w:val="24"/>
        </w:rPr>
        <w:lastRenderedPageBreak/>
        <w:t xml:space="preserve">Makieta </w:t>
      </w:r>
      <w:proofErr w:type="spellStart"/>
      <w:r w:rsidR="003D1045">
        <w:rPr>
          <w:rFonts w:asciiTheme="minorHAnsi" w:hAnsiTheme="minorHAnsi" w:cstheme="minorHAnsi"/>
          <w:sz w:val="22"/>
          <w:szCs w:val="24"/>
        </w:rPr>
        <w:t>modalu</w:t>
      </w:r>
      <w:proofErr w:type="spellEnd"/>
      <w:r w:rsidRPr="003D1045">
        <w:rPr>
          <w:rFonts w:asciiTheme="minorHAnsi" w:hAnsiTheme="minorHAnsi" w:cstheme="minorHAnsi"/>
          <w:sz w:val="22"/>
          <w:szCs w:val="24"/>
        </w:rPr>
        <w:t xml:space="preserve"> wyboru kodów CN prezentujący się po wybraniu opcji „Wybierz kody CN”</w:t>
      </w:r>
    </w:p>
    <w:p w14:paraId="2AF36B4E" w14:textId="77777777" w:rsidR="00F5613B" w:rsidRDefault="00F5613B" w:rsidP="00F5613B">
      <w:r>
        <w:rPr>
          <w:noProof/>
          <w:lang w:eastAsia="pl-PL"/>
        </w:rPr>
        <w:drawing>
          <wp:inline distT="0" distB="0" distL="0" distR="0" wp14:anchorId="303A964D" wp14:editId="52A4DC6B">
            <wp:extent cx="4637836" cy="4460028"/>
            <wp:effectExtent l="0" t="0" r="0" b="0"/>
            <wp:docPr id="3" name="Picture 3" descr="Obraz zawierający tekst, zrzut ekranu, numer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braz zawierający tekst, zrzut ekranu, numer, oprogram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62" cy="446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6308" w14:textId="04F7BEE3" w:rsidR="00F5613B" w:rsidRDefault="003E4DEE" w:rsidP="00F5613B">
      <w:r>
        <w:t>Powyższe drzewko wyboru kodów CN jest zaimplementowane w EXPORT INTELLIGENCE (</w:t>
      </w:r>
      <w:proofErr w:type="gramStart"/>
      <w:r>
        <w:t>za wyjątkiem</w:t>
      </w:r>
      <w:proofErr w:type="gramEnd"/>
      <w:r>
        <w:t xml:space="preserve"> możliwości wyboru kodu 8-cyfrowe</w:t>
      </w:r>
      <w:r w:rsidR="00290EF5">
        <w:t>g</w:t>
      </w:r>
      <w:r>
        <w:t>o) i po modyfikacji możliwe będzie jego wykorzystanie na potrzeby GDH.</w:t>
      </w:r>
    </w:p>
    <w:p w14:paraId="21BDD96A" w14:textId="494EDCD8" w:rsidR="007210D8" w:rsidRDefault="007210D8" w:rsidP="00F5613B">
      <w:r>
        <w:t>W przypadku rozbieżności między powyższą makietą a poniższa tabelą decydująca jest poniższa tabela z opisem pożądanych funkcjonalności GDH.</w:t>
      </w:r>
    </w:p>
    <w:p w14:paraId="5AABFF9F" w14:textId="77777777" w:rsidR="00F5613B" w:rsidRDefault="00F5613B" w:rsidP="00F561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37A6F2D" w14:textId="77777777" w:rsidR="00F5613B" w:rsidRPr="003D1045" w:rsidRDefault="00F5613B" w:rsidP="00F5613B">
      <w:pPr>
        <w:pStyle w:val="Nagwek1"/>
        <w:rPr>
          <w:rFonts w:asciiTheme="minorHAnsi" w:hAnsiTheme="minorHAnsi" w:cstheme="minorHAnsi"/>
          <w:sz w:val="22"/>
          <w:szCs w:val="24"/>
        </w:rPr>
      </w:pPr>
      <w:r w:rsidRPr="003D1045">
        <w:rPr>
          <w:rFonts w:asciiTheme="minorHAnsi" w:hAnsiTheme="minorHAnsi" w:cstheme="minorHAnsi"/>
          <w:sz w:val="22"/>
          <w:szCs w:val="24"/>
        </w:rPr>
        <w:lastRenderedPageBreak/>
        <w:t>Szczegółowy opis funkcjonalności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1644"/>
        <w:gridCol w:w="5841"/>
      </w:tblGrid>
      <w:tr w:rsidR="008B7312" w:rsidRPr="006F01C7" w14:paraId="19656BBB" w14:textId="77777777" w:rsidTr="00740FEC">
        <w:tc>
          <w:tcPr>
            <w:tcW w:w="0" w:type="auto"/>
            <w:vAlign w:val="center"/>
          </w:tcPr>
          <w:p w14:paraId="5B07C0DA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Dane</w:t>
            </w:r>
          </w:p>
        </w:tc>
        <w:tc>
          <w:tcPr>
            <w:tcW w:w="0" w:type="auto"/>
            <w:vAlign w:val="center"/>
          </w:tcPr>
          <w:p w14:paraId="537E4B2D" w14:textId="1A7849C1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radiobutton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(wybór jednokrotny / rozłączny)</w:t>
            </w:r>
          </w:p>
        </w:tc>
        <w:tc>
          <w:tcPr>
            <w:tcW w:w="0" w:type="auto"/>
            <w:vAlign w:val="center"/>
          </w:tcPr>
          <w:p w14:paraId="2F16F157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Eksport</w:t>
            </w:r>
          </w:p>
          <w:p w14:paraId="1E3550FA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Import wg kraju wysyłki</w:t>
            </w:r>
          </w:p>
          <w:p w14:paraId="7E704D66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Import wg kraju pochodzenia</w:t>
            </w:r>
          </w:p>
          <w:p w14:paraId="3556464E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Obroty (export + import wg kraju pochodzenia)</w:t>
            </w:r>
          </w:p>
          <w:p w14:paraId="49D3E8BD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Saldo (export – import wg kraju pochodzenia)</w:t>
            </w:r>
          </w:p>
          <w:p w14:paraId="619482A9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B7312" w:rsidRPr="006F01C7" w14:paraId="6A05497F" w14:textId="77777777" w:rsidTr="00740FEC">
        <w:tc>
          <w:tcPr>
            <w:tcW w:w="0" w:type="auto"/>
            <w:vAlign w:val="center"/>
          </w:tcPr>
          <w:p w14:paraId="62E2B2B5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Jednostki</w:t>
            </w:r>
          </w:p>
        </w:tc>
        <w:tc>
          <w:tcPr>
            <w:tcW w:w="0" w:type="auto"/>
            <w:vAlign w:val="center"/>
          </w:tcPr>
          <w:p w14:paraId="2DEEB86D" w14:textId="2E735B0A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radiobutton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(wybór jednokrotny / rozłączny)</w:t>
            </w:r>
          </w:p>
        </w:tc>
        <w:tc>
          <w:tcPr>
            <w:tcW w:w="0" w:type="auto"/>
            <w:vAlign w:val="center"/>
          </w:tcPr>
          <w:p w14:paraId="3A25EBF0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EUR</w:t>
            </w:r>
          </w:p>
          <w:p w14:paraId="5BD934D2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USD</w:t>
            </w:r>
          </w:p>
          <w:p w14:paraId="36CC45F0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PLN</w:t>
            </w:r>
          </w:p>
          <w:p w14:paraId="55A3E65F" w14:textId="77777777" w:rsidR="00F5613B" w:rsidRPr="009A03C2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KG</w:t>
            </w:r>
          </w:p>
          <w:p w14:paraId="0BC9B0B8" w14:textId="77777777" w:rsidR="00F5613B" w:rsidRPr="00EE1EF5" w:rsidRDefault="00F561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6"/>
              <w:rPr>
                <w:rFonts w:cstheme="minorHAnsi"/>
                <w:sz w:val="18"/>
                <w:szCs w:val="18"/>
              </w:rPr>
            </w:pPr>
            <w:r w:rsidRPr="00EE1EF5">
              <w:rPr>
                <w:rFonts w:cstheme="minorHAnsi"/>
                <w:sz w:val="18"/>
                <w:szCs w:val="18"/>
              </w:rPr>
              <w:t>Jednostki naturalne (w tabeli wyświetlana jest jednostka zgodnie z danymi źródłowymi)</w:t>
            </w:r>
          </w:p>
          <w:p w14:paraId="538D2D07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B7312" w:rsidRPr="006F01C7" w14:paraId="6D7AF298" w14:textId="77777777" w:rsidTr="00740FEC">
        <w:tc>
          <w:tcPr>
            <w:tcW w:w="0" w:type="auto"/>
            <w:vAlign w:val="center"/>
          </w:tcPr>
          <w:p w14:paraId="67E172D0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Kody CN</w:t>
            </w:r>
          </w:p>
        </w:tc>
        <w:tc>
          <w:tcPr>
            <w:tcW w:w="0" w:type="auto"/>
            <w:vAlign w:val="center"/>
          </w:tcPr>
          <w:p w14:paraId="4EFE820F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Pole tekstowe</w:t>
            </w:r>
          </w:p>
        </w:tc>
        <w:tc>
          <w:tcPr>
            <w:tcW w:w="0" w:type="auto"/>
            <w:vAlign w:val="center"/>
          </w:tcPr>
          <w:p w14:paraId="14D053E4" w14:textId="79CA3162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Pole testowe uzupełniane na podstawie</w:t>
            </w:r>
            <w:r w:rsidR="007210D8">
              <w:rPr>
                <w:rFonts w:cstheme="minorHAnsi"/>
                <w:sz w:val="18"/>
                <w:szCs w:val="18"/>
              </w:rPr>
              <w:t xml:space="preserve"> wprowadzonego tekstu (kody oddzielone przecinkami) lub</w:t>
            </w:r>
            <w:r w:rsidRPr="009A03C2">
              <w:rPr>
                <w:rFonts w:cstheme="minorHAnsi"/>
                <w:sz w:val="18"/>
                <w:szCs w:val="18"/>
              </w:rPr>
              <w:t xml:space="preserve"> wyboru CN z drzewa prezentowanego na </w:t>
            </w:r>
            <w:proofErr w:type="spellStart"/>
            <w:r w:rsidRPr="009A03C2">
              <w:rPr>
                <w:rFonts w:cstheme="minorHAnsi"/>
                <w:sz w:val="18"/>
                <w:szCs w:val="18"/>
              </w:rPr>
              <w:t>modalu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po wybraniu opcji „Wybierz kod CN”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7210D8">
              <w:rPr>
                <w:rFonts w:cstheme="minorHAnsi"/>
                <w:sz w:val="18"/>
                <w:szCs w:val="18"/>
              </w:rPr>
              <w:t xml:space="preserve"> Wybranie kodów z drzewa powoduje wypełnienie pola tekstowego odpowiednimi kodami oddzielonymi przecinkami. Z drugiej strony wypełnienie pola tekstowego kodami oddzielonymi przecinkami powoduje po wyświetleniu </w:t>
            </w:r>
            <w:proofErr w:type="spellStart"/>
            <w:r w:rsidR="007210D8">
              <w:rPr>
                <w:rFonts w:cstheme="minorHAnsi"/>
                <w:sz w:val="18"/>
                <w:szCs w:val="18"/>
              </w:rPr>
              <w:t>modalu</w:t>
            </w:r>
            <w:proofErr w:type="spellEnd"/>
            <w:r w:rsidR="007210D8">
              <w:rPr>
                <w:rFonts w:cstheme="minorHAnsi"/>
                <w:sz w:val="18"/>
                <w:szCs w:val="18"/>
              </w:rPr>
              <w:t xml:space="preserve"> odznaczenie odpowiednich kodów CN.</w:t>
            </w:r>
          </w:p>
          <w:p w14:paraId="172F0E86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Logika działania drzewa zgodnie z obecnym działaniem wyboru kodów HS w procesie generowania raportów, z następującymi zmianami:</w:t>
            </w:r>
          </w:p>
          <w:p w14:paraId="034CE31B" w14:textId="77777777" w:rsidR="00F5613B" w:rsidRPr="009A03C2" w:rsidRDefault="00F5613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możliwość wyboru kodów CN również na 8 poziomie</w:t>
            </w:r>
          </w:p>
          <w:p w14:paraId="37B12DAB" w14:textId="4039305A" w:rsidR="00F5613B" w:rsidRPr="009A03C2" w:rsidRDefault="00F5613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dodatkowy </w:t>
            </w: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check-box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„pobierz dane z kodów nadrzędnych” – oznaczenie powoduje, że w raporcie prezentowane są dane z oznaczonego poziomu CN oraz wszystkie nadrzędne w drzewie (nazwy i kody sekcji oraz CN-ów 2D, 4D, 6D i 8D powinny być prezentowane w </w:t>
            </w:r>
            <w:r w:rsidR="008B7312">
              <w:rPr>
                <w:rFonts w:cstheme="minorHAnsi"/>
                <w:sz w:val="18"/>
                <w:szCs w:val="18"/>
              </w:rPr>
              <w:t xml:space="preserve">wynikowym </w:t>
            </w:r>
            <w:r w:rsidR="007210D8">
              <w:rPr>
                <w:rFonts w:cstheme="minorHAnsi"/>
                <w:sz w:val="18"/>
                <w:szCs w:val="18"/>
              </w:rPr>
              <w:t xml:space="preserve">zestawieniu </w:t>
            </w:r>
            <w:r w:rsidR="008B7312">
              <w:rPr>
                <w:rFonts w:cstheme="minorHAnsi"/>
                <w:sz w:val="18"/>
                <w:szCs w:val="18"/>
              </w:rPr>
              <w:t xml:space="preserve">w sposób </w:t>
            </w:r>
            <w:r w:rsidRPr="009A03C2">
              <w:rPr>
                <w:rFonts w:cstheme="minorHAnsi"/>
                <w:sz w:val="18"/>
                <w:szCs w:val="18"/>
              </w:rPr>
              <w:t>umożliwi</w:t>
            </w:r>
            <w:r w:rsidR="008B7312">
              <w:rPr>
                <w:rFonts w:cstheme="minorHAnsi"/>
                <w:sz w:val="18"/>
                <w:szCs w:val="18"/>
              </w:rPr>
              <w:t>ający</w:t>
            </w:r>
            <w:r w:rsidRPr="009A03C2">
              <w:rPr>
                <w:rFonts w:cstheme="minorHAnsi"/>
                <w:sz w:val="18"/>
                <w:szCs w:val="18"/>
              </w:rPr>
              <w:t xml:space="preserve"> łatwe wyfiltrowanie kodów odpowiedniego poziomu poprzez filtr na danej kolumnie).</w:t>
            </w:r>
          </w:p>
          <w:p w14:paraId="2331CF11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Dane w raporcie prezentowane są w kolejnych wierszach. </w:t>
            </w:r>
          </w:p>
          <w:p w14:paraId="48E196C4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Możliwość wyboru jednocześnie grup towarowych, sekcji, działów. W drzewie prezentowany jest dodatkowo TOTAL – poziom nadrzędny dla wszystkich sekcji CN.</w:t>
            </w:r>
          </w:p>
          <w:p w14:paraId="6EA93C4B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Przy </w:t>
            </w: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„Pokaż dane z poziomów nadrzędnych”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A03C2">
              <w:rPr>
                <w:rFonts w:cstheme="minorHAnsi"/>
                <w:sz w:val="18"/>
                <w:szCs w:val="18"/>
              </w:rPr>
              <w:t xml:space="preserve">będzie dodatkowy komunikat </w:t>
            </w:r>
            <w:r>
              <w:rPr>
                <w:rFonts w:cstheme="minorHAnsi"/>
                <w:sz w:val="18"/>
                <w:szCs w:val="18"/>
              </w:rPr>
              <w:t>„</w:t>
            </w:r>
            <w:r w:rsidRPr="009A03C2">
              <w:rPr>
                <w:rFonts w:cstheme="minorHAnsi"/>
                <w:sz w:val="18"/>
                <w:szCs w:val="18"/>
              </w:rPr>
              <w:t xml:space="preserve">*dane nie są uwzględniane przy wyliczeniu udziałów”. </w:t>
            </w:r>
          </w:p>
        </w:tc>
      </w:tr>
      <w:tr w:rsidR="008B7312" w:rsidRPr="006F01C7" w14:paraId="41B2BD56" w14:textId="77777777" w:rsidTr="00740FEC">
        <w:tc>
          <w:tcPr>
            <w:tcW w:w="0" w:type="auto"/>
            <w:vAlign w:val="center"/>
          </w:tcPr>
          <w:p w14:paraId="20B99A0C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Predefiniowane grupy towarowe</w:t>
            </w:r>
          </w:p>
        </w:tc>
        <w:tc>
          <w:tcPr>
            <w:tcW w:w="0" w:type="auto"/>
            <w:vAlign w:val="center"/>
          </w:tcPr>
          <w:p w14:paraId="0B577656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Lista wyboru (słownik)</w:t>
            </w:r>
          </w:p>
        </w:tc>
        <w:tc>
          <w:tcPr>
            <w:tcW w:w="0" w:type="auto"/>
            <w:vAlign w:val="center"/>
          </w:tcPr>
          <w:p w14:paraId="16A1B72C" w14:textId="77777777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Grupy towarowe zgodnie z obecnie zdefiniowanym w systemie słownikiem grup towarowych</w:t>
            </w:r>
            <w:r w:rsidR="008B7312">
              <w:rPr>
                <w:rFonts w:cstheme="minorHAnsi"/>
                <w:sz w:val="18"/>
                <w:szCs w:val="18"/>
              </w:rPr>
              <w:t>. W EI zdefiniowano 60+ branż predefiniowanych bazując na 4-cyfrowych kodach CN. L</w:t>
            </w:r>
            <w:r w:rsidRPr="009A03C2">
              <w:rPr>
                <w:rFonts w:cstheme="minorHAnsi"/>
                <w:sz w:val="18"/>
                <w:szCs w:val="18"/>
              </w:rPr>
              <w:t xml:space="preserve">ogika działania pola </w:t>
            </w:r>
            <w:r w:rsidR="008B7312">
              <w:rPr>
                <w:rFonts w:cstheme="minorHAnsi"/>
                <w:sz w:val="18"/>
                <w:szCs w:val="18"/>
              </w:rPr>
              <w:t xml:space="preserve">analogiczna do wyboru kodów CN z </w:t>
            </w:r>
            <w:proofErr w:type="spellStart"/>
            <w:r w:rsidR="008B7312">
              <w:rPr>
                <w:rFonts w:cstheme="minorHAnsi"/>
                <w:sz w:val="18"/>
                <w:szCs w:val="18"/>
              </w:rPr>
              <w:t>modalu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(wybór wartości słownikowej powoduje wstawienie w pole „Kody CN” przypisanej do danej pozycji słownikowej listy kodów CN</w:t>
            </w:r>
            <w:r w:rsidR="008B7312">
              <w:rPr>
                <w:rFonts w:cstheme="minorHAnsi"/>
                <w:sz w:val="18"/>
                <w:szCs w:val="18"/>
              </w:rPr>
              <w:t xml:space="preserve"> oddzielonych przecinkami</w:t>
            </w:r>
            <w:r w:rsidRPr="009A03C2">
              <w:rPr>
                <w:rFonts w:cstheme="minorHAnsi"/>
                <w:sz w:val="18"/>
                <w:szCs w:val="18"/>
              </w:rPr>
              <w:t>).</w:t>
            </w:r>
          </w:p>
          <w:p w14:paraId="356368A8" w14:textId="5142E155" w:rsidR="00A02B9C" w:rsidRPr="009A03C2" w:rsidRDefault="00A02B9C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Jeśli użytkownik wybrał predefiniowaną grupę towarową, a następnie zmodyfikował kody CN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modalu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to uważa się, że tej grupy nie wybrał, tylko wybrał personalizowane kody CN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modalu</w:t>
            </w:r>
            <w:proofErr w:type="spellEnd"/>
            <w:r>
              <w:rPr>
                <w:rFonts w:cstheme="minorHAnsi"/>
                <w:sz w:val="18"/>
                <w:szCs w:val="18"/>
              </w:rPr>
              <w:t>, a nazwa grupy predefiniowanej znika z ekranu (brak wyboru).</w:t>
            </w:r>
          </w:p>
        </w:tc>
      </w:tr>
      <w:tr w:rsidR="008B7312" w:rsidRPr="006F01C7" w14:paraId="6F809741" w14:textId="77777777" w:rsidTr="00740FEC">
        <w:tc>
          <w:tcPr>
            <w:tcW w:w="0" w:type="auto"/>
            <w:vAlign w:val="center"/>
          </w:tcPr>
          <w:p w14:paraId="011670F3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Okres (poziom agregacji)</w:t>
            </w:r>
          </w:p>
        </w:tc>
        <w:tc>
          <w:tcPr>
            <w:tcW w:w="0" w:type="auto"/>
            <w:vAlign w:val="center"/>
          </w:tcPr>
          <w:p w14:paraId="54F7D28C" w14:textId="4D2563D2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radio (wybór jednokrotny / rozłączny)</w:t>
            </w:r>
          </w:p>
        </w:tc>
        <w:tc>
          <w:tcPr>
            <w:tcW w:w="0" w:type="auto"/>
            <w:vAlign w:val="center"/>
          </w:tcPr>
          <w:p w14:paraId="42552E82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Poziom agregacji:</w:t>
            </w:r>
          </w:p>
          <w:p w14:paraId="58E61AE0" w14:textId="77777777" w:rsidR="00F5613B" w:rsidRPr="009A03C2" w:rsidRDefault="00F5613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lata</w:t>
            </w:r>
          </w:p>
          <w:p w14:paraId="0EA1E190" w14:textId="77777777" w:rsidR="00F5613B" w:rsidRPr="009A03C2" w:rsidRDefault="00F5613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kwartały</w:t>
            </w:r>
          </w:p>
          <w:p w14:paraId="73571126" w14:textId="77777777" w:rsidR="00F5613B" w:rsidRDefault="00F5613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miesiące</w:t>
            </w:r>
          </w:p>
          <w:p w14:paraId="5C10AC28" w14:textId="7FD293BF" w:rsidR="008B7312" w:rsidRPr="009A03C2" w:rsidRDefault="008B731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suma z miesięcy od początku roku</w:t>
            </w:r>
          </w:p>
          <w:p w14:paraId="6E39D5B7" w14:textId="77777777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Dane w raporcie prezentowane są kolejno w osobnych kolumnach. Dane miesięczne prezentowane są z danych źródłowych, bez przetworzenia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BC8B183" w14:textId="4B23B395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D</w:t>
            </w:r>
            <w:r w:rsidRPr="009A03C2">
              <w:rPr>
                <w:rFonts w:cstheme="minorHAnsi"/>
                <w:sz w:val="18"/>
                <w:szCs w:val="18"/>
              </w:rPr>
              <w:t>ane kwartalne</w:t>
            </w:r>
            <w:r w:rsidR="008B7312">
              <w:rPr>
                <w:rFonts w:cstheme="minorHAnsi"/>
                <w:sz w:val="18"/>
                <w:szCs w:val="18"/>
              </w:rPr>
              <w:t>,</w:t>
            </w:r>
            <w:r w:rsidRPr="009A03C2">
              <w:rPr>
                <w:rFonts w:cstheme="minorHAnsi"/>
                <w:sz w:val="18"/>
                <w:szCs w:val="18"/>
              </w:rPr>
              <w:t xml:space="preserve"> roczne </w:t>
            </w:r>
            <w:r w:rsidR="008B7312">
              <w:rPr>
                <w:rFonts w:cstheme="minorHAnsi"/>
                <w:sz w:val="18"/>
                <w:szCs w:val="18"/>
              </w:rPr>
              <w:t xml:space="preserve">i suma z miesięcy od początku roku </w:t>
            </w:r>
            <w:r w:rsidRPr="009A03C2">
              <w:rPr>
                <w:rFonts w:cstheme="minorHAnsi"/>
                <w:sz w:val="18"/>
                <w:szCs w:val="18"/>
              </w:rPr>
              <w:t>będą wyliczane poprzez sumowanie danych miesięczny</w:t>
            </w:r>
            <w:r>
              <w:rPr>
                <w:rFonts w:cstheme="minorHAnsi"/>
                <w:sz w:val="18"/>
                <w:szCs w:val="18"/>
              </w:rPr>
              <w:t>ch</w:t>
            </w:r>
            <w:r w:rsidRPr="009A03C2">
              <w:rPr>
                <w:rFonts w:cstheme="minorHAnsi"/>
                <w:sz w:val="18"/>
                <w:szCs w:val="18"/>
              </w:rPr>
              <w:t>.</w:t>
            </w:r>
          </w:p>
          <w:p w14:paraId="0C93CE91" w14:textId="77777777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W przypadku braku danych do wyliczeń np. dla agregacji kwartalnej brak jednego miesiąca (np. marca 2021 z I kwartału 2021) dane nie będą wyliczone.</w:t>
            </w:r>
            <w:r w:rsidR="008B7312">
              <w:rPr>
                <w:rFonts w:cstheme="minorHAnsi"/>
                <w:sz w:val="18"/>
                <w:szCs w:val="18"/>
              </w:rPr>
              <w:t xml:space="preserve"> Identycznie dla okresu rocznego.</w:t>
            </w:r>
          </w:p>
          <w:p w14:paraId="471CDAFB" w14:textId="77777777" w:rsidR="008B7312" w:rsidRDefault="008B7312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Wybór „Lata” spowoduje wygenerowanie danych za pełne zakończone lata</w:t>
            </w:r>
            <w:r w:rsidR="008909BF">
              <w:rPr>
                <w:rFonts w:cstheme="minorHAnsi"/>
                <w:sz w:val="18"/>
                <w:szCs w:val="18"/>
              </w:rPr>
              <w:t xml:space="preserve"> dla lat, dla których system ma wszystkie 12 miesięcy.</w:t>
            </w:r>
          </w:p>
          <w:p w14:paraId="0B25F9A4" w14:textId="77777777" w:rsidR="008909BF" w:rsidRDefault="008909BF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Wybór „Kwartały” spowoduje wygenerowanie danych za pełne zakończone kwartały dla okresów, dla których system ma wszystkie 3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miesięce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3F4F533D" w14:textId="77777777" w:rsidR="008909BF" w:rsidRDefault="008909BF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Wybór „Miesiące” spowoduje wygenerowanie danych miesięcznych, bez przeliczeń.</w:t>
            </w:r>
          </w:p>
          <w:p w14:paraId="1D4EB4F3" w14:textId="782BB20C" w:rsidR="008909BF" w:rsidRPr="009A03C2" w:rsidRDefault="008909BF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Wybór „suma z miesięcy od początku roku” spowoduje wygenerowanie danych dla każdego roku, ale tylko suma za miesiące, dla których system ma dane dla najnowszego roku. Np. jeśli w systemie są dostępne dane do listopada 2023, to system wygeneruje sumę eksportu lub importu dla każdego wskazanego roku, ale tylko za miesiące I-XI dl każdego z lat. Umożliwi to porównanie aktualnego roku do lat poprzednich za analogiczny okres.</w:t>
            </w:r>
          </w:p>
        </w:tc>
      </w:tr>
      <w:tr w:rsidR="008B7312" w:rsidRPr="006F01C7" w14:paraId="56BD2308" w14:textId="77777777" w:rsidTr="00740FEC">
        <w:tc>
          <w:tcPr>
            <w:tcW w:w="0" w:type="auto"/>
            <w:vAlign w:val="center"/>
          </w:tcPr>
          <w:p w14:paraId="333795AB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lastRenderedPageBreak/>
              <w:t>Okres</w:t>
            </w:r>
          </w:p>
        </w:tc>
        <w:tc>
          <w:tcPr>
            <w:tcW w:w="0" w:type="auto"/>
            <w:vAlign w:val="center"/>
          </w:tcPr>
          <w:p w14:paraId="7675A11A" w14:textId="14384114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Lista wyboru (słownik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E46B9B">
              <w:rPr>
                <w:rFonts w:cstheme="minorHAnsi"/>
                <w:sz w:val="18"/>
                <w:szCs w:val="18"/>
              </w:rPr>
              <w:t>wybór jednokrotny / rozłączny</w:t>
            </w:r>
            <w:r w:rsidRPr="009A03C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19B25670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Wybór okresu Od Do umawiający określenie okresu (pole zależne od pola Okres (poziom agregacji) – umożliwia wybór lat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9A03C2">
              <w:rPr>
                <w:rFonts w:cstheme="minorHAnsi"/>
                <w:sz w:val="18"/>
                <w:szCs w:val="18"/>
              </w:rPr>
              <w:t xml:space="preserve"> kwartałów </w:t>
            </w:r>
            <w:r>
              <w:rPr>
                <w:rFonts w:cstheme="minorHAnsi"/>
                <w:sz w:val="18"/>
                <w:szCs w:val="18"/>
              </w:rPr>
              <w:t>albo</w:t>
            </w:r>
            <w:r w:rsidRPr="009A03C2">
              <w:rPr>
                <w:rFonts w:cstheme="minorHAnsi"/>
                <w:sz w:val="18"/>
                <w:szCs w:val="18"/>
              </w:rPr>
              <w:t xml:space="preserve"> miesięcy.</w:t>
            </w:r>
          </w:p>
          <w:p w14:paraId="08DD0E2B" w14:textId="77777777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Dane w raporcie prezentowane są kolejno w osobnych kolumnach w podziale na wybrany poziom agregacji z pola „Poziom agregacji”.</w:t>
            </w:r>
          </w:p>
          <w:p w14:paraId="69AAC10E" w14:textId="2566B1C4" w:rsidR="008909BF" w:rsidRPr="009A03C2" w:rsidRDefault="008909BF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 wyborze „Suma miesięcy od początku roku” możliwy powinien być wybór lat.</w:t>
            </w:r>
          </w:p>
        </w:tc>
      </w:tr>
      <w:tr w:rsidR="008B7312" w:rsidRPr="006F01C7" w14:paraId="486D3148" w14:textId="77777777" w:rsidTr="00740FEC">
        <w:tc>
          <w:tcPr>
            <w:tcW w:w="0" w:type="auto"/>
            <w:vAlign w:val="center"/>
          </w:tcPr>
          <w:p w14:paraId="30F5C7CB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Suma z miesięcy od początku roku</w:t>
            </w:r>
          </w:p>
        </w:tc>
        <w:tc>
          <w:tcPr>
            <w:tcW w:w="0" w:type="auto"/>
            <w:vAlign w:val="center"/>
          </w:tcPr>
          <w:p w14:paraId="5FFE8113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</w:p>
        </w:tc>
        <w:tc>
          <w:tcPr>
            <w:tcW w:w="0" w:type="auto"/>
            <w:vAlign w:val="center"/>
          </w:tcPr>
          <w:p w14:paraId="41AA96EF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Funkcjonalność „Suma z miesięcy od początku roku” będzie realizowana w następujący sposób: w polu „Okres” wybieramy lata (jeden rok lub kilka lat). System zwraca skumulowaną wartość: sumę za miesiące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9A03C2">
              <w:rPr>
                <w:rFonts w:cstheme="minorHAnsi"/>
                <w:sz w:val="18"/>
                <w:szCs w:val="18"/>
              </w:rPr>
              <w:t xml:space="preserve"> dla których są najnowsze dane za rok bieżący + sumy za analogiczne miesiące ze wskazanych lat (nie są pokazywane poszczególne miesiące, tylko ich suma).</w:t>
            </w:r>
          </w:p>
        </w:tc>
      </w:tr>
      <w:tr w:rsidR="008B7312" w:rsidRPr="006F01C7" w14:paraId="330E6D11" w14:textId="77777777" w:rsidTr="00740FEC">
        <w:tc>
          <w:tcPr>
            <w:tcW w:w="0" w:type="auto"/>
            <w:vAlign w:val="center"/>
          </w:tcPr>
          <w:p w14:paraId="2008648F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Skala danych</w:t>
            </w:r>
          </w:p>
        </w:tc>
        <w:tc>
          <w:tcPr>
            <w:tcW w:w="0" w:type="auto"/>
            <w:vAlign w:val="center"/>
          </w:tcPr>
          <w:p w14:paraId="7D068DC6" w14:textId="6728685A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radio (wybór jednokrotny / rozłączny)</w:t>
            </w:r>
          </w:p>
        </w:tc>
        <w:tc>
          <w:tcPr>
            <w:tcW w:w="0" w:type="auto"/>
            <w:vAlign w:val="center"/>
          </w:tcPr>
          <w:p w14:paraId="7F79DE3C" w14:textId="77777777" w:rsidR="00F5613B" w:rsidRPr="009A03C2" w:rsidRDefault="00F5613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miliony</w:t>
            </w:r>
          </w:p>
          <w:p w14:paraId="014FA700" w14:textId="77777777" w:rsidR="00F5613B" w:rsidRPr="009A03C2" w:rsidRDefault="00F5613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tysiące</w:t>
            </w:r>
          </w:p>
          <w:p w14:paraId="67C66092" w14:textId="77777777" w:rsidR="00F5613B" w:rsidRPr="009A03C2" w:rsidRDefault="00F5613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bez przeliczenia</w:t>
            </w:r>
          </w:p>
          <w:p w14:paraId="4073BC5F" w14:textId="51DB63FD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Wybór powoduje prezentację przetworzonych danych, w nagłówkach kolumn dodawana jest informacja o skali danych „mln” </w:t>
            </w:r>
            <w:r>
              <w:rPr>
                <w:rFonts w:cstheme="minorHAnsi"/>
                <w:sz w:val="18"/>
                <w:szCs w:val="18"/>
              </w:rPr>
              <w:t>albo</w:t>
            </w:r>
            <w:r w:rsidRPr="009A03C2">
              <w:rPr>
                <w:rFonts w:cstheme="minorHAnsi"/>
                <w:sz w:val="18"/>
                <w:szCs w:val="18"/>
              </w:rPr>
              <w:t xml:space="preserve"> „tys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9A03C2">
              <w:rPr>
                <w:rFonts w:cstheme="minorHAnsi"/>
                <w:sz w:val="18"/>
                <w:szCs w:val="18"/>
              </w:rPr>
              <w:t>”</w:t>
            </w:r>
            <w:r w:rsidR="008909BF">
              <w:rPr>
                <w:rFonts w:cstheme="minorHAnsi"/>
                <w:sz w:val="18"/>
                <w:szCs w:val="18"/>
              </w:rPr>
              <w:t xml:space="preserve"> albo nic</w:t>
            </w:r>
            <w:r w:rsidRPr="009A03C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B7312" w:rsidRPr="003A7203" w14:paraId="697D191F" w14:textId="77777777" w:rsidTr="00740FEC">
        <w:tc>
          <w:tcPr>
            <w:tcW w:w="0" w:type="auto"/>
            <w:vAlign w:val="center"/>
          </w:tcPr>
          <w:p w14:paraId="4B7AF5E0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14:paraId="47375DE7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Pole wielokrotnego wyboru</w:t>
            </w:r>
          </w:p>
        </w:tc>
        <w:tc>
          <w:tcPr>
            <w:tcW w:w="0" w:type="auto"/>
            <w:vAlign w:val="center"/>
          </w:tcPr>
          <w:p w14:paraId="321A445B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Wybór jednego lub kilku wybranych krajów.</w:t>
            </w:r>
          </w:p>
          <w:p w14:paraId="563279F2" w14:textId="30264FFD" w:rsidR="00F5613B" w:rsidRPr="009A03C2" w:rsidRDefault="003B708F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Wykonawca przygotuje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 wyboru krajów (aktualnie nie ma w EI) analogiczny do drzewka wyboru CN. Drzewko miałoby 2 poziomy: kontynent i kraj. Działanie podobne do drzewka CN, w tym również możliwość odznaczenia „Pokaż dane dla kontynentu”</w:t>
            </w:r>
            <w:r w:rsidR="0084709B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B7312" w:rsidRPr="006F01C7" w14:paraId="16098760" w14:textId="77777777" w:rsidTr="00740FEC">
        <w:tc>
          <w:tcPr>
            <w:tcW w:w="0" w:type="auto"/>
            <w:vAlign w:val="center"/>
          </w:tcPr>
          <w:p w14:paraId="7F399CCA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Grupa krajów partnerskich</w:t>
            </w:r>
          </w:p>
        </w:tc>
        <w:tc>
          <w:tcPr>
            <w:tcW w:w="0" w:type="auto"/>
            <w:vAlign w:val="center"/>
          </w:tcPr>
          <w:p w14:paraId="6040EC1D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Lista wyboru (słownik)</w:t>
            </w:r>
          </w:p>
        </w:tc>
        <w:tc>
          <w:tcPr>
            <w:tcW w:w="0" w:type="auto"/>
            <w:vAlign w:val="center"/>
          </w:tcPr>
          <w:p w14:paraId="35AF02C1" w14:textId="6F550F7B" w:rsidR="00F5613B" w:rsidRPr="009A03C2" w:rsidRDefault="0084709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EI zdefiniowano kilkadziesiąt grup krajów: kontynenty, obszary geograficzne, organizacje międzynarodowe etc. </w:t>
            </w:r>
            <w:r w:rsidR="00F5613B" w:rsidRPr="009A03C2">
              <w:rPr>
                <w:rFonts w:cstheme="minorHAnsi"/>
                <w:sz w:val="18"/>
                <w:szCs w:val="18"/>
              </w:rPr>
              <w:t>Wybór powoduje podstawienie w pole „Kraj” wszystkich krajów przypisanych do danej grupy.</w:t>
            </w:r>
            <w:r>
              <w:rPr>
                <w:rFonts w:cstheme="minorHAnsi"/>
                <w:sz w:val="18"/>
                <w:szCs w:val="18"/>
              </w:rPr>
              <w:t xml:space="preserve"> W przypadku otwarcia okna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modalu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 wyboru krajów dane kraje będą odznaczone.</w:t>
            </w:r>
          </w:p>
        </w:tc>
      </w:tr>
      <w:tr w:rsidR="008B7312" w:rsidRPr="006F01C7" w14:paraId="59443A6E" w14:textId="77777777" w:rsidTr="00740FEC">
        <w:tc>
          <w:tcPr>
            <w:tcW w:w="0" w:type="auto"/>
            <w:vAlign w:val="center"/>
          </w:tcPr>
          <w:p w14:paraId="069B1883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Bez podziału na kraje</w:t>
            </w:r>
          </w:p>
        </w:tc>
        <w:tc>
          <w:tcPr>
            <w:tcW w:w="0" w:type="auto"/>
            <w:vAlign w:val="center"/>
          </w:tcPr>
          <w:p w14:paraId="07081AA2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</w:p>
        </w:tc>
        <w:tc>
          <w:tcPr>
            <w:tcW w:w="0" w:type="auto"/>
            <w:vAlign w:val="center"/>
          </w:tcPr>
          <w:p w14:paraId="598061E2" w14:textId="7B52BF19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Dane dla poszczególnych kodów CN są pokazywane jako suma wskazanych krajów, bez rozbicia na poszczególne kraje</w:t>
            </w:r>
            <w:r w:rsidR="0084709B">
              <w:rPr>
                <w:rFonts w:cstheme="minorHAnsi"/>
                <w:sz w:val="18"/>
                <w:szCs w:val="18"/>
              </w:rPr>
              <w:t>, np.:</w:t>
            </w:r>
          </w:p>
          <w:p w14:paraId="56B35129" w14:textId="6576464E" w:rsidR="0084709B" w:rsidRDefault="0084709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CN02232345 </w:t>
            </w:r>
            <w:r>
              <w:rPr>
                <w:rFonts w:cstheme="minorHAnsi"/>
                <w:sz w:val="18"/>
                <w:szCs w:val="18"/>
              </w:rPr>
              <w:t>Grupa krajów 7</w:t>
            </w:r>
            <w:r w:rsidRPr="009A03C2">
              <w:rPr>
                <w:rFonts w:cstheme="minorHAnsi"/>
                <w:sz w:val="18"/>
                <w:szCs w:val="18"/>
              </w:rPr>
              <w:t>00zł</w:t>
            </w:r>
            <w:r>
              <w:rPr>
                <w:rFonts w:cstheme="minorHAnsi"/>
                <w:sz w:val="18"/>
                <w:szCs w:val="18"/>
              </w:rPr>
              <w:t xml:space="preserve"> (suma eksportu lub importu do wszystkich wybranych krajów)</w:t>
            </w:r>
          </w:p>
          <w:p w14:paraId="2D37F9E3" w14:textId="77777777" w:rsidR="003B708F" w:rsidRPr="009A03C2" w:rsidRDefault="003B708F" w:rsidP="003B708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W przypadku braku wyboru </w:t>
            </w:r>
            <w:proofErr w:type="spellStart"/>
            <w:r>
              <w:rPr>
                <w:rFonts w:cstheme="minorHAnsi"/>
                <w:sz w:val="18"/>
                <w:szCs w:val="18"/>
              </w:rPr>
              <w:t>checkboxa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„</w:t>
            </w:r>
            <w:r w:rsidRPr="009A03C2">
              <w:rPr>
                <w:rFonts w:cstheme="minorHAnsi"/>
                <w:sz w:val="18"/>
                <w:szCs w:val="18"/>
              </w:rPr>
              <w:t>Bez podziału na kraje</w:t>
            </w:r>
            <w:r>
              <w:rPr>
                <w:rFonts w:cstheme="minorHAnsi"/>
                <w:sz w:val="18"/>
                <w:szCs w:val="18"/>
              </w:rPr>
              <w:t>” d</w:t>
            </w:r>
            <w:r w:rsidRPr="009A03C2">
              <w:rPr>
                <w:rFonts w:cstheme="minorHAnsi"/>
                <w:sz w:val="18"/>
                <w:szCs w:val="18"/>
              </w:rPr>
              <w:t>ane na raporcie prezentowane są jako powtórzenie kolejnych wierszy np.:</w:t>
            </w:r>
            <w:r w:rsidRPr="009A03C2">
              <w:rPr>
                <w:rFonts w:cstheme="minorHAnsi"/>
                <w:sz w:val="18"/>
                <w:szCs w:val="18"/>
              </w:rPr>
              <w:br/>
              <w:t>CN02232345 Niemcy 500zł</w:t>
            </w:r>
          </w:p>
          <w:p w14:paraId="5CF25F70" w14:textId="577A4AB0" w:rsidR="003B708F" w:rsidRPr="009A03C2" w:rsidRDefault="003B708F" w:rsidP="003B708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CN02232345 Francja 200zł</w:t>
            </w:r>
          </w:p>
        </w:tc>
      </w:tr>
      <w:tr w:rsidR="008B7312" w:rsidRPr="006F01C7" w14:paraId="41BAFADD" w14:textId="77777777" w:rsidTr="00740FEC">
        <w:tc>
          <w:tcPr>
            <w:tcW w:w="0" w:type="auto"/>
            <w:vAlign w:val="center"/>
          </w:tcPr>
          <w:p w14:paraId="298279A2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Bez podziału na towary</w:t>
            </w:r>
          </w:p>
        </w:tc>
        <w:tc>
          <w:tcPr>
            <w:tcW w:w="0" w:type="auto"/>
            <w:vAlign w:val="center"/>
          </w:tcPr>
          <w:p w14:paraId="0D81165E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</w:p>
        </w:tc>
        <w:tc>
          <w:tcPr>
            <w:tcW w:w="0" w:type="auto"/>
            <w:vAlign w:val="center"/>
          </w:tcPr>
          <w:p w14:paraId="3605F023" w14:textId="77777777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Dane dla poszczególnych krajów są pokazywane jako suma wskazanych kodów CN, bez</w:t>
            </w:r>
            <w:r>
              <w:rPr>
                <w:rFonts w:cstheme="minorHAnsi"/>
                <w:sz w:val="18"/>
                <w:szCs w:val="18"/>
              </w:rPr>
              <w:t xml:space="preserve"> rozbicia na poszczególne kody CN.</w:t>
            </w:r>
          </w:p>
          <w:p w14:paraId="7576D18B" w14:textId="0FB52652" w:rsidR="0084709B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Grupa towarowa Niemcy</w:t>
            </w:r>
            <w:r w:rsidRPr="009A03C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9A03C2">
              <w:rPr>
                <w:rFonts w:cstheme="minorHAnsi"/>
                <w:sz w:val="18"/>
                <w:szCs w:val="18"/>
              </w:rPr>
              <w:t>00zł</w:t>
            </w:r>
            <w:r>
              <w:rPr>
                <w:rFonts w:cstheme="minorHAnsi"/>
                <w:sz w:val="18"/>
                <w:szCs w:val="18"/>
              </w:rPr>
              <w:t xml:space="preserve"> (suma eksportu lub importu wszystkich wybranych towarów)</w:t>
            </w:r>
          </w:p>
          <w:p w14:paraId="13912FE6" w14:textId="2CD66E3B" w:rsidR="0084709B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Grupa towarowa Francja 200 zł</w:t>
            </w:r>
          </w:p>
          <w:p w14:paraId="6A51BB1A" w14:textId="3FF441AA" w:rsidR="0084709B" w:rsidRPr="009A03C2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W przypadku braku wyboru </w:t>
            </w:r>
            <w:proofErr w:type="spellStart"/>
            <w:r>
              <w:rPr>
                <w:rFonts w:cstheme="minorHAnsi"/>
                <w:sz w:val="18"/>
                <w:szCs w:val="18"/>
              </w:rPr>
              <w:t>checkboxa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„</w:t>
            </w:r>
            <w:r w:rsidRPr="009A03C2">
              <w:rPr>
                <w:rFonts w:cstheme="minorHAnsi"/>
                <w:sz w:val="18"/>
                <w:szCs w:val="18"/>
              </w:rPr>
              <w:t xml:space="preserve">Bez podziału na </w:t>
            </w:r>
            <w:r>
              <w:rPr>
                <w:rFonts w:cstheme="minorHAnsi"/>
                <w:sz w:val="18"/>
                <w:szCs w:val="18"/>
              </w:rPr>
              <w:t>towary” d</w:t>
            </w:r>
            <w:r w:rsidRPr="009A03C2">
              <w:rPr>
                <w:rFonts w:cstheme="minorHAnsi"/>
                <w:sz w:val="18"/>
                <w:szCs w:val="18"/>
              </w:rPr>
              <w:t>ane na raporcie prezentowane są jako powtórzenie kolejnych wierszy np.:</w:t>
            </w:r>
            <w:r w:rsidRPr="009A03C2">
              <w:rPr>
                <w:rFonts w:cstheme="minorHAnsi"/>
                <w:sz w:val="18"/>
                <w:szCs w:val="18"/>
              </w:rPr>
              <w:br/>
              <w:t xml:space="preserve">CN02232345 Niemcy </w:t>
            </w:r>
            <w:r>
              <w:rPr>
                <w:rFonts w:cstheme="minorHAnsi"/>
                <w:sz w:val="18"/>
                <w:szCs w:val="18"/>
              </w:rPr>
              <w:t>250</w:t>
            </w:r>
            <w:r w:rsidRPr="009A03C2">
              <w:rPr>
                <w:rFonts w:cstheme="minorHAnsi"/>
                <w:sz w:val="18"/>
                <w:szCs w:val="18"/>
              </w:rPr>
              <w:t>zł</w:t>
            </w:r>
          </w:p>
          <w:p w14:paraId="0F6AE868" w14:textId="686EF691" w:rsidR="0084709B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CN02232345 Francja 100zł</w:t>
            </w:r>
          </w:p>
          <w:p w14:paraId="1362A065" w14:textId="2432EADA" w:rsidR="0084709B" w:rsidRPr="009A03C2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CN0223234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9A03C2">
              <w:rPr>
                <w:rFonts w:cstheme="minorHAnsi"/>
                <w:sz w:val="18"/>
                <w:szCs w:val="18"/>
              </w:rPr>
              <w:t xml:space="preserve"> Niemcy </w:t>
            </w:r>
            <w:r>
              <w:rPr>
                <w:rFonts w:cstheme="minorHAnsi"/>
                <w:sz w:val="18"/>
                <w:szCs w:val="18"/>
              </w:rPr>
              <w:t>250</w:t>
            </w:r>
            <w:r w:rsidRPr="009A03C2">
              <w:rPr>
                <w:rFonts w:cstheme="minorHAnsi"/>
                <w:sz w:val="18"/>
                <w:szCs w:val="18"/>
              </w:rPr>
              <w:t>zł</w:t>
            </w:r>
          </w:p>
          <w:p w14:paraId="3F38A0F5" w14:textId="77777777" w:rsidR="0084709B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CN02232346 Francja 100zł</w:t>
            </w:r>
          </w:p>
          <w:p w14:paraId="70450960" w14:textId="77777777" w:rsidR="0084709B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przypadku jednoczesnego wyboru „Bez podziału na towary” i „Bez podziału na kraje” GDH wygeneruje jeden wiersz danych:</w:t>
            </w:r>
          </w:p>
          <w:p w14:paraId="2C43D7CF" w14:textId="0BDFD48D" w:rsidR="0084709B" w:rsidRPr="009A03C2" w:rsidRDefault="0084709B" w:rsidP="0084709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Grupa towarowa Grupa krajów 700 zł</w:t>
            </w:r>
          </w:p>
        </w:tc>
      </w:tr>
      <w:tr w:rsidR="008B7312" w:rsidRPr="006F01C7" w14:paraId="2048881B" w14:textId="77777777" w:rsidTr="00740FEC">
        <w:tc>
          <w:tcPr>
            <w:tcW w:w="0" w:type="auto"/>
            <w:vAlign w:val="center"/>
          </w:tcPr>
          <w:p w14:paraId="3D36C1E2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lastRenderedPageBreak/>
              <w:t>Dane narastająco</w:t>
            </w:r>
          </w:p>
        </w:tc>
        <w:tc>
          <w:tcPr>
            <w:tcW w:w="0" w:type="auto"/>
            <w:vAlign w:val="center"/>
          </w:tcPr>
          <w:p w14:paraId="78B8CD85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</w:p>
        </w:tc>
        <w:tc>
          <w:tcPr>
            <w:tcW w:w="0" w:type="auto"/>
            <w:vAlign w:val="center"/>
          </w:tcPr>
          <w:p w14:paraId="64B16006" w14:textId="77777777" w:rsidR="00F5613B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Dane w raporcie prezentowane są kolejno w osobnych kolumnach. Dane wyliczane są narastająco np. </w:t>
            </w:r>
            <w:r>
              <w:rPr>
                <w:rFonts w:cstheme="minorHAnsi"/>
                <w:sz w:val="18"/>
                <w:szCs w:val="18"/>
              </w:rPr>
              <w:t xml:space="preserve">w </w:t>
            </w:r>
            <w:proofErr w:type="gramStart"/>
            <w:r>
              <w:rPr>
                <w:rFonts w:cstheme="minorHAnsi"/>
                <w:sz w:val="18"/>
                <w:szCs w:val="18"/>
              </w:rPr>
              <w:t>miesiącu marcu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pokazywana jest suma styczeń 10PLN + </w:t>
            </w:r>
            <w:r w:rsidRPr="009A03C2">
              <w:rPr>
                <w:rFonts w:cstheme="minorHAnsi"/>
                <w:sz w:val="18"/>
                <w:szCs w:val="18"/>
              </w:rPr>
              <w:t xml:space="preserve">luty 15PLN + </w:t>
            </w:r>
            <w:r>
              <w:rPr>
                <w:rFonts w:cstheme="minorHAnsi"/>
                <w:sz w:val="18"/>
                <w:szCs w:val="18"/>
              </w:rPr>
              <w:t xml:space="preserve">marzec </w:t>
            </w:r>
            <w:r w:rsidRPr="009A03C2">
              <w:rPr>
                <w:rFonts w:cstheme="minorHAnsi"/>
                <w:sz w:val="18"/>
                <w:szCs w:val="18"/>
              </w:rPr>
              <w:t>10PLN. Wartości są zależne od wybranego poziomu agregacji</w:t>
            </w:r>
            <w:r>
              <w:rPr>
                <w:rFonts w:cstheme="minorHAnsi"/>
                <w:sz w:val="18"/>
                <w:szCs w:val="18"/>
              </w:rPr>
              <w:t xml:space="preserve"> czasu</w:t>
            </w:r>
            <w:r w:rsidRPr="009A03C2">
              <w:rPr>
                <w:rFonts w:cstheme="minorHAnsi"/>
                <w:sz w:val="18"/>
                <w:szCs w:val="18"/>
              </w:rPr>
              <w:t>.</w:t>
            </w:r>
          </w:p>
          <w:p w14:paraId="03BDB800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 wyborze kilku lat (np. 2019-2021) w roku 2021 otrzymujemy sumę trzech lat 2019-2021.</w:t>
            </w:r>
          </w:p>
        </w:tc>
      </w:tr>
      <w:tr w:rsidR="0047004A" w:rsidRPr="006F01C7" w14:paraId="72F0E2D9" w14:textId="77777777" w:rsidTr="00740FEC">
        <w:tc>
          <w:tcPr>
            <w:tcW w:w="0" w:type="auto"/>
            <w:vAlign w:val="center"/>
          </w:tcPr>
          <w:p w14:paraId="684C0F87" w14:textId="773363B6" w:rsidR="0047004A" w:rsidRDefault="0047004A" w:rsidP="0047004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Rodzaj danych wynikowych</w:t>
            </w:r>
          </w:p>
        </w:tc>
        <w:tc>
          <w:tcPr>
            <w:tcW w:w="0" w:type="auto"/>
            <w:vAlign w:val="center"/>
          </w:tcPr>
          <w:p w14:paraId="48FCA7BA" w14:textId="56B0EE91" w:rsidR="0047004A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Lista wyboru</w:t>
            </w:r>
          </w:p>
        </w:tc>
        <w:tc>
          <w:tcPr>
            <w:tcW w:w="0" w:type="auto"/>
            <w:vAlign w:val="center"/>
          </w:tcPr>
          <w:p w14:paraId="5EDE325E" w14:textId="77777777" w:rsidR="0047004A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Lista wyboru zawiera następujące pozycje:</w:t>
            </w:r>
          </w:p>
          <w:p w14:paraId="0D3F35A4" w14:textId="77777777" w:rsidR="0047004A" w:rsidRDefault="0047004A" w:rsidP="0047004A">
            <w:pPr>
              <w:rPr>
                <w:rFonts w:cstheme="minorHAnsi"/>
                <w:sz w:val="18"/>
                <w:szCs w:val="18"/>
              </w:rPr>
            </w:pPr>
            <w:r w:rsidRPr="00C62DCE">
              <w:rPr>
                <w:rFonts w:cstheme="minorHAnsi"/>
                <w:sz w:val="18"/>
                <w:szCs w:val="18"/>
              </w:rPr>
              <w:t>Wartości nominalne</w:t>
            </w:r>
          </w:p>
          <w:p w14:paraId="4CF980DC" w14:textId="77777777" w:rsidR="0047004A" w:rsidRPr="00C62DCE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Suma narastająca</w:t>
            </w:r>
          </w:p>
          <w:p w14:paraId="1AD15F2D" w14:textId="77777777" w:rsidR="0047004A" w:rsidRPr="00C62DCE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Pr="00C62DCE">
              <w:rPr>
                <w:rFonts w:cstheme="minorHAnsi"/>
                <w:sz w:val="18"/>
                <w:szCs w:val="18"/>
              </w:rPr>
              <w:t xml:space="preserve"> roczn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C62DCE">
              <w:rPr>
                <w:rFonts w:cstheme="minorHAnsi"/>
                <w:sz w:val="18"/>
                <w:szCs w:val="18"/>
              </w:rPr>
              <w:t xml:space="preserve"> (%)</w:t>
            </w:r>
          </w:p>
          <w:p w14:paraId="6D3D005C" w14:textId="77777777" w:rsidR="0047004A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Pr="00C62DCE">
              <w:rPr>
                <w:rFonts w:cstheme="minorHAnsi"/>
                <w:sz w:val="18"/>
                <w:szCs w:val="18"/>
              </w:rPr>
              <w:t xml:space="preserve"> bieżąc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C62DCE">
              <w:rPr>
                <w:rFonts w:cstheme="minorHAnsi"/>
                <w:sz w:val="18"/>
                <w:szCs w:val="18"/>
              </w:rPr>
              <w:t xml:space="preserve"> (%)</w:t>
            </w:r>
            <w:r>
              <w:rPr>
                <w:rFonts w:cstheme="minorHAnsi"/>
                <w:sz w:val="18"/>
                <w:szCs w:val="18"/>
              </w:rPr>
              <w:t xml:space="preserve"> – dostępne tylko jeśli wybrana jest częstotliwość miesięczna lub kwartalna (ew. przy wyborze częstotliwości rocznej dająca te same wyniki co dynamika roczna)</w:t>
            </w:r>
          </w:p>
          <w:p w14:paraId="5843C068" w14:textId="77777777" w:rsidR="0047004A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 roczny (nominalny)</w:t>
            </w:r>
          </w:p>
          <w:p w14:paraId="3A3940B4" w14:textId="77777777" w:rsidR="0047004A" w:rsidRPr="00C62DCE" w:rsidRDefault="0047004A" w:rsidP="004700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 bieżący (nominalny)</w:t>
            </w:r>
          </w:p>
          <w:p w14:paraId="1FBB63D0" w14:textId="41741AF3" w:rsidR="0047004A" w:rsidRPr="009A03C2" w:rsidRDefault="0047004A" w:rsidP="0047004A">
            <w:pPr>
              <w:rPr>
                <w:rFonts w:cstheme="minorHAnsi"/>
                <w:sz w:val="18"/>
                <w:szCs w:val="18"/>
              </w:rPr>
            </w:pPr>
            <w:r w:rsidRPr="00C62DCE">
              <w:rPr>
                <w:rFonts w:cstheme="minorHAnsi"/>
                <w:sz w:val="18"/>
                <w:szCs w:val="18"/>
              </w:rPr>
              <w:t>Udział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C62DCE">
              <w:rPr>
                <w:rFonts w:cstheme="minorHAnsi"/>
                <w:sz w:val="18"/>
                <w:szCs w:val="18"/>
              </w:rPr>
              <w:t xml:space="preserve"> (%)</w:t>
            </w:r>
          </w:p>
        </w:tc>
      </w:tr>
      <w:tr w:rsidR="00C62DCE" w:rsidRPr="006F01C7" w14:paraId="464CB454" w14:textId="77777777" w:rsidTr="00740FEC">
        <w:tc>
          <w:tcPr>
            <w:tcW w:w="0" w:type="auto"/>
            <w:vAlign w:val="center"/>
          </w:tcPr>
          <w:p w14:paraId="58408F50" w14:textId="73609C55" w:rsidR="00C62DCE" w:rsidRPr="009A03C2" w:rsidRDefault="00C62DCE" w:rsidP="00740F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Wartości nominalne</w:t>
            </w:r>
          </w:p>
        </w:tc>
        <w:tc>
          <w:tcPr>
            <w:tcW w:w="0" w:type="auto"/>
            <w:vAlign w:val="center"/>
          </w:tcPr>
          <w:p w14:paraId="3FC6D212" w14:textId="1347B799" w:rsidR="00C62DCE" w:rsidRPr="009A03C2" w:rsidRDefault="00BE3BDB" w:rsidP="00740FE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Pozycja z listy</w:t>
            </w:r>
            <w:r w:rsidR="00C62DC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75C67E" w14:textId="00F76403" w:rsidR="00C62DCE" w:rsidRPr="009A03C2" w:rsidRDefault="00BE3BDB" w:rsidP="00740FE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Kolejne okresy w kolejnych kolumnach – w zależności od wyboru: dane miesięczne, roczne, kwartalne.</w:t>
            </w:r>
          </w:p>
        </w:tc>
      </w:tr>
      <w:tr w:rsidR="00BE3BDB" w:rsidRPr="006F01C7" w14:paraId="1E35C08B" w14:textId="77777777" w:rsidTr="00740FEC">
        <w:tc>
          <w:tcPr>
            <w:tcW w:w="0" w:type="auto"/>
            <w:vAlign w:val="center"/>
          </w:tcPr>
          <w:p w14:paraId="6D325B3E" w14:textId="298E65CE" w:rsidR="00BE3BDB" w:rsidRPr="009A03C2" w:rsidRDefault="00BE3BDB" w:rsidP="00740F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Dane narastająco</w:t>
            </w:r>
          </w:p>
        </w:tc>
        <w:tc>
          <w:tcPr>
            <w:tcW w:w="0" w:type="auto"/>
            <w:vAlign w:val="center"/>
          </w:tcPr>
          <w:p w14:paraId="3FE340A0" w14:textId="61D42026" w:rsidR="00BE3BDB" w:rsidRPr="009A03C2" w:rsidRDefault="00BE3BDB" w:rsidP="00740FE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Pozycja z listy</w:t>
            </w:r>
          </w:p>
        </w:tc>
        <w:tc>
          <w:tcPr>
            <w:tcW w:w="0" w:type="auto"/>
            <w:vAlign w:val="center"/>
          </w:tcPr>
          <w:p w14:paraId="0C331192" w14:textId="77777777" w:rsidR="00BE3BDB" w:rsidRPr="009A03C2" w:rsidRDefault="00BE3BDB" w:rsidP="00740F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7312" w:rsidRPr="006F01C7" w14:paraId="782CDEDF" w14:textId="77777777" w:rsidTr="00740FEC">
        <w:tc>
          <w:tcPr>
            <w:tcW w:w="0" w:type="auto"/>
            <w:vAlign w:val="center"/>
          </w:tcPr>
          <w:p w14:paraId="199A3ED1" w14:textId="7443F612" w:rsidR="00F5613B" w:rsidRPr="009A03C2" w:rsidRDefault="004700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b/>
                <w:sz w:val="18"/>
                <w:szCs w:val="18"/>
              </w:rPr>
              <w:t xml:space="preserve"> roczn</w:t>
            </w:r>
            <w:r>
              <w:rPr>
                <w:rFonts w:cstheme="minorHAnsi"/>
                <w:b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4D688495" w14:textId="73BBE2B5" w:rsidR="00F5613B" w:rsidRPr="009A03C2" w:rsidRDefault="00BE3BD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Pozycja z listy</w:t>
            </w:r>
          </w:p>
        </w:tc>
        <w:tc>
          <w:tcPr>
            <w:tcW w:w="0" w:type="auto"/>
            <w:vAlign w:val="center"/>
          </w:tcPr>
          <w:p w14:paraId="3DB32BDC" w14:textId="4007D82C" w:rsidR="00F5613B" w:rsidRPr="009A03C2" w:rsidRDefault="004700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w raporcie będzie prez</w:t>
            </w:r>
            <w:r w:rsidR="00F5613B">
              <w:rPr>
                <w:rFonts w:cstheme="minorHAnsi"/>
                <w:sz w:val="18"/>
                <w:szCs w:val="18"/>
              </w:rPr>
              <w:t>entowan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="00F5613B">
              <w:rPr>
                <w:rFonts w:cstheme="minorHAnsi"/>
                <w:sz w:val="18"/>
                <w:szCs w:val="18"/>
              </w:rPr>
              <w:t xml:space="preserve"> w kolejnych kolumnach.</w:t>
            </w:r>
          </w:p>
          <w:p w14:paraId="1DA667B2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Kolumn z dynamikami będzie tyle, ile kolumn z danymi nominalnymi.</w:t>
            </w:r>
          </w:p>
          <w:p w14:paraId="13E4EA2A" w14:textId="4C5DE4B2" w:rsidR="00F5613B" w:rsidRDefault="004700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będzie wyliczan</w:t>
            </w:r>
            <w:r>
              <w:rPr>
                <w:rFonts w:cstheme="minorHAnsi"/>
                <w:sz w:val="18"/>
                <w:szCs w:val="18"/>
              </w:rPr>
              <w:t xml:space="preserve">y </w:t>
            </w:r>
            <w:r w:rsidR="00F5613B" w:rsidRPr="009A03C2">
              <w:rPr>
                <w:rFonts w:cstheme="minorHAnsi"/>
                <w:sz w:val="18"/>
                <w:szCs w:val="18"/>
              </w:rPr>
              <w:t>jako zmiana procentowa</w:t>
            </w:r>
            <w:r w:rsidR="00BE3BDB">
              <w:rPr>
                <w:rFonts w:cstheme="minorHAnsi"/>
                <w:sz w:val="18"/>
                <w:szCs w:val="18"/>
              </w:rPr>
              <w:t xml:space="preserve"> w stosunku do analogicznego okresu z poprzedniego roku</w:t>
            </w:r>
            <w:r w:rsidR="00F5613B">
              <w:rPr>
                <w:rFonts w:cstheme="minorHAnsi"/>
                <w:sz w:val="18"/>
                <w:szCs w:val="18"/>
              </w:rPr>
              <w:t>, 2 miejsca po przecinku</w:t>
            </w:r>
            <w:r w:rsidR="00F5613B" w:rsidRPr="009A03C2">
              <w:rPr>
                <w:rFonts w:cstheme="minorHAnsi"/>
                <w:sz w:val="18"/>
                <w:szCs w:val="18"/>
              </w:rPr>
              <w:t>.</w:t>
            </w:r>
            <w:r w:rsidR="00BE3BDB">
              <w:rPr>
                <w:rFonts w:cstheme="minorHAnsi"/>
                <w:sz w:val="18"/>
                <w:szCs w:val="18"/>
              </w:rPr>
              <w:t xml:space="preserve"> Do wyliczenia dynamiki za pierwszy rok potrzebne są dane z roku poprzedzającego (R-1).</w:t>
            </w:r>
          </w:p>
          <w:p w14:paraId="347A5C41" w14:textId="47564BF0" w:rsidR="00BE3BDB" w:rsidRPr="009A03C2" w:rsidRDefault="004700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="00BE3BDB">
              <w:rPr>
                <w:rFonts w:cstheme="minorHAnsi"/>
                <w:sz w:val="18"/>
                <w:szCs w:val="18"/>
              </w:rPr>
              <w:t xml:space="preserve"> (%) = (wartość roku bieżącego / wartość roku poprzedniego – 1) * 100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  <w:p w14:paraId="4FF80035" w14:textId="69941399" w:rsidR="00F5613B" w:rsidRPr="009A03C2" w:rsidRDefault="004700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roczn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liczon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jest w porównaniu do analogicznych okresów sprzed 12 miesięcy</w:t>
            </w:r>
            <w:r w:rsidR="00F5613B">
              <w:rPr>
                <w:rFonts w:cstheme="minorHAnsi"/>
                <w:sz w:val="18"/>
                <w:szCs w:val="18"/>
              </w:rPr>
              <w:t xml:space="preserve"> (np. styczeń 2022 porównujemy ze styczniem 2021, 1Q 2022 z 1Q 2021 itd.)</w:t>
            </w:r>
            <w:r w:rsidR="00BE3BDB">
              <w:rPr>
                <w:rFonts w:cstheme="minorHAnsi"/>
                <w:sz w:val="18"/>
                <w:szCs w:val="18"/>
              </w:rPr>
              <w:t>, sumę z miesięcy od początku roku z sumą analogicznych miesięcy z poprzedniego roku.</w:t>
            </w:r>
          </w:p>
        </w:tc>
      </w:tr>
      <w:tr w:rsidR="008B7312" w:rsidRPr="00EA6D09" w14:paraId="5CE8EF32" w14:textId="77777777" w:rsidTr="00740FEC">
        <w:tc>
          <w:tcPr>
            <w:tcW w:w="0" w:type="auto"/>
            <w:vAlign w:val="center"/>
          </w:tcPr>
          <w:p w14:paraId="6C6F073F" w14:textId="0952602B" w:rsidR="00F5613B" w:rsidRPr="009A03C2" w:rsidRDefault="004700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b/>
                <w:sz w:val="18"/>
                <w:szCs w:val="18"/>
              </w:rPr>
              <w:t xml:space="preserve"> bieżąc</w:t>
            </w:r>
            <w:r>
              <w:rPr>
                <w:rFonts w:cstheme="minorHAnsi"/>
                <w:b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7A75EE00" w14:textId="76B40A00" w:rsidR="00F5613B" w:rsidRPr="009A03C2" w:rsidRDefault="00BE3BD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Pozycja z listy</w:t>
            </w:r>
          </w:p>
        </w:tc>
        <w:tc>
          <w:tcPr>
            <w:tcW w:w="0" w:type="auto"/>
            <w:vAlign w:val="center"/>
          </w:tcPr>
          <w:p w14:paraId="1938686B" w14:textId="32BA05E7" w:rsidR="00F5613B" w:rsidRPr="009A03C2" w:rsidRDefault="004700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w raporcie będzie prezentowan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w kolejnych kolumnach. </w:t>
            </w:r>
          </w:p>
          <w:p w14:paraId="240A926F" w14:textId="46515F58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Kolumn z</w:t>
            </w:r>
            <w:r w:rsidR="0047004A">
              <w:rPr>
                <w:rFonts w:cstheme="minorHAnsi"/>
                <w:sz w:val="18"/>
                <w:szCs w:val="18"/>
              </w:rPr>
              <w:t xml:space="preserve">e wzrostami </w:t>
            </w:r>
            <w:r w:rsidRPr="009A03C2">
              <w:rPr>
                <w:rFonts w:cstheme="minorHAnsi"/>
                <w:sz w:val="18"/>
                <w:szCs w:val="18"/>
              </w:rPr>
              <w:t>będzie tyle, ile kolumn z danymi nominalnymi.</w:t>
            </w:r>
          </w:p>
          <w:p w14:paraId="44A083B1" w14:textId="0A11490B" w:rsidR="00F5613B" w:rsidRPr="009A03C2" w:rsidRDefault="004700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Wzrost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bieżąc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liczon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="00F5613B" w:rsidRPr="009A03C2">
              <w:rPr>
                <w:rFonts w:cstheme="minorHAnsi"/>
                <w:sz w:val="18"/>
                <w:szCs w:val="18"/>
              </w:rPr>
              <w:t xml:space="preserve"> jest w porównaniu do poprzedniego analogicznego okresu (np. do poprzedniego miesiąca, kwartału roku</w:t>
            </w:r>
            <w:r w:rsidR="00BE3BDB">
              <w:rPr>
                <w:rFonts w:cstheme="minorHAnsi"/>
                <w:sz w:val="18"/>
                <w:szCs w:val="18"/>
              </w:rPr>
              <w:t xml:space="preserve"> – w zależności od wybranej częstotliwości danych</w:t>
            </w:r>
            <w:r w:rsidR="00F5613B" w:rsidRPr="009A03C2">
              <w:rPr>
                <w:rFonts w:cstheme="minorHAnsi"/>
                <w:sz w:val="18"/>
                <w:szCs w:val="18"/>
              </w:rPr>
              <w:t>). Np. styczeń 2022 porównujemy z grudniem 2021, 1Q 2022 z 4Q 2021 itd.).</w:t>
            </w:r>
          </w:p>
        </w:tc>
      </w:tr>
      <w:tr w:rsidR="008B7312" w:rsidRPr="006F01C7" w14:paraId="35DB587C" w14:textId="77777777" w:rsidTr="00740FEC">
        <w:tc>
          <w:tcPr>
            <w:tcW w:w="0" w:type="auto"/>
            <w:vAlign w:val="center"/>
          </w:tcPr>
          <w:p w14:paraId="6F2D3F75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Udział (%)</w:t>
            </w:r>
          </w:p>
        </w:tc>
        <w:tc>
          <w:tcPr>
            <w:tcW w:w="0" w:type="auto"/>
            <w:vAlign w:val="center"/>
          </w:tcPr>
          <w:p w14:paraId="35E853BB" w14:textId="71B694C5" w:rsidR="00F5613B" w:rsidRPr="009A03C2" w:rsidRDefault="00BE3BD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Pozycja z listy</w:t>
            </w:r>
          </w:p>
        </w:tc>
        <w:tc>
          <w:tcPr>
            <w:tcW w:w="0" w:type="auto"/>
            <w:vAlign w:val="center"/>
          </w:tcPr>
          <w:p w14:paraId="2CE0F9E3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Udział w raporcie będzie prezentowany w kolejnych kolumnach. </w:t>
            </w:r>
          </w:p>
          <w:p w14:paraId="4DDF41D8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Kolumn z udziałami będzie tyle, ile kolumn z danymi nominalnymi.</w:t>
            </w:r>
          </w:p>
          <w:p w14:paraId="08EDE725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Udział danej pozycji będzie liczony w porównaniu do sumy wszystkich badanych przez użytkownika pozycji i oznaczonych na danym poziomie szczegółowości (2D, 4D, 6D lub 8D).</w:t>
            </w:r>
          </w:p>
          <w:p w14:paraId="29C92A98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lastRenderedPageBreak/>
              <w:t>W przypadku wybrania np. kodów od 010121 do 010190 udział poszczególnych 6-cyfrowych towarów będzie liczony w stosunku do sumy zaznaczonych 4 kodów.</w:t>
            </w:r>
          </w:p>
          <w:p w14:paraId="2573CCE2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Przy wyborze np. 6-cyfrowej dokładności kodów zaznaczenie całej 4-cyfrowej (lub 2-cyfrowej) kategorii oznacza zaznaczenie poszczególnych kodów 6-cyfrowych wchodzących w jej skład. </w:t>
            </w:r>
          </w:p>
          <w:p w14:paraId="6687AE66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 xml:space="preserve">W wynikowym raporcie dane pokazywane są w rozbiciu z dokładnością do wybranej dokładności (2D, 4D, 6D lub 8D). </w:t>
            </w:r>
          </w:p>
          <w:p w14:paraId="7E3A7703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Przy wyborze opcji „Pobierz dane z kodów nadrzędnych” w wyniku dla kodów nadrzędnych otrzymujemy udział sumy zaznaczonych kodów z danej kategorii do sumy wszystkich wybranych kodów na danym poziomie szczegółowości.</w:t>
            </w:r>
          </w:p>
          <w:p w14:paraId="23F4A6E0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Np. wybrany został poziom szczegółowości 6D. Wybrano wszystkie kody z kategorii 0101 oraz wszystkie z kategorii 0102.</w:t>
            </w:r>
          </w:p>
          <w:p w14:paraId="7BB2B1B8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Sumujemy wartości wszystkich kodów 6D i to jest mianownik ułamka.</w:t>
            </w:r>
          </w:p>
          <w:p w14:paraId="1158D197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Dla poszczególnych kodów na poziomie 6D pokazujemy iloraz wartości dla tego kodu i mianownika.</w:t>
            </w:r>
          </w:p>
          <w:p w14:paraId="176D3725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Dla wartości na poziomie 4D pokazujemy sumujemy zaznaczone kody 6D w tej kategorii i dzielimy przez mianownik.</w:t>
            </w:r>
          </w:p>
          <w:p w14:paraId="53E93D23" w14:textId="77777777" w:rsidR="00F5613B" w:rsidRPr="009A03C2" w:rsidRDefault="00F5613B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Udziały pokazujemy w % z 2 miejscami po przecinku.</w:t>
            </w:r>
          </w:p>
        </w:tc>
      </w:tr>
    </w:tbl>
    <w:p w14:paraId="3ADE4EAF" w14:textId="77777777" w:rsidR="00F5613B" w:rsidRDefault="00F5613B" w:rsidP="003D1045">
      <w:pPr>
        <w:pStyle w:val="Nagwek1"/>
        <w:rPr>
          <w:rFonts w:asciiTheme="minorHAnsi" w:hAnsiTheme="minorHAnsi" w:cstheme="minorHAnsi"/>
          <w:sz w:val="22"/>
          <w:szCs w:val="24"/>
        </w:rPr>
      </w:pPr>
    </w:p>
    <w:p w14:paraId="69E58E11" w14:textId="49DF224F" w:rsidR="003D1045" w:rsidRDefault="003D1045" w:rsidP="003D1045">
      <w:r w:rsidRPr="003D1045">
        <w:rPr>
          <w:highlight w:val="yellow"/>
        </w:rPr>
        <w:t>Przykłady zestawień wynikowych generowanych za pomocą GDH zawiera załącznik nr 2 do OPZ.</w:t>
      </w:r>
      <w:r w:rsidR="00FA32FC">
        <w:t xml:space="preserve"> Zamawiający zastrzega, że przedstawione przykłady zestawień nie wyczerpują wszystkich możliwych kombinacji parametrów zapytań i do Wykonawcy należy uszczegółowienie i ustalenie z użytkownikami docelowych formatów i zawartości zestawień generowanych przez GDH.</w:t>
      </w:r>
    </w:p>
    <w:p w14:paraId="1BF11A6F" w14:textId="77777777" w:rsidR="00D6674A" w:rsidRDefault="00D6674A" w:rsidP="003D1045"/>
    <w:p w14:paraId="2A2C8464" w14:textId="4F9C34F7" w:rsidR="00D6674A" w:rsidRPr="0047004A" w:rsidRDefault="00D6674A" w:rsidP="003D1045">
      <w:r w:rsidRPr="0047004A">
        <w:t>Dodatkowo wykonawca przygotuje możliwość uzyskiwania uproszczonych zestawień z zawężonymi możliwościami parametryzowania. Może to być osobna opcja (np. „Zapytania uproszczone”)</w:t>
      </w:r>
      <w:r w:rsidR="0047004A" w:rsidRPr="0047004A">
        <w:t>. Moduł zapytań uproszczonych służy do uzyskiwania danych za dwa ostatnie okresy (dwa lata lub suma z miesięcy od początku roku za dwa ostatnie lata), jednakże na wynikowym zestawieniu zaprezentowane będą wszystkie możliwe dane wynikowe:</w:t>
      </w:r>
    </w:p>
    <w:p w14:paraId="1B638B8D" w14:textId="4BBF713F" w:rsidR="0047004A" w:rsidRPr="0047004A" w:rsidRDefault="0047004A">
      <w:pPr>
        <w:pStyle w:val="Akapitzlist"/>
        <w:numPr>
          <w:ilvl w:val="0"/>
          <w:numId w:val="6"/>
        </w:numPr>
        <w:spacing w:after="0" w:line="240" w:lineRule="auto"/>
        <w:ind w:left="417"/>
        <w:rPr>
          <w:rFonts w:cstheme="minorHAnsi"/>
        </w:rPr>
      </w:pPr>
      <w:r w:rsidRPr="0047004A">
        <w:rPr>
          <w:rFonts w:cstheme="minorHAnsi"/>
        </w:rPr>
        <w:t>Wartości nominalne</w:t>
      </w:r>
      <w:r w:rsidR="00C15A8A">
        <w:rPr>
          <w:rFonts w:cstheme="minorHAnsi"/>
        </w:rPr>
        <w:t xml:space="preserve"> (eksport, import, saldo) za 2 okresy</w:t>
      </w:r>
    </w:p>
    <w:p w14:paraId="2DBCB306" w14:textId="3E0B1CE3" w:rsidR="00C15A8A" w:rsidRDefault="00C15A8A">
      <w:pPr>
        <w:pStyle w:val="Akapitzlist"/>
        <w:numPr>
          <w:ilvl w:val="0"/>
          <w:numId w:val="6"/>
        </w:numPr>
        <w:ind w:left="417"/>
        <w:rPr>
          <w:rFonts w:cstheme="minorHAnsi"/>
        </w:rPr>
      </w:pPr>
      <w:r>
        <w:rPr>
          <w:rFonts w:cstheme="minorHAnsi"/>
        </w:rPr>
        <w:t>Udział w eksporcie za 2 okresy</w:t>
      </w:r>
    </w:p>
    <w:p w14:paraId="64B758FC" w14:textId="5047DDB8" w:rsidR="00C15A8A" w:rsidRDefault="00C15A8A">
      <w:pPr>
        <w:pStyle w:val="Akapitzlist"/>
        <w:numPr>
          <w:ilvl w:val="0"/>
          <w:numId w:val="6"/>
        </w:numPr>
        <w:ind w:left="417"/>
        <w:rPr>
          <w:rFonts w:cstheme="minorHAnsi"/>
        </w:rPr>
      </w:pPr>
      <w:r>
        <w:rPr>
          <w:rFonts w:cstheme="minorHAnsi"/>
        </w:rPr>
        <w:t>Udział w imporcie za 2 okresy</w:t>
      </w:r>
    </w:p>
    <w:p w14:paraId="33C733A1" w14:textId="64B66AE5" w:rsidR="0047004A" w:rsidRPr="0047004A" w:rsidRDefault="0047004A">
      <w:pPr>
        <w:pStyle w:val="Akapitzlist"/>
        <w:numPr>
          <w:ilvl w:val="0"/>
          <w:numId w:val="6"/>
        </w:numPr>
        <w:spacing w:after="0" w:line="240" w:lineRule="auto"/>
        <w:ind w:left="417"/>
        <w:rPr>
          <w:rFonts w:cstheme="minorHAnsi"/>
        </w:rPr>
      </w:pPr>
      <w:r w:rsidRPr="0047004A">
        <w:rPr>
          <w:rFonts w:cstheme="minorHAnsi"/>
        </w:rPr>
        <w:t>Wzrost roczny (%)</w:t>
      </w:r>
      <w:r w:rsidR="00C15A8A">
        <w:rPr>
          <w:rFonts w:cstheme="minorHAnsi"/>
        </w:rPr>
        <w:t xml:space="preserve"> – 1 liczba</w:t>
      </w:r>
    </w:p>
    <w:p w14:paraId="37AFBC56" w14:textId="6933DC55" w:rsidR="0047004A" w:rsidRPr="0047004A" w:rsidRDefault="0047004A">
      <w:pPr>
        <w:pStyle w:val="Akapitzlist"/>
        <w:numPr>
          <w:ilvl w:val="0"/>
          <w:numId w:val="6"/>
        </w:numPr>
        <w:spacing w:after="0" w:line="240" w:lineRule="auto"/>
        <w:ind w:left="417"/>
        <w:rPr>
          <w:rFonts w:cstheme="minorHAnsi"/>
        </w:rPr>
      </w:pPr>
      <w:r w:rsidRPr="0047004A">
        <w:rPr>
          <w:rFonts w:cstheme="minorHAnsi"/>
        </w:rPr>
        <w:t>Wzrost roczny (nominalny)</w:t>
      </w:r>
      <w:r w:rsidR="00C15A8A">
        <w:rPr>
          <w:rFonts w:cstheme="minorHAnsi"/>
        </w:rPr>
        <w:t xml:space="preserve"> – 1 liczba</w:t>
      </w:r>
    </w:p>
    <w:p w14:paraId="611A0EED" w14:textId="77777777" w:rsidR="0047004A" w:rsidRPr="0047004A" w:rsidRDefault="0047004A" w:rsidP="0047004A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7"/>
        <w:gridCol w:w="1589"/>
        <w:gridCol w:w="5876"/>
      </w:tblGrid>
      <w:tr w:rsidR="00D6674A" w:rsidRPr="006F01C7" w14:paraId="41288DD1" w14:textId="77777777" w:rsidTr="00740FEC">
        <w:tc>
          <w:tcPr>
            <w:tcW w:w="0" w:type="auto"/>
            <w:vAlign w:val="center"/>
          </w:tcPr>
          <w:p w14:paraId="1F515BC8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Dane</w:t>
            </w:r>
          </w:p>
        </w:tc>
        <w:tc>
          <w:tcPr>
            <w:tcW w:w="0" w:type="auto"/>
            <w:vAlign w:val="center"/>
          </w:tcPr>
          <w:p w14:paraId="0F3AC82C" w14:textId="0A6CF20D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opcji</w:t>
            </w:r>
          </w:p>
        </w:tc>
        <w:tc>
          <w:tcPr>
            <w:tcW w:w="0" w:type="auto"/>
            <w:vAlign w:val="center"/>
          </w:tcPr>
          <w:p w14:paraId="595F8971" w14:textId="77777777" w:rsidR="00D6674A" w:rsidRPr="00D6674A" w:rsidRDefault="00D6674A" w:rsidP="00D667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74A" w:rsidRPr="006F01C7" w14:paraId="371B3088" w14:textId="77777777" w:rsidTr="00740FEC">
        <w:tc>
          <w:tcPr>
            <w:tcW w:w="0" w:type="auto"/>
            <w:vAlign w:val="center"/>
          </w:tcPr>
          <w:p w14:paraId="4BD555A1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Jednostki</w:t>
            </w:r>
          </w:p>
        </w:tc>
        <w:tc>
          <w:tcPr>
            <w:tcW w:w="0" w:type="auto"/>
            <w:vAlign w:val="center"/>
          </w:tcPr>
          <w:p w14:paraId="5242DEFF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radiobutton</w:t>
            </w:r>
            <w:proofErr w:type="spellEnd"/>
            <w:r w:rsidRPr="009A03C2">
              <w:rPr>
                <w:rFonts w:cstheme="minorHAnsi"/>
                <w:sz w:val="18"/>
                <w:szCs w:val="18"/>
              </w:rPr>
              <w:t xml:space="preserve"> (wybór jednokrotny / rozłączny)</w:t>
            </w:r>
          </w:p>
        </w:tc>
        <w:tc>
          <w:tcPr>
            <w:tcW w:w="0" w:type="auto"/>
            <w:vAlign w:val="center"/>
          </w:tcPr>
          <w:p w14:paraId="60FD802F" w14:textId="36E248B6" w:rsidR="00D6674A" w:rsidRPr="00D6674A" w:rsidRDefault="00D6674A" w:rsidP="00D6674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6674A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D6674A">
              <w:rPr>
                <w:rFonts w:cstheme="minorHAnsi"/>
                <w:sz w:val="18"/>
                <w:szCs w:val="18"/>
              </w:rPr>
              <w:t>.</w:t>
            </w:r>
          </w:p>
          <w:p w14:paraId="782B7B04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6674A" w:rsidRPr="006F01C7" w14:paraId="77BE8FCF" w14:textId="77777777" w:rsidTr="00740FEC">
        <w:tc>
          <w:tcPr>
            <w:tcW w:w="0" w:type="auto"/>
            <w:vAlign w:val="center"/>
          </w:tcPr>
          <w:p w14:paraId="2921906C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Kody CN</w:t>
            </w:r>
          </w:p>
        </w:tc>
        <w:tc>
          <w:tcPr>
            <w:tcW w:w="0" w:type="auto"/>
            <w:vAlign w:val="center"/>
          </w:tcPr>
          <w:p w14:paraId="07AE4FDC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Pole tekstowe</w:t>
            </w:r>
          </w:p>
        </w:tc>
        <w:tc>
          <w:tcPr>
            <w:tcW w:w="0" w:type="auto"/>
            <w:vAlign w:val="center"/>
          </w:tcPr>
          <w:p w14:paraId="3E44FD84" w14:textId="0A28EDC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6F01C7" w14:paraId="7DB959DE" w14:textId="77777777" w:rsidTr="00740FEC">
        <w:tc>
          <w:tcPr>
            <w:tcW w:w="0" w:type="auto"/>
            <w:vAlign w:val="center"/>
          </w:tcPr>
          <w:p w14:paraId="649FF6C0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Predefiniowane grupy towarowe</w:t>
            </w:r>
          </w:p>
        </w:tc>
        <w:tc>
          <w:tcPr>
            <w:tcW w:w="0" w:type="auto"/>
            <w:vAlign w:val="center"/>
          </w:tcPr>
          <w:p w14:paraId="67CA1C02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Lista wyboru (słownik)</w:t>
            </w:r>
          </w:p>
        </w:tc>
        <w:tc>
          <w:tcPr>
            <w:tcW w:w="0" w:type="auto"/>
            <w:vAlign w:val="center"/>
          </w:tcPr>
          <w:p w14:paraId="7DFA130A" w14:textId="72DAB6E9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6F01C7" w14:paraId="74C31729" w14:textId="77777777" w:rsidTr="00740FEC">
        <w:tc>
          <w:tcPr>
            <w:tcW w:w="0" w:type="auto"/>
            <w:vAlign w:val="center"/>
          </w:tcPr>
          <w:p w14:paraId="4AB9A7F0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Okres (poziom agregacji)</w:t>
            </w:r>
          </w:p>
        </w:tc>
        <w:tc>
          <w:tcPr>
            <w:tcW w:w="0" w:type="auto"/>
            <w:vAlign w:val="center"/>
          </w:tcPr>
          <w:p w14:paraId="4F6C79A1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radio (wybór jednokrotny / rozłączny)</w:t>
            </w:r>
          </w:p>
        </w:tc>
        <w:tc>
          <w:tcPr>
            <w:tcW w:w="0" w:type="auto"/>
            <w:vAlign w:val="center"/>
          </w:tcPr>
          <w:p w14:paraId="0F82EE5B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Poziom agregacji:</w:t>
            </w:r>
          </w:p>
          <w:p w14:paraId="2CFEDCDF" w14:textId="77777777" w:rsidR="00D6674A" w:rsidRPr="009A03C2" w:rsidRDefault="00D6674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lata</w:t>
            </w:r>
          </w:p>
          <w:p w14:paraId="5D8170E8" w14:textId="77777777" w:rsidR="00D6674A" w:rsidRDefault="00D6674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suma z miesięcy od początku roku</w:t>
            </w:r>
          </w:p>
          <w:p w14:paraId="7322B0D8" w14:textId="77777777" w:rsidR="00D6674A" w:rsidRDefault="00D6674A" w:rsidP="00D6674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Wybór „Lata” spowoduje wygenerowanie danych za pełne zakończone lata dla lat, dla których system ma wszystkie 12 miesięcy.</w:t>
            </w:r>
          </w:p>
          <w:p w14:paraId="658685AC" w14:textId="056AF45F" w:rsidR="00D6674A" w:rsidRPr="00D6674A" w:rsidRDefault="00D6674A" w:rsidP="00D667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Wybór „suma z miesięcy od początku roku” spowoduje wygenerowanie danych dla każdego roku, ale tylko suma za miesiące, dla których system ma dane dla najnowszego roku. Np. jeśli w systemie są dostępne dane do listopada 2023, to system wygeneruje sumę eksportu lub importu dla każdego wskazanego roku, ale tylko za miesiące I-XI dl każdego z lat. Umożliwi to porównanie aktualnego roku do lat poprzednich za analogiczny okres.</w:t>
            </w:r>
          </w:p>
        </w:tc>
      </w:tr>
      <w:tr w:rsidR="00D6674A" w:rsidRPr="006F01C7" w14:paraId="50EB3EED" w14:textId="77777777" w:rsidTr="00740FEC">
        <w:tc>
          <w:tcPr>
            <w:tcW w:w="0" w:type="auto"/>
            <w:vAlign w:val="center"/>
          </w:tcPr>
          <w:p w14:paraId="7B5C6D83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lastRenderedPageBreak/>
              <w:t>Okres</w:t>
            </w:r>
          </w:p>
        </w:tc>
        <w:tc>
          <w:tcPr>
            <w:tcW w:w="0" w:type="auto"/>
            <w:vAlign w:val="center"/>
          </w:tcPr>
          <w:p w14:paraId="23E230E7" w14:textId="29ABFF41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opcji</w:t>
            </w:r>
          </w:p>
        </w:tc>
        <w:tc>
          <w:tcPr>
            <w:tcW w:w="0" w:type="auto"/>
            <w:vAlign w:val="center"/>
          </w:tcPr>
          <w:p w14:paraId="7BC508B0" w14:textId="1E704C6F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6674A" w:rsidRPr="006F01C7" w14:paraId="071B7B6C" w14:textId="77777777" w:rsidTr="00740FEC">
        <w:tc>
          <w:tcPr>
            <w:tcW w:w="0" w:type="auto"/>
            <w:vAlign w:val="center"/>
          </w:tcPr>
          <w:p w14:paraId="6BD9DC97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Suma z miesięcy od początku roku</w:t>
            </w:r>
          </w:p>
        </w:tc>
        <w:tc>
          <w:tcPr>
            <w:tcW w:w="0" w:type="auto"/>
            <w:vAlign w:val="center"/>
          </w:tcPr>
          <w:p w14:paraId="1FF08C89" w14:textId="0CEB1885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opcji</w:t>
            </w:r>
          </w:p>
        </w:tc>
        <w:tc>
          <w:tcPr>
            <w:tcW w:w="0" w:type="auto"/>
            <w:vAlign w:val="center"/>
          </w:tcPr>
          <w:p w14:paraId="6A4C2B06" w14:textId="17CAAAF6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6674A" w:rsidRPr="006F01C7" w14:paraId="513685AC" w14:textId="77777777" w:rsidTr="00740FEC">
        <w:tc>
          <w:tcPr>
            <w:tcW w:w="0" w:type="auto"/>
            <w:vAlign w:val="center"/>
          </w:tcPr>
          <w:p w14:paraId="445A8379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Skala danych</w:t>
            </w:r>
          </w:p>
        </w:tc>
        <w:tc>
          <w:tcPr>
            <w:tcW w:w="0" w:type="auto"/>
            <w:vAlign w:val="center"/>
          </w:tcPr>
          <w:p w14:paraId="5F729D5C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radio (wybór jednokrotny / rozłączny)</w:t>
            </w:r>
          </w:p>
        </w:tc>
        <w:tc>
          <w:tcPr>
            <w:tcW w:w="0" w:type="auto"/>
            <w:vAlign w:val="center"/>
          </w:tcPr>
          <w:p w14:paraId="2C04DA46" w14:textId="79392A4C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3A7203" w14:paraId="58612A60" w14:textId="77777777" w:rsidTr="00740FEC">
        <w:tc>
          <w:tcPr>
            <w:tcW w:w="0" w:type="auto"/>
            <w:vAlign w:val="center"/>
          </w:tcPr>
          <w:p w14:paraId="33B2F3F2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14:paraId="73456A4C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Pole wielokrotnego wyboru</w:t>
            </w:r>
          </w:p>
        </w:tc>
        <w:tc>
          <w:tcPr>
            <w:tcW w:w="0" w:type="auto"/>
            <w:vAlign w:val="center"/>
          </w:tcPr>
          <w:p w14:paraId="640CC151" w14:textId="7EACC52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6F01C7" w14:paraId="34C0FCA0" w14:textId="77777777" w:rsidTr="00740FEC">
        <w:tc>
          <w:tcPr>
            <w:tcW w:w="0" w:type="auto"/>
            <w:vAlign w:val="center"/>
          </w:tcPr>
          <w:p w14:paraId="22A37892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Grupa krajów partnerskich</w:t>
            </w:r>
          </w:p>
        </w:tc>
        <w:tc>
          <w:tcPr>
            <w:tcW w:w="0" w:type="auto"/>
            <w:vAlign w:val="center"/>
          </w:tcPr>
          <w:p w14:paraId="74554EC1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A03C2">
              <w:rPr>
                <w:rFonts w:cstheme="minorHAnsi"/>
                <w:sz w:val="18"/>
                <w:szCs w:val="18"/>
              </w:rPr>
              <w:t>Lista wyboru (słownik)</w:t>
            </w:r>
          </w:p>
        </w:tc>
        <w:tc>
          <w:tcPr>
            <w:tcW w:w="0" w:type="auto"/>
            <w:vAlign w:val="center"/>
          </w:tcPr>
          <w:p w14:paraId="07BB3A87" w14:textId="43244F24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6F01C7" w14:paraId="0D3F2351" w14:textId="77777777" w:rsidTr="00740FEC">
        <w:tc>
          <w:tcPr>
            <w:tcW w:w="0" w:type="auto"/>
            <w:vAlign w:val="center"/>
          </w:tcPr>
          <w:p w14:paraId="6AA846B6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Bez podziału na kraje</w:t>
            </w:r>
          </w:p>
        </w:tc>
        <w:tc>
          <w:tcPr>
            <w:tcW w:w="0" w:type="auto"/>
            <w:vAlign w:val="center"/>
          </w:tcPr>
          <w:p w14:paraId="54ADA3FC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</w:p>
        </w:tc>
        <w:tc>
          <w:tcPr>
            <w:tcW w:w="0" w:type="auto"/>
            <w:vAlign w:val="center"/>
          </w:tcPr>
          <w:p w14:paraId="63FA1D33" w14:textId="13112835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6F01C7" w14:paraId="3D19B64E" w14:textId="77777777" w:rsidTr="00740FEC">
        <w:tc>
          <w:tcPr>
            <w:tcW w:w="0" w:type="auto"/>
            <w:vAlign w:val="center"/>
          </w:tcPr>
          <w:p w14:paraId="4A3AA295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Bez podziału na towary</w:t>
            </w:r>
          </w:p>
        </w:tc>
        <w:tc>
          <w:tcPr>
            <w:tcW w:w="0" w:type="auto"/>
            <w:vAlign w:val="center"/>
          </w:tcPr>
          <w:p w14:paraId="467C04E5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9A03C2">
              <w:rPr>
                <w:rFonts w:cstheme="minorHAnsi"/>
                <w:sz w:val="18"/>
                <w:szCs w:val="18"/>
              </w:rPr>
              <w:t>checkbox</w:t>
            </w:r>
            <w:proofErr w:type="spellEnd"/>
          </w:p>
        </w:tc>
        <w:tc>
          <w:tcPr>
            <w:tcW w:w="0" w:type="auto"/>
            <w:vAlign w:val="center"/>
          </w:tcPr>
          <w:p w14:paraId="08DDB948" w14:textId="44A71926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j.w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6674A" w:rsidRPr="006F01C7" w14:paraId="35041B66" w14:textId="77777777" w:rsidTr="00740FEC">
        <w:tc>
          <w:tcPr>
            <w:tcW w:w="0" w:type="auto"/>
            <w:vAlign w:val="center"/>
          </w:tcPr>
          <w:p w14:paraId="1E739C30" w14:textId="77777777" w:rsidR="00D6674A" w:rsidRPr="009A03C2" w:rsidRDefault="00D6674A" w:rsidP="00740FEC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9A03C2">
              <w:rPr>
                <w:rFonts w:cstheme="minorHAnsi"/>
                <w:b/>
                <w:sz w:val="18"/>
                <w:szCs w:val="18"/>
              </w:rPr>
              <w:t>Dane narastająco</w:t>
            </w:r>
          </w:p>
        </w:tc>
        <w:tc>
          <w:tcPr>
            <w:tcW w:w="0" w:type="auto"/>
            <w:vAlign w:val="center"/>
          </w:tcPr>
          <w:p w14:paraId="543BACB6" w14:textId="43C039D3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opcji</w:t>
            </w:r>
          </w:p>
        </w:tc>
        <w:tc>
          <w:tcPr>
            <w:tcW w:w="0" w:type="auto"/>
            <w:vAlign w:val="center"/>
          </w:tcPr>
          <w:p w14:paraId="73378C09" w14:textId="597C8E6F" w:rsidR="00D6674A" w:rsidRPr="009A03C2" w:rsidRDefault="00D6674A" w:rsidP="00740FE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6674A" w:rsidRPr="006F01C7" w14:paraId="0101FC55" w14:textId="77777777" w:rsidTr="00740FEC">
        <w:tc>
          <w:tcPr>
            <w:tcW w:w="0" w:type="auto"/>
            <w:vAlign w:val="center"/>
          </w:tcPr>
          <w:p w14:paraId="799BE1B5" w14:textId="77777777" w:rsidR="00D6674A" w:rsidRDefault="00D6674A" w:rsidP="00740F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Rodzaj danych wynikowych</w:t>
            </w:r>
          </w:p>
        </w:tc>
        <w:tc>
          <w:tcPr>
            <w:tcW w:w="0" w:type="auto"/>
            <w:vAlign w:val="center"/>
          </w:tcPr>
          <w:p w14:paraId="6C2ECBCC" w14:textId="2984E47E" w:rsidR="00D6674A" w:rsidRDefault="0047004A" w:rsidP="00740FE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opcji</w:t>
            </w:r>
          </w:p>
        </w:tc>
        <w:tc>
          <w:tcPr>
            <w:tcW w:w="0" w:type="auto"/>
            <w:vAlign w:val="center"/>
          </w:tcPr>
          <w:p w14:paraId="551425FB" w14:textId="6A3E7696" w:rsidR="00D6674A" w:rsidRPr="0047004A" w:rsidRDefault="00D6674A" w:rsidP="0047004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525F44F" w14:textId="77777777" w:rsidR="003D1045" w:rsidRPr="003D1045" w:rsidRDefault="003D1045" w:rsidP="003D1045"/>
    <w:p w14:paraId="18145233" w14:textId="19BA0709" w:rsidR="003D1045" w:rsidRDefault="003D1045" w:rsidP="003D1045">
      <w:pPr>
        <w:rPr>
          <w:b/>
          <w:bCs/>
          <w:u w:val="single"/>
        </w:rPr>
      </w:pPr>
      <w:r>
        <w:rPr>
          <w:b/>
          <w:bCs/>
          <w:u w:val="single"/>
        </w:rPr>
        <w:t>Informacje na temat systemu EXPORT INTELLIGENCE</w:t>
      </w:r>
    </w:p>
    <w:p w14:paraId="40AC9220" w14:textId="3C569538" w:rsidR="00FE5FC0" w:rsidRPr="001D5FFD" w:rsidRDefault="001D5FFD" w:rsidP="003D1045">
      <w:r w:rsidRPr="001D5FFD">
        <w:rPr>
          <w:highlight w:val="yellow"/>
        </w:rPr>
        <w:t>Informacje techniczne o systemie EXPORT INTELLIGENCE zawiera załącznik p.t. Dokumentacja eksploatacyjno-administracyjna_v.4.1.</w:t>
      </w:r>
    </w:p>
    <w:p w14:paraId="217AC63D" w14:textId="77777777" w:rsidR="00D94E80" w:rsidRDefault="00D94E80" w:rsidP="003D1045"/>
    <w:p w14:paraId="5DD1DE10" w14:textId="76D40646" w:rsidR="00CD7057" w:rsidRPr="00CD7057" w:rsidRDefault="00CD7057" w:rsidP="00CD7057">
      <w:pPr>
        <w:rPr>
          <w:b/>
          <w:bCs/>
          <w:u w:val="single"/>
        </w:rPr>
      </w:pPr>
      <w:r w:rsidRPr="00CD7057">
        <w:rPr>
          <w:b/>
          <w:bCs/>
          <w:u w:val="single"/>
        </w:rPr>
        <w:t xml:space="preserve">Minimalny zakres dokumentacji </w:t>
      </w:r>
      <w:r>
        <w:rPr>
          <w:b/>
          <w:bCs/>
          <w:u w:val="single"/>
        </w:rPr>
        <w:t>GDH</w:t>
      </w:r>
    </w:p>
    <w:p w14:paraId="73F59874" w14:textId="6CC6E06A" w:rsidR="00CD7057" w:rsidRPr="00CD7057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 xml:space="preserve">Dokumentacja </w:t>
      </w:r>
      <w:r w:rsidR="00ED1EEA">
        <w:rPr>
          <w:rFonts w:ascii="Calibri" w:hAnsi="Calibri" w:cs="Calibri"/>
          <w:color w:val="000000"/>
        </w:rPr>
        <w:t>GDH</w:t>
      </w:r>
      <w:r w:rsidRPr="00CD7057">
        <w:rPr>
          <w:rFonts w:ascii="Calibri" w:hAnsi="Calibri" w:cs="Calibri"/>
          <w:color w:val="000000"/>
        </w:rPr>
        <w:t xml:space="preserve"> będzie tworzona w języku polskim.</w:t>
      </w:r>
    </w:p>
    <w:p w14:paraId="2FE682AB" w14:textId="3CCBC69F" w:rsidR="00CD7057" w:rsidRPr="00CD7057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 xml:space="preserve">Dokumentacja </w:t>
      </w:r>
      <w:r w:rsidR="00ED1EEA">
        <w:rPr>
          <w:rFonts w:ascii="Calibri" w:hAnsi="Calibri" w:cs="Calibri"/>
          <w:color w:val="000000"/>
        </w:rPr>
        <w:t>GDH</w:t>
      </w:r>
      <w:r w:rsidRPr="00CD7057">
        <w:rPr>
          <w:rFonts w:ascii="Calibri" w:hAnsi="Calibri" w:cs="Calibri"/>
          <w:color w:val="000000"/>
        </w:rPr>
        <w:t xml:space="preserve"> będzie tworzona i dostarczana wraz z wdrożeniami kolejnych końcowych wersji komponentów rozwiązania.</w:t>
      </w:r>
    </w:p>
    <w:p w14:paraId="7296DE63" w14:textId="3CF29F52" w:rsidR="00CD7057" w:rsidRPr="00ED1EEA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>Wymagania opisują oczekiwania i rezultaty, jakie powinny być zrealizowane by osiągnąć cel Ministerstwa (wymagania biznesowe) lub są tworzone przez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 xml:space="preserve">Analityków w celu zdefiniowania rozwiązanie (wymagania funkcjonalne i </w:t>
      </w:r>
      <w:proofErr w:type="spellStart"/>
      <w:r w:rsidRPr="00ED1EEA">
        <w:rPr>
          <w:rFonts w:ascii="Calibri" w:hAnsi="Calibri" w:cs="Calibri"/>
          <w:color w:val="000000"/>
        </w:rPr>
        <w:t>pozafunkcjonalne</w:t>
      </w:r>
      <w:proofErr w:type="spellEnd"/>
      <w:r w:rsidRPr="00ED1EEA">
        <w:rPr>
          <w:rFonts w:ascii="Calibri" w:hAnsi="Calibri" w:cs="Calibri"/>
          <w:color w:val="000000"/>
        </w:rPr>
        <w:t>).</w:t>
      </w:r>
    </w:p>
    <w:p w14:paraId="20DE6923" w14:textId="4EF753C2" w:rsidR="00CD7057" w:rsidRPr="00CD7057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>Architektura, Opisy Modułów i Opisy Infrastruktury to opis konkretnej realizacji na podstawie wymagań zdefiniowanych powyżej.</w:t>
      </w:r>
    </w:p>
    <w:p w14:paraId="776A9946" w14:textId="2B352990" w:rsidR="00CD7057" w:rsidRPr="00ED1EEA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 xml:space="preserve">Dokumentacja testów będzie obejmować scenariusze testów (obejmujące przypadki testowe), które weryfikować będą funkcjonalności </w:t>
      </w:r>
      <w:r w:rsidR="00ED1EEA">
        <w:rPr>
          <w:rFonts w:ascii="Calibri" w:hAnsi="Calibri" w:cs="Calibri"/>
          <w:color w:val="000000"/>
        </w:rPr>
        <w:t xml:space="preserve">GDH </w:t>
      </w:r>
      <w:r w:rsidRPr="00ED1EEA">
        <w:rPr>
          <w:rFonts w:ascii="Calibri" w:hAnsi="Calibri" w:cs="Calibri"/>
          <w:color w:val="000000"/>
        </w:rPr>
        <w:t>(zdefiniowane na podstawie listy wymagań biznesowych).</w:t>
      </w:r>
    </w:p>
    <w:p w14:paraId="4F8716D4" w14:textId="22D8D354" w:rsidR="00CD7057" w:rsidRPr="00CD7057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 xml:space="preserve">Administrowanie </w:t>
      </w:r>
      <w:r w:rsidR="00ED1EEA">
        <w:rPr>
          <w:rFonts w:ascii="Calibri" w:hAnsi="Calibri" w:cs="Calibri"/>
          <w:color w:val="000000"/>
        </w:rPr>
        <w:t>GDH</w:t>
      </w:r>
      <w:r w:rsidRPr="00CD7057">
        <w:rPr>
          <w:rFonts w:ascii="Calibri" w:hAnsi="Calibri" w:cs="Calibri"/>
          <w:color w:val="000000"/>
        </w:rPr>
        <w:t xml:space="preserve"> to jeden z celów stosowania procedur utrzymania.</w:t>
      </w:r>
    </w:p>
    <w:p w14:paraId="0C839B5C" w14:textId="11067651" w:rsidR="00CD7057" w:rsidRPr="00CD7057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>Procedury rozwoju nie muszą być częścią dokumentacji.</w:t>
      </w:r>
    </w:p>
    <w:p w14:paraId="2FEBD1D1" w14:textId="5FC29158" w:rsidR="00CD7057" w:rsidRPr="00CD7057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 xml:space="preserve">Dokumentacja </w:t>
      </w:r>
      <w:r w:rsidR="00ED1EEA">
        <w:rPr>
          <w:rFonts w:ascii="Calibri" w:hAnsi="Calibri" w:cs="Calibri"/>
          <w:color w:val="000000"/>
        </w:rPr>
        <w:t>GDH</w:t>
      </w:r>
      <w:r w:rsidRPr="00CD7057">
        <w:rPr>
          <w:rFonts w:ascii="Calibri" w:hAnsi="Calibri" w:cs="Calibri"/>
          <w:color w:val="000000"/>
        </w:rPr>
        <w:t xml:space="preserve"> będzie zawierać wszelkie informacje niezbędne do </w:t>
      </w:r>
      <w:r w:rsidR="00ED1EEA">
        <w:rPr>
          <w:rFonts w:ascii="Calibri" w:hAnsi="Calibri" w:cs="Calibri"/>
          <w:color w:val="000000"/>
        </w:rPr>
        <w:t xml:space="preserve">jego </w:t>
      </w:r>
      <w:r w:rsidRPr="00CD7057">
        <w:rPr>
          <w:rFonts w:ascii="Calibri" w:hAnsi="Calibri" w:cs="Calibri"/>
          <w:color w:val="000000"/>
        </w:rPr>
        <w:t>instalacji.</w:t>
      </w:r>
    </w:p>
    <w:p w14:paraId="04DD1E04" w14:textId="1CD66D65" w:rsidR="00CD7057" w:rsidRDefault="00CD70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7057">
        <w:rPr>
          <w:rFonts w:ascii="Calibri" w:hAnsi="Calibri" w:cs="Calibri"/>
          <w:color w:val="000000"/>
        </w:rPr>
        <w:t>Zakłada się, że odbiorca dokumentacji posiada wiedzę odpowiednią dla zastosowanej technologii IT.</w:t>
      </w:r>
    </w:p>
    <w:p w14:paraId="59821E6C" w14:textId="77777777" w:rsidR="00ED1EEA" w:rsidRPr="00CD7057" w:rsidRDefault="00ED1EEA" w:rsidP="00ED1EEA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D51FD3" w14:textId="73E00DB6" w:rsidR="00CD7057" w:rsidRPr="00ED1EEA" w:rsidRDefault="00CD7057" w:rsidP="00ED1EEA">
      <w:pPr>
        <w:rPr>
          <w:b/>
          <w:bCs/>
        </w:rPr>
      </w:pPr>
      <w:r w:rsidRPr="00ED1EEA">
        <w:rPr>
          <w:b/>
          <w:bCs/>
        </w:rPr>
        <w:t>Dokumentacja wymagań</w:t>
      </w:r>
      <w:r w:rsidR="00ED1EEA">
        <w:rPr>
          <w:b/>
          <w:bCs/>
        </w:rPr>
        <w:t>:</w:t>
      </w:r>
    </w:p>
    <w:p w14:paraId="4E008614" w14:textId="1E26BC8D" w:rsidR="00CD7057" w:rsidRPr="00ED1EE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>Wymagania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biznesowe</w:t>
      </w:r>
      <w:r w:rsidR="00ED1EEA" w:rsidRPr="00ED1EEA">
        <w:rPr>
          <w:rFonts w:ascii="Calibri" w:hAnsi="Calibri" w:cs="Calibri"/>
          <w:color w:val="000000"/>
        </w:rPr>
        <w:t xml:space="preserve">: </w:t>
      </w:r>
      <w:r w:rsidRPr="00ED1EEA">
        <w:rPr>
          <w:rFonts w:ascii="Calibri" w:hAnsi="Calibri" w:cs="Calibri"/>
          <w:color w:val="000000"/>
        </w:rPr>
        <w:t>Wykaz Przypadków Użycia związanych z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 xml:space="preserve">aktualną wersją/wydaniem </w:t>
      </w:r>
      <w:r w:rsidR="00ED1EEA" w:rsidRPr="00ED1EEA">
        <w:rPr>
          <w:rFonts w:ascii="Calibri" w:hAnsi="Calibri" w:cs="Calibri"/>
          <w:color w:val="000000"/>
        </w:rPr>
        <w:t xml:space="preserve">GDH. </w:t>
      </w:r>
      <w:r w:rsidRPr="00ED1EEA">
        <w:rPr>
          <w:rFonts w:ascii="Calibri" w:hAnsi="Calibri" w:cs="Calibri"/>
          <w:color w:val="000000"/>
        </w:rPr>
        <w:t>Przypadki Użycia zawierają wykaz scenariuszy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biznesowych/procesów biznesowych oraz listę Historyjek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Użytkownika.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Te ostatnie są wymaganiami (funkcjonalnymi i</w:t>
      </w:r>
      <w:r w:rsidR="00ED1EEA" w:rsidRPr="00ED1EEA">
        <w:rPr>
          <w:rFonts w:ascii="Calibri" w:hAnsi="Calibri" w:cs="Calibri"/>
          <w:color w:val="000000"/>
        </w:rPr>
        <w:t xml:space="preserve"> </w:t>
      </w:r>
      <w:proofErr w:type="spellStart"/>
      <w:r w:rsidRPr="00ED1EEA">
        <w:rPr>
          <w:rFonts w:ascii="Calibri" w:hAnsi="Calibri" w:cs="Calibri"/>
          <w:color w:val="000000"/>
        </w:rPr>
        <w:t>pozafunkcjonalnymi</w:t>
      </w:r>
      <w:proofErr w:type="spellEnd"/>
      <w:r w:rsidRPr="00ED1EEA">
        <w:rPr>
          <w:rFonts w:ascii="Calibri" w:hAnsi="Calibri" w:cs="Calibri"/>
          <w:color w:val="000000"/>
        </w:rPr>
        <w:t>) dla zespołu programistów.</w:t>
      </w:r>
    </w:p>
    <w:p w14:paraId="78EA9F5C" w14:textId="02203D67" w:rsidR="00CD7057" w:rsidRPr="00ED1EE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>Wymagania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funkcjonalne i</w:t>
      </w:r>
      <w:r w:rsidR="00ED1EEA" w:rsidRPr="00ED1EEA">
        <w:rPr>
          <w:rFonts w:ascii="Calibri" w:hAnsi="Calibri" w:cs="Calibri"/>
          <w:color w:val="000000"/>
        </w:rPr>
        <w:t xml:space="preserve"> </w:t>
      </w:r>
      <w:proofErr w:type="spellStart"/>
      <w:r w:rsidRPr="00ED1EEA">
        <w:rPr>
          <w:rFonts w:ascii="Calibri" w:hAnsi="Calibri" w:cs="Calibri"/>
          <w:color w:val="000000"/>
        </w:rPr>
        <w:t>pozafunkcjonalne</w:t>
      </w:r>
      <w:proofErr w:type="spellEnd"/>
      <w:r w:rsidR="00ED1EEA" w:rsidRPr="00ED1EEA">
        <w:rPr>
          <w:rFonts w:ascii="Calibri" w:hAnsi="Calibri" w:cs="Calibri"/>
          <w:color w:val="000000"/>
        </w:rPr>
        <w:t xml:space="preserve">: </w:t>
      </w:r>
      <w:r w:rsidRPr="00ED1EEA">
        <w:rPr>
          <w:rFonts w:ascii="Calibri" w:hAnsi="Calibri" w:cs="Calibri"/>
          <w:color w:val="000000"/>
        </w:rPr>
        <w:t>Historyjki Użytkownika Wykaz Historyjek Użytkownika</w:t>
      </w:r>
      <w:r w:rsidR="00ED1EEA" w:rsidRPr="00ED1EEA">
        <w:rPr>
          <w:rFonts w:ascii="Calibri" w:hAnsi="Calibri" w:cs="Calibri"/>
          <w:color w:val="000000"/>
        </w:rPr>
        <w:t>, które o</w:t>
      </w:r>
      <w:r w:rsidRPr="00ED1EEA">
        <w:rPr>
          <w:rFonts w:ascii="Calibri" w:hAnsi="Calibri" w:cs="Calibri"/>
          <w:color w:val="000000"/>
        </w:rPr>
        <w:t>pracowuje zespół analityków jako wymagania dla zespołu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programistów. Każda Historyjka powinna być powiązana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przynajmniej z jednym Przypadkiem Użycia. Dla wymagań</w:t>
      </w:r>
      <w:r w:rsid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funkcjonalnych zostaną wskazane moduły, które je realizują.</w:t>
      </w:r>
    </w:p>
    <w:p w14:paraId="5BF08787" w14:textId="29E054E3" w:rsidR="00CD7057" w:rsidRPr="00ED1EEA" w:rsidRDefault="00CD7057" w:rsidP="00ED1EEA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8C30AB" w14:textId="508ADD5F" w:rsidR="00CD7057" w:rsidRPr="00ED1EEA" w:rsidRDefault="00CD7057" w:rsidP="00ED1EEA">
      <w:pPr>
        <w:rPr>
          <w:b/>
          <w:bCs/>
        </w:rPr>
      </w:pPr>
      <w:r w:rsidRPr="00ED1EEA">
        <w:rPr>
          <w:b/>
          <w:bCs/>
        </w:rPr>
        <w:t xml:space="preserve">Dokumentacja architektury </w:t>
      </w:r>
      <w:r w:rsidR="00ED1EEA">
        <w:rPr>
          <w:b/>
          <w:bCs/>
        </w:rPr>
        <w:t>GDH</w:t>
      </w:r>
      <w:r w:rsidRPr="00ED1EEA">
        <w:rPr>
          <w:b/>
          <w:bCs/>
        </w:rPr>
        <w:t xml:space="preserve"> (jeden dokument dla całego </w:t>
      </w:r>
      <w:r w:rsidR="002471A1">
        <w:rPr>
          <w:b/>
          <w:bCs/>
        </w:rPr>
        <w:t>GDH</w:t>
      </w:r>
      <w:r w:rsidRPr="00ED1EEA">
        <w:rPr>
          <w:b/>
          <w:bCs/>
        </w:rPr>
        <w:t>)</w:t>
      </w:r>
    </w:p>
    <w:p w14:paraId="01010086" w14:textId="4FC66747" w:rsidR="00CD7057" w:rsidRPr="00ED1EE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>Procesy biznesowe/scenariusze biznesowe Lista procesów biznesowych</w:t>
      </w:r>
      <w:r w:rsidR="00ED1EEA" w:rsidRPr="00ED1EEA">
        <w:rPr>
          <w:rFonts w:ascii="Calibri" w:hAnsi="Calibri" w:cs="Calibri"/>
          <w:color w:val="000000"/>
        </w:rPr>
        <w:t xml:space="preserve">: </w:t>
      </w:r>
      <w:r w:rsidRPr="00ED1EEA">
        <w:rPr>
          <w:rFonts w:ascii="Calibri" w:hAnsi="Calibri" w:cs="Calibri"/>
          <w:color w:val="000000"/>
        </w:rPr>
        <w:t>Każdy proces biznesowy powinien posiadać diagram w notacji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BPMN na którym zaznaczono: kroki, role, produkowane rezultaty.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Każdy proces powinien wymieniać identyfikatory Wymagań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Biznesowych (lub identyfikatory Przypadków Użycia), które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realizuje. Każdy proces biznesowy będzie referował do</w:t>
      </w:r>
      <w:r w:rsid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odpowiedniego procesu technicznego, który go realizuje.</w:t>
      </w:r>
    </w:p>
    <w:p w14:paraId="51ED8070" w14:textId="13A70558" w:rsidR="00CD7057" w:rsidRPr="00ED1EE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>Obszar wydajności,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bezpieczeństwa itp.</w:t>
      </w:r>
      <w:r w:rsidR="00ED1EEA" w:rsidRPr="00ED1EEA">
        <w:rPr>
          <w:rFonts w:ascii="Calibri" w:hAnsi="Calibri" w:cs="Calibri"/>
          <w:color w:val="000000"/>
        </w:rPr>
        <w:t xml:space="preserve">: </w:t>
      </w:r>
      <w:r w:rsidRPr="00ED1EEA">
        <w:rPr>
          <w:rFonts w:ascii="Calibri" w:hAnsi="Calibri" w:cs="Calibri"/>
          <w:color w:val="000000"/>
        </w:rPr>
        <w:t>Lista wymagań biznesowych dla tych</w:t>
      </w:r>
      <w:r w:rsid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obszarów</w:t>
      </w:r>
    </w:p>
    <w:p w14:paraId="1C2F8D7D" w14:textId="304E847B" w:rsidR="00CD7057" w:rsidRPr="00ED1EE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D1EEA">
        <w:rPr>
          <w:rFonts w:ascii="Calibri" w:hAnsi="Calibri" w:cs="Calibri"/>
          <w:color w:val="000000"/>
        </w:rPr>
        <w:t>Reguły i wzorce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architektoniczne</w:t>
      </w:r>
      <w:r w:rsidR="00ED1EEA" w:rsidRPr="00ED1EEA">
        <w:rPr>
          <w:rFonts w:ascii="Calibri" w:hAnsi="Calibri" w:cs="Calibri"/>
          <w:color w:val="000000"/>
        </w:rPr>
        <w:t xml:space="preserve">: </w:t>
      </w:r>
      <w:r w:rsidRPr="00ED1EEA">
        <w:rPr>
          <w:rFonts w:ascii="Calibri" w:hAnsi="Calibri" w:cs="Calibri"/>
          <w:color w:val="000000"/>
        </w:rPr>
        <w:t xml:space="preserve">Opis zasad dekompozycji </w:t>
      </w:r>
      <w:r w:rsidR="00ED1EEA" w:rsidRPr="00ED1EEA">
        <w:rPr>
          <w:rFonts w:ascii="Calibri" w:hAnsi="Calibri" w:cs="Calibri"/>
          <w:color w:val="000000"/>
        </w:rPr>
        <w:t>GDH</w:t>
      </w:r>
      <w:r w:rsidRPr="00ED1EEA">
        <w:rPr>
          <w:rFonts w:ascii="Calibri" w:hAnsi="Calibri" w:cs="Calibri"/>
          <w:color w:val="000000"/>
        </w:rPr>
        <w:t xml:space="preserve"> od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strony struktury.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 xml:space="preserve">Np. struktura </w:t>
      </w:r>
      <w:r w:rsidR="00ED1EEA" w:rsidRPr="00ED1EEA">
        <w:rPr>
          <w:rFonts w:ascii="Calibri" w:hAnsi="Calibri" w:cs="Calibri"/>
          <w:color w:val="000000"/>
        </w:rPr>
        <w:t>GDH</w:t>
      </w:r>
      <w:r w:rsidRPr="00ED1EEA">
        <w:rPr>
          <w:rFonts w:ascii="Calibri" w:hAnsi="Calibri" w:cs="Calibri"/>
          <w:color w:val="000000"/>
        </w:rPr>
        <w:t xml:space="preserve"> składa się z modułów i komponentów</w:t>
      </w:r>
      <w:r w:rsidR="00ED1EEA" w:rsidRPr="00ED1EEA">
        <w:rPr>
          <w:rFonts w:ascii="Calibri" w:hAnsi="Calibri" w:cs="Calibri"/>
          <w:color w:val="000000"/>
        </w:rPr>
        <w:t xml:space="preserve"> </w:t>
      </w:r>
      <w:r w:rsidRPr="00ED1EEA">
        <w:rPr>
          <w:rFonts w:ascii="Calibri" w:hAnsi="Calibri" w:cs="Calibri"/>
          <w:color w:val="000000"/>
        </w:rPr>
        <w:t>bibliotecznych (np. silnik procesów).</w:t>
      </w:r>
    </w:p>
    <w:p w14:paraId="4ADE4E12" w14:textId="77532E40" w:rsidR="00CD7057" w:rsidRPr="0051105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Specyfikacja używanych interfejsów</w:t>
      </w:r>
      <w:r w:rsidR="0051105A" w:rsidRPr="0051105A">
        <w:rPr>
          <w:rFonts w:ascii="Calibri" w:hAnsi="Calibri" w:cs="Calibri"/>
          <w:color w:val="000000"/>
        </w:rPr>
        <w:t xml:space="preserve">. </w:t>
      </w:r>
      <w:r w:rsidRPr="0051105A">
        <w:rPr>
          <w:rFonts w:ascii="Calibri" w:hAnsi="Calibri" w:cs="Calibri"/>
          <w:color w:val="000000"/>
        </w:rPr>
        <w:t xml:space="preserve">Dokumentacja w </w:t>
      </w:r>
      <w:proofErr w:type="spellStart"/>
      <w:r w:rsidRPr="0051105A">
        <w:rPr>
          <w:rFonts w:ascii="Calibri" w:hAnsi="Calibri" w:cs="Calibri"/>
          <w:color w:val="000000"/>
        </w:rPr>
        <w:t>Swagger</w:t>
      </w:r>
      <w:proofErr w:type="spellEnd"/>
      <w:r w:rsidRPr="0051105A">
        <w:rPr>
          <w:rFonts w:ascii="Calibri" w:hAnsi="Calibri" w:cs="Calibri"/>
          <w:color w:val="000000"/>
        </w:rPr>
        <w:t xml:space="preserve">/Open API w zakresie API </w:t>
      </w:r>
      <w:r w:rsidR="0051105A" w:rsidRPr="0051105A">
        <w:rPr>
          <w:rFonts w:ascii="Calibri" w:hAnsi="Calibri" w:cs="Calibri"/>
          <w:color w:val="000000"/>
        </w:rPr>
        <w:t>GDH</w:t>
      </w:r>
      <w:r w:rsidRPr="0051105A">
        <w:rPr>
          <w:rFonts w:ascii="Calibri" w:hAnsi="Calibri" w:cs="Calibri"/>
          <w:color w:val="000000"/>
        </w:rPr>
        <w:t>. Dokumentacja API zewnętrznych systemów</w:t>
      </w:r>
      <w:r w:rsid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dostarczone zostaną przez administratorów tych systemów.</w:t>
      </w:r>
    </w:p>
    <w:p w14:paraId="7AEB7A0D" w14:textId="17CFE553" w:rsidR="00CD7057" w:rsidRPr="0051105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Diagram/diagramy ilustrujący moduły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="0051105A">
        <w:rPr>
          <w:rFonts w:ascii="Calibri" w:hAnsi="Calibri" w:cs="Calibri"/>
          <w:color w:val="000000"/>
        </w:rPr>
        <w:t>GDH</w:t>
      </w:r>
      <w:r w:rsidRPr="0051105A">
        <w:rPr>
          <w:rFonts w:ascii="Calibri" w:hAnsi="Calibri" w:cs="Calibri"/>
          <w:color w:val="000000"/>
        </w:rPr>
        <w:t xml:space="preserve"> oraz ich kooperację.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Opis elementów diagramu w dokumentacji każdego w z modułów</w:t>
      </w:r>
      <w:r w:rsidR="0051105A">
        <w:rPr>
          <w:rFonts w:ascii="Calibri" w:hAnsi="Calibri" w:cs="Calibri"/>
          <w:color w:val="000000"/>
        </w:rPr>
        <w:t xml:space="preserve"> GDH</w:t>
      </w:r>
      <w:r w:rsidRPr="0051105A">
        <w:rPr>
          <w:rFonts w:ascii="Calibri" w:hAnsi="Calibri" w:cs="Calibri"/>
          <w:color w:val="000000"/>
        </w:rPr>
        <w:t>.</w:t>
      </w:r>
    </w:p>
    <w:p w14:paraId="1F5F5215" w14:textId="72D89CBA" w:rsidR="00CD7057" w:rsidRPr="0051105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Diagram/diagramy ilustrujący kooperację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modułów Systemu z systemami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zewnętrznymi</w:t>
      </w:r>
      <w:r w:rsidR="0051105A" w:rsidRPr="0051105A">
        <w:rPr>
          <w:rFonts w:ascii="Calibri" w:hAnsi="Calibri" w:cs="Calibri"/>
          <w:color w:val="000000"/>
        </w:rPr>
        <w:t xml:space="preserve">: </w:t>
      </w:r>
      <w:r w:rsidRPr="0051105A">
        <w:rPr>
          <w:rFonts w:ascii="Calibri" w:hAnsi="Calibri" w:cs="Calibri"/>
          <w:color w:val="000000"/>
        </w:rPr>
        <w:t>Opis integracji w dokumentacji odpowiednich modułów Systemu</w:t>
      </w:r>
      <w:r w:rsidR="0051105A" w:rsidRPr="0051105A">
        <w:rPr>
          <w:rFonts w:ascii="Calibri" w:hAnsi="Calibri" w:cs="Calibri"/>
          <w:color w:val="000000"/>
        </w:rPr>
        <w:t xml:space="preserve">. </w:t>
      </w:r>
      <w:r w:rsidRPr="0051105A">
        <w:rPr>
          <w:rFonts w:ascii="Calibri" w:hAnsi="Calibri" w:cs="Calibri"/>
          <w:color w:val="000000"/>
        </w:rPr>
        <w:t>Dodatkowe uszczegółowienie w dokumentach opisujących</w:t>
      </w:r>
      <w:r w:rsid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poszczególne moduły.</w:t>
      </w:r>
    </w:p>
    <w:p w14:paraId="7EED52BE" w14:textId="39D9D88A" w:rsidR="00CD7057" w:rsidRPr="0051105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Stos technologii IT</w:t>
      </w:r>
      <w:r w:rsidR="0051105A" w:rsidRPr="0051105A">
        <w:rPr>
          <w:rFonts w:ascii="Calibri" w:hAnsi="Calibri" w:cs="Calibri"/>
          <w:color w:val="000000"/>
        </w:rPr>
        <w:t xml:space="preserve">: </w:t>
      </w:r>
      <w:r w:rsidRPr="0051105A">
        <w:rPr>
          <w:rFonts w:ascii="Calibri" w:hAnsi="Calibri" w:cs="Calibri"/>
          <w:color w:val="000000"/>
        </w:rPr>
        <w:t>Zestawienie wykorzystanych technologii IT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w kontekście komponentów Systemu i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serwerów infrastruktury.</w:t>
      </w:r>
      <w:r w:rsid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Opracowane we współpracy z dostawcą usługi infrastruktury</w:t>
      </w:r>
      <w:r w:rsidR="0051105A">
        <w:rPr>
          <w:rFonts w:ascii="Calibri" w:hAnsi="Calibri" w:cs="Calibri"/>
          <w:color w:val="000000"/>
        </w:rPr>
        <w:t>.</w:t>
      </w:r>
    </w:p>
    <w:p w14:paraId="163EE29E" w14:textId="125E821D" w:rsidR="00CD7057" w:rsidRPr="0051105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Logiczny model danych</w:t>
      </w:r>
      <w:r w:rsidR="0051105A" w:rsidRPr="0051105A">
        <w:rPr>
          <w:rFonts w:ascii="Calibri" w:hAnsi="Calibri" w:cs="Calibri"/>
          <w:color w:val="000000"/>
        </w:rPr>
        <w:t xml:space="preserve">: </w:t>
      </w:r>
      <w:r w:rsidRPr="0051105A">
        <w:rPr>
          <w:rFonts w:ascii="Calibri" w:hAnsi="Calibri" w:cs="Calibri"/>
          <w:color w:val="000000"/>
        </w:rPr>
        <w:t>Schemat modelu przedstawiony za pomocą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diagramu klas uzupełniony o opis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wykorzystania modelu w dokumentacjach</w:t>
      </w:r>
      <w:r w:rsid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 xml:space="preserve">modułów </w:t>
      </w:r>
      <w:r w:rsidR="0051105A">
        <w:rPr>
          <w:rFonts w:ascii="Calibri" w:hAnsi="Calibri" w:cs="Calibri"/>
          <w:color w:val="000000"/>
        </w:rPr>
        <w:t>GDH.</w:t>
      </w:r>
    </w:p>
    <w:p w14:paraId="33099983" w14:textId="77777777" w:rsidR="0051105A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Fizyczny model danych</w:t>
      </w:r>
      <w:r w:rsidR="0051105A" w:rsidRPr="0051105A">
        <w:rPr>
          <w:rFonts w:ascii="Calibri" w:hAnsi="Calibri" w:cs="Calibri"/>
          <w:color w:val="000000"/>
        </w:rPr>
        <w:t>:</w:t>
      </w:r>
      <w:r w:rsidRPr="0051105A">
        <w:rPr>
          <w:rFonts w:ascii="Calibri" w:hAnsi="Calibri" w:cs="Calibri"/>
          <w:color w:val="000000"/>
        </w:rPr>
        <w:t xml:space="preserve"> Schemat bazy uzupełniony o niezbędny opis</w:t>
      </w:r>
      <w:r w:rsidR="0051105A">
        <w:rPr>
          <w:rFonts w:ascii="Calibri" w:hAnsi="Calibri" w:cs="Calibri"/>
          <w:color w:val="000000"/>
        </w:rPr>
        <w:t>.</w:t>
      </w:r>
    </w:p>
    <w:p w14:paraId="4EFC652E" w14:textId="3B1EFF74" w:rsidR="00CD7057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105A">
        <w:rPr>
          <w:rFonts w:ascii="Calibri" w:hAnsi="Calibri" w:cs="Calibri"/>
          <w:color w:val="000000"/>
        </w:rPr>
        <w:t>Usługi infrastruktury</w:t>
      </w:r>
      <w:r w:rsidR="0051105A" w:rsidRPr="0051105A">
        <w:rPr>
          <w:rFonts w:ascii="Calibri" w:hAnsi="Calibri" w:cs="Calibri"/>
          <w:color w:val="000000"/>
        </w:rPr>
        <w:t>:</w:t>
      </w:r>
      <w:r w:rsidRPr="0051105A">
        <w:rPr>
          <w:rFonts w:ascii="Calibri" w:hAnsi="Calibri" w:cs="Calibri"/>
          <w:color w:val="000000"/>
        </w:rPr>
        <w:t xml:space="preserve"> Zasady dekompozycji usług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infrastruktury</w:t>
      </w:r>
      <w:r w:rsidR="0051105A" w:rsidRPr="0051105A">
        <w:rPr>
          <w:rFonts w:ascii="Calibri" w:hAnsi="Calibri" w:cs="Calibri"/>
          <w:color w:val="000000"/>
        </w:rPr>
        <w:t xml:space="preserve">. </w:t>
      </w:r>
      <w:r w:rsidRPr="0051105A">
        <w:rPr>
          <w:rFonts w:ascii="Calibri" w:hAnsi="Calibri" w:cs="Calibri"/>
          <w:color w:val="000000"/>
        </w:rPr>
        <w:t>Opis usług, wyjaśnienie struktury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(wirtualizacji/ konteneryzacji, warstw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oprogramowania systemowego, lokalizacji,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 xml:space="preserve">instancji </w:t>
      </w:r>
      <w:r w:rsidR="0051105A" w:rsidRPr="0051105A">
        <w:rPr>
          <w:rFonts w:ascii="Calibri" w:hAnsi="Calibri" w:cs="Calibri"/>
          <w:color w:val="000000"/>
        </w:rPr>
        <w:t>GDH</w:t>
      </w:r>
      <w:r w:rsidRPr="0051105A">
        <w:rPr>
          <w:rFonts w:ascii="Calibri" w:hAnsi="Calibri" w:cs="Calibri"/>
          <w:color w:val="000000"/>
        </w:rPr>
        <w:t xml:space="preserve"> itd.)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Stosowane w dokumencie opisującym szczegóły używanej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infrastruktury i generowanych przez nią usług. Dokumentacja</w:t>
      </w:r>
      <w:r w:rsidR="0051105A" w:rsidRPr="0051105A">
        <w:rPr>
          <w:rFonts w:ascii="Calibri" w:hAnsi="Calibri" w:cs="Calibri"/>
          <w:color w:val="000000"/>
        </w:rPr>
        <w:t xml:space="preserve"> </w:t>
      </w:r>
      <w:r w:rsidRPr="0051105A">
        <w:rPr>
          <w:rFonts w:ascii="Calibri" w:hAnsi="Calibri" w:cs="Calibri"/>
          <w:color w:val="000000"/>
        </w:rPr>
        <w:t>zostanie dostarczona przez dostawcę usługi infrastruktury.</w:t>
      </w:r>
    </w:p>
    <w:p w14:paraId="024980AF" w14:textId="77777777" w:rsidR="0051105A" w:rsidRPr="0051105A" w:rsidRDefault="0051105A" w:rsidP="0051105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14:paraId="43C26DFA" w14:textId="77777777" w:rsidR="00CD7057" w:rsidRPr="0051105A" w:rsidRDefault="00CD7057" w:rsidP="0051105A">
      <w:pPr>
        <w:rPr>
          <w:b/>
          <w:bCs/>
        </w:rPr>
      </w:pPr>
      <w:r w:rsidRPr="0051105A">
        <w:rPr>
          <w:b/>
          <w:bCs/>
        </w:rPr>
        <w:t>Dokumentacja Modułu (dla każdego modułu oddzielnie)</w:t>
      </w:r>
    </w:p>
    <w:p w14:paraId="1C86A797" w14:textId="4FD1109E" w:rsidR="00CD7057" w:rsidRPr="001421BB" w:rsidRDefault="005110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Specyfikacja modułu:</w:t>
      </w:r>
      <w:r w:rsidR="001421BB" w:rsidRPr="001421BB">
        <w:rPr>
          <w:rFonts w:ascii="Calibri" w:hAnsi="Calibri" w:cs="Calibri"/>
          <w:color w:val="000000"/>
        </w:rPr>
        <w:t xml:space="preserve"> </w:t>
      </w:r>
      <w:r w:rsidR="00CD7057" w:rsidRPr="001421BB">
        <w:rPr>
          <w:rFonts w:ascii="Calibri" w:hAnsi="Calibri" w:cs="Calibri"/>
          <w:color w:val="000000"/>
        </w:rPr>
        <w:t xml:space="preserve">Lista wykorzystywanych </w:t>
      </w:r>
      <w:proofErr w:type="spellStart"/>
      <w:r w:rsidR="00CD7057" w:rsidRPr="001421BB">
        <w:rPr>
          <w:rFonts w:ascii="Calibri" w:hAnsi="Calibri" w:cs="Calibri"/>
          <w:color w:val="000000"/>
        </w:rPr>
        <w:t>Mikroserwisów</w:t>
      </w:r>
      <w:proofErr w:type="spellEnd"/>
      <w:r w:rsidR="00CD7057" w:rsidRPr="001421BB">
        <w:rPr>
          <w:rFonts w:ascii="Calibri" w:hAnsi="Calibri" w:cs="Calibri"/>
          <w:color w:val="000000"/>
        </w:rPr>
        <w:t>,</w:t>
      </w:r>
      <w:r w:rsidR="001421BB" w:rsidRPr="001421BB">
        <w:rPr>
          <w:rFonts w:ascii="Calibri" w:hAnsi="Calibri" w:cs="Calibri"/>
          <w:color w:val="000000"/>
        </w:rPr>
        <w:t xml:space="preserve"> </w:t>
      </w:r>
      <w:r w:rsidR="00CD7057" w:rsidRPr="001421BB">
        <w:rPr>
          <w:rFonts w:ascii="Calibri" w:hAnsi="Calibri" w:cs="Calibri"/>
          <w:color w:val="000000"/>
        </w:rPr>
        <w:t>obsługiwane interfejsy, lista obiektów</w:t>
      </w:r>
      <w:r w:rsidR="001421BB" w:rsidRPr="001421BB">
        <w:rPr>
          <w:rFonts w:ascii="Calibri" w:hAnsi="Calibri" w:cs="Calibri"/>
          <w:color w:val="000000"/>
        </w:rPr>
        <w:t xml:space="preserve"> </w:t>
      </w:r>
      <w:r w:rsidR="00CD7057" w:rsidRPr="001421BB">
        <w:rPr>
          <w:rFonts w:ascii="Calibri" w:hAnsi="Calibri" w:cs="Calibri"/>
          <w:color w:val="000000"/>
        </w:rPr>
        <w:t>biznesowych/obiektów danych, które dany</w:t>
      </w:r>
      <w:r w:rsidR="001421BB" w:rsidRPr="001421BB">
        <w:rPr>
          <w:rFonts w:ascii="Calibri" w:hAnsi="Calibri" w:cs="Calibri"/>
          <w:color w:val="000000"/>
        </w:rPr>
        <w:t xml:space="preserve"> </w:t>
      </w:r>
      <w:r w:rsidR="00CD7057" w:rsidRPr="001421BB">
        <w:rPr>
          <w:rFonts w:ascii="Calibri" w:hAnsi="Calibri" w:cs="Calibri"/>
          <w:color w:val="000000"/>
        </w:rPr>
        <w:t>moduł obsługuje</w:t>
      </w:r>
      <w:r w:rsidR="001421BB" w:rsidRPr="001421BB">
        <w:rPr>
          <w:rFonts w:ascii="Calibri" w:hAnsi="Calibri" w:cs="Calibri"/>
          <w:color w:val="000000"/>
        </w:rPr>
        <w:t>,</w:t>
      </w:r>
      <w:r w:rsidR="001421BB">
        <w:rPr>
          <w:rFonts w:ascii="Calibri" w:hAnsi="Calibri" w:cs="Calibri"/>
          <w:color w:val="000000"/>
        </w:rPr>
        <w:t xml:space="preserve"> l</w:t>
      </w:r>
      <w:r w:rsidR="00CD7057" w:rsidRPr="001421BB">
        <w:rPr>
          <w:rFonts w:ascii="Calibri" w:hAnsi="Calibri" w:cs="Calibri"/>
          <w:color w:val="000000"/>
        </w:rPr>
        <w:t>ista procesów</w:t>
      </w:r>
    </w:p>
    <w:p w14:paraId="51FF1A02" w14:textId="2B7E881B" w:rsidR="00CD7057" w:rsidRPr="001421BB" w:rsidRDefault="00CD70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biznesowych, które wspiera</w:t>
      </w:r>
      <w:r w:rsidR="001421BB" w:rsidRPr="001421BB">
        <w:rPr>
          <w:rFonts w:ascii="Calibri" w:hAnsi="Calibri" w:cs="Calibri"/>
          <w:color w:val="000000"/>
        </w:rPr>
        <w:t>, l</w:t>
      </w:r>
      <w:r w:rsidRPr="001421BB">
        <w:rPr>
          <w:rFonts w:ascii="Calibri" w:hAnsi="Calibri" w:cs="Calibri"/>
          <w:color w:val="000000"/>
        </w:rPr>
        <w:t>ista scenariuszy testów</w:t>
      </w:r>
      <w:r w:rsidR="001421BB" w:rsidRPr="001421BB">
        <w:rPr>
          <w:rFonts w:ascii="Calibri" w:hAnsi="Calibri" w:cs="Calibri"/>
          <w:color w:val="000000"/>
        </w:rPr>
        <w:t>, u</w:t>
      </w:r>
      <w:r w:rsidRPr="001421BB">
        <w:rPr>
          <w:rFonts w:ascii="Calibri" w:hAnsi="Calibri" w:cs="Calibri"/>
          <w:color w:val="000000"/>
        </w:rPr>
        <w:t>sługi infrastruktury z</w:t>
      </w:r>
      <w:r w:rsidR="001421BB" w:rsidRPr="001421BB">
        <w:rPr>
          <w:rFonts w:ascii="Calibri" w:hAnsi="Calibri" w:cs="Calibri"/>
          <w:color w:val="000000"/>
        </w:rPr>
        <w:t xml:space="preserve"> </w:t>
      </w:r>
      <w:r w:rsidRPr="001421BB">
        <w:rPr>
          <w:rFonts w:ascii="Calibri" w:hAnsi="Calibri" w:cs="Calibri"/>
          <w:color w:val="000000"/>
        </w:rPr>
        <w:t>których korzysta moduł i</w:t>
      </w:r>
      <w:r w:rsidR="001421BB" w:rsidRPr="001421BB">
        <w:rPr>
          <w:rFonts w:ascii="Calibri" w:hAnsi="Calibri" w:cs="Calibri"/>
          <w:color w:val="000000"/>
        </w:rPr>
        <w:t xml:space="preserve"> </w:t>
      </w:r>
      <w:r w:rsidRPr="001421BB">
        <w:rPr>
          <w:rFonts w:ascii="Calibri" w:hAnsi="Calibri" w:cs="Calibri"/>
          <w:color w:val="000000"/>
        </w:rPr>
        <w:t>powiązane z nim</w:t>
      </w:r>
      <w:r w:rsidR="001421BB" w:rsidRPr="001421BB">
        <w:rPr>
          <w:rFonts w:ascii="Calibri" w:hAnsi="Calibri" w:cs="Calibri"/>
          <w:color w:val="000000"/>
        </w:rPr>
        <w:t xml:space="preserve"> </w:t>
      </w:r>
      <w:proofErr w:type="spellStart"/>
      <w:r w:rsidRPr="001421BB">
        <w:rPr>
          <w:rFonts w:ascii="Calibri" w:hAnsi="Calibri" w:cs="Calibri"/>
          <w:color w:val="000000"/>
        </w:rPr>
        <w:t>Mikroserwisy</w:t>
      </w:r>
      <w:proofErr w:type="spellEnd"/>
      <w:r w:rsidR="001421BB">
        <w:rPr>
          <w:rFonts w:ascii="Calibri" w:hAnsi="Calibri" w:cs="Calibri"/>
          <w:color w:val="000000"/>
        </w:rPr>
        <w:t xml:space="preserve"> (w</w:t>
      </w:r>
      <w:r w:rsidRPr="001421BB">
        <w:rPr>
          <w:rFonts w:ascii="Calibri" w:hAnsi="Calibri" w:cs="Calibri"/>
          <w:color w:val="000000"/>
        </w:rPr>
        <w:t xml:space="preserve"> porozumieniu z podmiotem odpowiedzialnym za infrastrukturę</w:t>
      </w:r>
      <w:r w:rsidR="001421BB">
        <w:rPr>
          <w:rFonts w:ascii="Calibri" w:hAnsi="Calibri" w:cs="Calibri"/>
          <w:color w:val="000000"/>
        </w:rPr>
        <w:t>).</w:t>
      </w:r>
    </w:p>
    <w:p w14:paraId="31AFD4B2" w14:textId="00BC532C" w:rsidR="00CD7057" w:rsidRPr="001421BB" w:rsidRDefault="001421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lastRenderedPageBreak/>
        <w:t xml:space="preserve">Specyfikacja </w:t>
      </w:r>
      <w:proofErr w:type="spellStart"/>
      <w:r w:rsidRPr="001421BB">
        <w:rPr>
          <w:rFonts w:ascii="Calibri" w:hAnsi="Calibri" w:cs="Calibri"/>
          <w:color w:val="000000"/>
        </w:rPr>
        <w:t>Mikroserwisu</w:t>
      </w:r>
      <w:proofErr w:type="spellEnd"/>
      <w:r w:rsidRPr="001421BB">
        <w:rPr>
          <w:rFonts w:ascii="Calibri" w:hAnsi="Calibri" w:cs="Calibri"/>
          <w:color w:val="000000"/>
        </w:rPr>
        <w:t xml:space="preserve">: </w:t>
      </w:r>
      <w:r w:rsidR="00CD7057" w:rsidRPr="001421BB">
        <w:rPr>
          <w:rFonts w:ascii="Calibri" w:hAnsi="Calibri" w:cs="Calibri"/>
          <w:color w:val="000000"/>
        </w:rPr>
        <w:t>Opis funkcji, które realizuje</w:t>
      </w:r>
      <w:r w:rsidRPr="001421BB">
        <w:rPr>
          <w:rFonts w:ascii="Calibri" w:hAnsi="Calibri" w:cs="Calibri"/>
          <w:color w:val="000000"/>
        </w:rPr>
        <w:t>, s</w:t>
      </w:r>
      <w:r w:rsidR="00CD7057" w:rsidRPr="001421BB">
        <w:rPr>
          <w:rFonts w:ascii="Calibri" w:hAnsi="Calibri" w:cs="Calibri"/>
          <w:color w:val="000000"/>
        </w:rPr>
        <w:t xml:space="preserve">pecyfikacja API </w:t>
      </w:r>
      <w:r w:rsidRPr="001421BB">
        <w:rPr>
          <w:rFonts w:ascii="Calibri" w:hAnsi="Calibri" w:cs="Calibri"/>
          <w:color w:val="000000"/>
        </w:rPr>
        <w:t>(d</w:t>
      </w:r>
      <w:r w:rsidR="00CD7057" w:rsidRPr="001421BB">
        <w:rPr>
          <w:rFonts w:ascii="Calibri" w:hAnsi="Calibri" w:cs="Calibri"/>
          <w:color w:val="000000"/>
        </w:rPr>
        <w:t xml:space="preserve">okumentacja w </w:t>
      </w:r>
      <w:proofErr w:type="spellStart"/>
      <w:r w:rsidR="00CD7057" w:rsidRPr="001421BB">
        <w:rPr>
          <w:rFonts w:ascii="Calibri" w:hAnsi="Calibri" w:cs="Calibri"/>
          <w:color w:val="000000"/>
        </w:rPr>
        <w:t>Swagger</w:t>
      </w:r>
      <w:proofErr w:type="spellEnd"/>
      <w:r w:rsidR="00CD7057" w:rsidRPr="001421BB">
        <w:rPr>
          <w:rFonts w:ascii="Calibri" w:hAnsi="Calibri" w:cs="Calibri"/>
          <w:color w:val="000000"/>
        </w:rPr>
        <w:t>/Open API</w:t>
      </w:r>
      <w:r w:rsidRPr="001421BB">
        <w:rPr>
          <w:rFonts w:ascii="Calibri" w:hAnsi="Calibri" w:cs="Calibri"/>
          <w:color w:val="000000"/>
        </w:rPr>
        <w:t>), o</w:t>
      </w:r>
      <w:r w:rsidR="00CD7057" w:rsidRPr="001421BB">
        <w:rPr>
          <w:rFonts w:ascii="Calibri" w:hAnsi="Calibri" w:cs="Calibri"/>
          <w:color w:val="000000"/>
        </w:rPr>
        <w:t>biekty biznesowe/dane,</w:t>
      </w:r>
      <w:r w:rsidRPr="001421BB">
        <w:rPr>
          <w:rFonts w:ascii="Calibri" w:hAnsi="Calibri" w:cs="Calibri"/>
          <w:color w:val="000000"/>
        </w:rPr>
        <w:t xml:space="preserve"> </w:t>
      </w:r>
      <w:r w:rsidR="00CD7057" w:rsidRPr="001421BB">
        <w:rPr>
          <w:rFonts w:ascii="Calibri" w:hAnsi="Calibri" w:cs="Calibri"/>
          <w:color w:val="000000"/>
        </w:rPr>
        <w:t>które przetwarza (jeśli</w:t>
      </w:r>
      <w:r w:rsidRPr="001421BB">
        <w:rPr>
          <w:rFonts w:ascii="Calibri" w:hAnsi="Calibri" w:cs="Calibri"/>
          <w:color w:val="000000"/>
        </w:rPr>
        <w:t xml:space="preserve"> </w:t>
      </w:r>
      <w:r w:rsidR="00CD7057" w:rsidRPr="001421BB">
        <w:rPr>
          <w:rFonts w:ascii="Calibri" w:hAnsi="Calibri" w:cs="Calibri"/>
          <w:color w:val="000000"/>
        </w:rPr>
        <w:t>dotyczy)</w:t>
      </w:r>
      <w:r w:rsidRPr="001421BB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l</w:t>
      </w:r>
      <w:r w:rsidR="00CD7057" w:rsidRPr="001421BB">
        <w:rPr>
          <w:rFonts w:ascii="Calibri" w:hAnsi="Calibri" w:cs="Calibri"/>
          <w:color w:val="000000"/>
        </w:rPr>
        <w:t>inki do kodu źródłowego</w:t>
      </w:r>
      <w:r>
        <w:rPr>
          <w:rFonts w:ascii="Calibri" w:hAnsi="Calibri" w:cs="Calibri"/>
          <w:color w:val="000000"/>
        </w:rPr>
        <w:t>.</w:t>
      </w:r>
    </w:p>
    <w:p w14:paraId="2290D07D" w14:textId="77777777" w:rsidR="001421BB" w:rsidRDefault="001421BB" w:rsidP="00CD705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</w:p>
    <w:p w14:paraId="5AD808EF" w14:textId="56DE9CF7" w:rsidR="00CD7057" w:rsidRPr="001421BB" w:rsidRDefault="00CD7057" w:rsidP="001421BB">
      <w:pPr>
        <w:rPr>
          <w:b/>
          <w:bCs/>
        </w:rPr>
      </w:pPr>
      <w:r w:rsidRPr="001421BB">
        <w:rPr>
          <w:b/>
          <w:bCs/>
        </w:rPr>
        <w:t xml:space="preserve">Kody źródłowe systemu </w:t>
      </w:r>
      <w:r w:rsidR="002471A1">
        <w:rPr>
          <w:b/>
          <w:bCs/>
        </w:rPr>
        <w:t>GDH</w:t>
      </w:r>
      <w:r w:rsidRPr="001421BB">
        <w:rPr>
          <w:b/>
          <w:bCs/>
        </w:rPr>
        <w:t>.</w:t>
      </w:r>
    </w:p>
    <w:p w14:paraId="2CDB9BCE" w14:textId="119EC0FD" w:rsidR="00CD7057" w:rsidRDefault="00CD70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 xml:space="preserve">Partner przekaże komplet kodów źródłowych </w:t>
      </w:r>
      <w:r w:rsidR="001421BB">
        <w:rPr>
          <w:rFonts w:ascii="Calibri" w:hAnsi="Calibri" w:cs="Calibri"/>
          <w:color w:val="000000"/>
        </w:rPr>
        <w:t>GDH</w:t>
      </w:r>
      <w:r w:rsidRPr="001421BB">
        <w:rPr>
          <w:rFonts w:ascii="Calibri" w:hAnsi="Calibri" w:cs="Calibri"/>
          <w:color w:val="000000"/>
        </w:rPr>
        <w:t>.</w:t>
      </w:r>
    </w:p>
    <w:p w14:paraId="3960FB8F" w14:textId="77777777" w:rsidR="001421BB" w:rsidRPr="001421BB" w:rsidRDefault="001421BB" w:rsidP="001421BB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F505A6" w14:textId="77777777" w:rsidR="00CD7057" w:rsidRPr="001421BB" w:rsidRDefault="00CD7057" w:rsidP="001421BB">
      <w:pPr>
        <w:rPr>
          <w:b/>
          <w:bCs/>
        </w:rPr>
      </w:pPr>
      <w:r w:rsidRPr="001421BB">
        <w:rPr>
          <w:b/>
          <w:bCs/>
        </w:rPr>
        <w:t>Dokumentacja utrzymania i administrowania</w:t>
      </w:r>
    </w:p>
    <w:p w14:paraId="75E6AD02" w14:textId="7E6BC7ED" w:rsidR="00CD7057" w:rsidRPr="001421BB" w:rsidRDefault="00CD70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Instrukcja monitorowania systemu – na poziomie aplikacji;</w:t>
      </w:r>
    </w:p>
    <w:p w14:paraId="2D8821BC" w14:textId="1C8C30F6" w:rsidR="00CD7057" w:rsidRPr="001421BB" w:rsidRDefault="00CD70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Instrukcje codziennych i okresowych prac administracyjnych na poziomie aplikacyjnym;</w:t>
      </w:r>
    </w:p>
    <w:p w14:paraId="5A82F473" w14:textId="01BBA86A" w:rsidR="00CD7057" w:rsidRPr="001421BB" w:rsidRDefault="00CD70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Instrukcje zarządzanie użytkownikami i ich uprawnieniami na poziomie aplikacyjnym;</w:t>
      </w:r>
    </w:p>
    <w:p w14:paraId="3836C7C9" w14:textId="4FE41DBE" w:rsidR="00CD7057" w:rsidRPr="001421BB" w:rsidRDefault="00CD70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Opis procesu wydawania (CI/CD).</w:t>
      </w:r>
    </w:p>
    <w:p w14:paraId="289B3B9E" w14:textId="3BE30425" w:rsidR="00CD7057" w:rsidRDefault="00CD70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21BB">
        <w:rPr>
          <w:rFonts w:ascii="Calibri" w:hAnsi="Calibri" w:cs="Calibri"/>
          <w:color w:val="000000"/>
        </w:rPr>
        <w:t>Zasady przechowywania kodu źródłowego i dokumentacji;</w:t>
      </w:r>
    </w:p>
    <w:p w14:paraId="093ABE3D" w14:textId="4B132CCC" w:rsidR="001421BB" w:rsidRPr="001421BB" w:rsidRDefault="001421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Instrukcja instalacji / odtworzenia (</w:t>
      </w:r>
      <w:proofErr w:type="spellStart"/>
      <w:r>
        <w:rPr>
          <w:rFonts w:ascii="Calibri" w:hAnsi="Calibri" w:cs="Calibri"/>
          <w:color w:val="000000"/>
        </w:rPr>
        <w:t>disaster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recovery</w:t>
      </w:r>
      <w:proofErr w:type="spellEnd"/>
      <w:r>
        <w:rPr>
          <w:rFonts w:ascii="Calibri" w:hAnsi="Calibri" w:cs="Calibri"/>
          <w:color w:val="000000"/>
        </w:rPr>
        <w:t>) – z kopii GDH i z kodu źródłowego.</w:t>
      </w:r>
    </w:p>
    <w:p w14:paraId="7957CCA5" w14:textId="77777777" w:rsidR="001421BB" w:rsidRDefault="001421BB" w:rsidP="00CD70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4AEED1" w14:textId="77777777" w:rsidR="00CD7057" w:rsidRPr="001421BB" w:rsidRDefault="00CD7057" w:rsidP="001421BB">
      <w:pPr>
        <w:rPr>
          <w:b/>
          <w:bCs/>
        </w:rPr>
      </w:pPr>
      <w:r w:rsidRPr="001421BB">
        <w:rPr>
          <w:b/>
          <w:bCs/>
        </w:rPr>
        <w:t>Dokumentacja użytkownika</w:t>
      </w:r>
    </w:p>
    <w:p w14:paraId="04AD3542" w14:textId="58DE79DA" w:rsidR="00CD7057" w:rsidRDefault="00CD7057" w:rsidP="00CD705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Instrukcje użytkownika dla wszystkich ról i funkcjonalności przewidzianych w </w:t>
      </w:r>
      <w:r w:rsidR="001421BB">
        <w:rPr>
          <w:rFonts w:ascii="Calibri" w:hAnsi="Calibri" w:cs="Calibri"/>
          <w:color w:val="000000"/>
        </w:rPr>
        <w:t>GDH</w:t>
      </w:r>
      <w:r>
        <w:rPr>
          <w:rFonts w:ascii="Calibri" w:hAnsi="Calibri" w:cs="Calibri"/>
          <w:color w:val="000000"/>
        </w:rPr>
        <w:t>.</w:t>
      </w:r>
    </w:p>
    <w:p w14:paraId="57771D10" w14:textId="77777777" w:rsidR="001421BB" w:rsidRDefault="001421BB" w:rsidP="00CD7057">
      <w:pPr>
        <w:rPr>
          <w:rFonts w:ascii="Calibri" w:hAnsi="Calibri" w:cs="Calibri"/>
          <w:color w:val="000000"/>
        </w:rPr>
      </w:pPr>
    </w:p>
    <w:p w14:paraId="304F4491" w14:textId="0C22EE3A" w:rsidR="001421BB" w:rsidRDefault="001421BB" w:rsidP="001421BB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wydajności GDH</w:t>
      </w:r>
    </w:p>
    <w:p w14:paraId="01F33DC2" w14:textId="4929D1B5" w:rsidR="001421BB" w:rsidRDefault="001421BB" w:rsidP="001421B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Zamawiający oczekuje od GDH spełnienia następujących wymagań wydajności:</w:t>
      </w:r>
    </w:p>
    <w:p w14:paraId="29D4EEF8" w14:textId="7369F520" w:rsidR="001421BB" w:rsidRDefault="001421BB" w:rsidP="001421B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Przy:</w:t>
      </w:r>
    </w:p>
    <w:p w14:paraId="38990C45" w14:textId="7C3C4C6B" w:rsidR="004D26E4" w:rsidRDefault="001421BB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70 równoległych użytkownikach,</w:t>
      </w:r>
    </w:p>
    <w:p w14:paraId="056312BA" w14:textId="46DCAEE6" w:rsidR="004D26E4" w:rsidRPr="004D26E4" w:rsidRDefault="004D26E4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generujących pierwsze zapytanie co 8,5 sekundy (stopniowe zwiększanie liczby użytkowników od 0 do 70 co 8,5 sek.),</w:t>
      </w:r>
    </w:p>
    <w:p w14:paraId="603C3124" w14:textId="639CB8E5" w:rsidR="001421BB" w:rsidRDefault="004D26E4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</w:t>
      </w:r>
      <w:r w:rsidR="001421BB">
        <w:rPr>
          <w:rFonts w:ascii="Calibri" w:hAnsi="Calibri" w:cs="Calibri"/>
          <w:color w:val="000000"/>
        </w:rPr>
        <w:t>enerujących zapytania do GDH co 5 minut,</w:t>
      </w:r>
    </w:p>
    <w:p w14:paraId="2C34BF3A" w14:textId="57FF99BB" w:rsidR="001421BB" w:rsidRDefault="001421BB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50% zapytań standardowych</w:t>
      </w:r>
      <w:r w:rsidR="004D26E4">
        <w:rPr>
          <w:rFonts w:ascii="Calibri" w:hAnsi="Calibri" w:cs="Calibri"/>
          <w:color w:val="000000"/>
        </w:rPr>
        <w:t xml:space="preserve"> i</w:t>
      </w:r>
      <w:r>
        <w:rPr>
          <w:rFonts w:ascii="Calibri" w:hAnsi="Calibri" w:cs="Calibri"/>
          <w:color w:val="000000"/>
        </w:rPr>
        <w:t xml:space="preserve"> 50% uproszczonych</w:t>
      </w:r>
      <w:r w:rsidR="004D26E4">
        <w:rPr>
          <w:rFonts w:ascii="Calibri" w:hAnsi="Calibri" w:cs="Calibri"/>
          <w:color w:val="000000"/>
        </w:rPr>
        <w:t xml:space="preserve"> na całej próbie,</w:t>
      </w:r>
    </w:p>
    <w:p w14:paraId="051E8D7B" w14:textId="310372B6" w:rsidR="001421BB" w:rsidRDefault="004D26E4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1421BB">
        <w:rPr>
          <w:rFonts w:ascii="Calibri" w:hAnsi="Calibri" w:cs="Calibri"/>
          <w:color w:val="000000"/>
        </w:rPr>
        <w:t>arametry zapytań o różnej złożoności (w tym wiele kodów CN, również 8-cyfrowych, wiele krajów i grup towarowych),</w:t>
      </w:r>
    </w:p>
    <w:p w14:paraId="13FC5280" w14:textId="554D4060" w:rsidR="001421BB" w:rsidRDefault="004D26E4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generujących zapytania n</w:t>
      </w:r>
      <w:r w:rsidR="001421BB">
        <w:rPr>
          <w:rFonts w:ascii="Calibri" w:hAnsi="Calibri" w:cs="Calibri"/>
          <w:color w:val="000000"/>
        </w:rPr>
        <w:t>ieustannie przez 10 godzin,</w:t>
      </w:r>
    </w:p>
    <w:p w14:paraId="43A782FA" w14:textId="77777777" w:rsidR="007F64CC" w:rsidRDefault="001421BB" w:rsidP="00CD705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średni czas generowania zestawienia danych z GDH nie będzie dłuższy niż </w:t>
      </w:r>
      <w:r w:rsidR="004D26E4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0 sekund</w:t>
      </w:r>
      <w:r w:rsidR="004D26E4">
        <w:rPr>
          <w:rFonts w:ascii="Calibri" w:hAnsi="Calibri" w:cs="Calibri"/>
          <w:color w:val="000000"/>
        </w:rPr>
        <w:t>, czy czym</w:t>
      </w:r>
      <w:r w:rsidR="007F64CC">
        <w:rPr>
          <w:rFonts w:ascii="Calibri" w:hAnsi="Calibri" w:cs="Calibri"/>
          <w:color w:val="000000"/>
        </w:rPr>
        <w:t>:</w:t>
      </w:r>
    </w:p>
    <w:p w14:paraId="750688AC" w14:textId="525F2C0E" w:rsidR="001421BB" w:rsidRDefault="004D26E4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7F64CC">
        <w:rPr>
          <w:rFonts w:ascii="Calibri" w:hAnsi="Calibri" w:cs="Calibri"/>
          <w:color w:val="000000"/>
        </w:rPr>
        <w:t>odsetek zestawień</w:t>
      </w:r>
      <w:r w:rsidR="007F64CC">
        <w:rPr>
          <w:rFonts w:ascii="Calibri" w:hAnsi="Calibri" w:cs="Calibri"/>
          <w:color w:val="000000"/>
        </w:rPr>
        <w:t xml:space="preserve"> generowanych dłużej niż 30 sek. Nie może być większy niż 5%,</w:t>
      </w:r>
    </w:p>
    <w:p w14:paraId="6EE1C7AF" w14:textId="26628427" w:rsidR="007F64CC" w:rsidRDefault="007F64CC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odsetek zestawień generowanych dłużej niż 60 sek. Nie może być większy niż 1%,</w:t>
      </w:r>
    </w:p>
    <w:p w14:paraId="120BACA9" w14:textId="080B3558" w:rsidR="007F64CC" w:rsidRPr="007F64CC" w:rsidRDefault="007F64CC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nie ma zestawień, które się nie wygenerowały ze względu na obciążenie lub inne przyczyny.</w:t>
      </w:r>
    </w:p>
    <w:p w14:paraId="51DFAB3C" w14:textId="345D53CF" w:rsidR="004D26E4" w:rsidRDefault="004D26E4" w:rsidP="00CD705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Wykonawca przeprowadzi również testy maksymalnej wydajności (</w:t>
      </w:r>
      <w:proofErr w:type="spellStart"/>
      <w:r>
        <w:rPr>
          <w:rFonts w:ascii="Calibri" w:hAnsi="Calibri" w:cs="Calibri"/>
          <w:color w:val="000000"/>
        </w:rPr>
        <w:t>stress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testy)i</w:t>
      </w:r>
      <w:proofErr w:type="gramEnd"/>
      <w:r>
        <w:rPr>
          <w:rFonts w:ascii="Calibri" w:hAnsi="Calibri" w:cs="Calibri"/>
          <w:color w:val="000000"/>
        </w:rPr>
        <w:t xml:space="preserve"> wykaże, przy ilu użytkownikach pracujących równocześnie (w sposób opisany powyżej), czas generowania zestawień przez GDH zaczyna przekraczać 30 sekund. Zamawiający oczekuje, że maksymalna liczba użytkowników pracujących relatywnie komfortowo (zestawienie generowane w średnim czasie do 30 sek.) znacząco przekroczy 70.</w:t>
      </w:r>
    </w:p>
    <w:p w14:paraId="3BF6AF1E" w14:textId="672D1E46" w:rsidR="004D26E4" w:rsidRDefault="004D26E4" w:rsidP="00CD705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Testy mogą być przeprowadzone automatycznie z wykorzystaniem narządzi pomiarowych (np. </w:t>
      </w:r>
      <w:proofErr w:type="spellStart"/>
      <w:r>
        <w:rPr>
          <w:rFonts w:ascii="Calibri" w:hAnsi="Calibri" w:cs="Calibri"/>
          <w:color w:val="000000"/>
        </w:rPr>
        <w:t>JMeter</w:t>
      </w:r>
      <w:proofErr w:type="spellEnd"/>
      <w:r>
        <w:rPr>
          <w:rFonts w:ascii="Calibri" w:hAnsi="Calibri" w:cs="Calibri"/>
          <w:color w:val="000000"/>
        </w:rPr>
        <w:t>).</w:t>
      </w:r>
    </w:p>
    <w:p w14:paraId="2266942E" w14:textId="0C541B9B" w:rsidR="004D26E4" w:rsidRDefault="004D26E4" w:rsidP="00CD705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Przed wykonaniem testów wydajności Wykonawca przedstawi szczegółowe założenia testów oraz scenariusze testowe do akceptacji Zamawiającego.</w:t>
      </w:r>
    </w:p>
    <w:p w14:paraId="6FC2BCF3" w14:textId="669F84BE" w:rsidR="007F64CC" w:rsidRDefault="007F64CC" w:rsidP="00CD705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 wykonaniu testów Wykonawca przedstawi szczegółowy raport z testów wydajności zawierający:</w:t>
      </w:r>
    </w:p>
    <w:p w14:paraId="72AFD42F" w14:textId="63D688EC" w:rsidR="007F64CC" w:rsidRDefault="007F64CC">
      <w:pPr>
        <w:pStyle w:val="Akapitzlist"/>
        <w:numPr>
          <w:ilvl w:val="0"/>
          <w:numId w:val="8"/>
        </w:numPr>
      </w:pPr>
      <w:r>
        <w:t>szczegółowy opis przeprowadzonych testów,</w:t>
      </w:r>
    </w:p>
    <w:p w14:paraId="65EDEAEE" w14:textId="1D5BAF8D" w:rsidR="007F64CC" w:rsidRDefault="007F64CC">
      <w:pPr>
        <w:pStyle w:val="Akapitzlist"/>
        <w:numPr>
          <w:ilvl w:val="0"/>
          <w:numId w:val="8"/>
        </w:numPr>
      </w:pPr>
      <w:r>
        <w:t>scenariusze testów, założenia do generowanych zestawień,</w:t>
      </w:r>
    </w:p>
    <w:p w14:paraId="4991F5C7" w14:textId="12EBB9DE" w:rsidR="007F64CC" w:rsidRDefault="007F64CC">
      <w:pPr>
        <w:pStyle w:val="Akapitzlist"/>
        <w:numPr>
          <w:ilvl w:val="0"/>
          <w:numId w:val="8"/>
        </w:numPr>
      </w:pPr>
      <w:r>
        <w:t>szczegółowy opis otrzymanych rezultatów, rozkład czasów generowania,</w:t>
      </w:r>
    </w:p>
    <w:p w14:paraId="3AD5CCEA" w14:textId="29DD7124" w:rsidR="007F64CC" w:rsidRDefault="007F64CC">
      <w:pPr>
        <w:pStyle w:val="Akapitzlist"/>
        <w:numPr>
          <w:ilvl w:val="0"/>
          <w:numId w:val="8"/>
        </w:numPr>
      </w:pPr>
      <w:r>
        <w:t>dane surowe z narzędzia pomiarowego,</w:t>
      </w:r>
    </w:p>
    <w:p w14:paraId="4E441F94" w14:textId="357C0AE2" w:rsidR="007F64CC" w:rsidRDefault="007F64CC">
      <w:pPr>
        <w:pStyle w:val="Akapitzlist"/>
        <w:numPr>
          <w:ilvl w:val="0"/>
          <w:numId w:val="8"/>
        </w:numPr>
      </w:pPr>
      <w:r>
        <w:t>wnioski i rekomendacje.</w:t>
      </w:r>
    </w:p>
    <w:p w14:paraId="22E12610" w14:textId="77777777" w:rsidR="007F64CC" w:rsidRDefault="007F64CC" w:rsidP="007F64CC"/>
    <w:p w14:paraId="1045D680" w14:textId="12629385" w:rsidR="007F64CC" w:rsidRDefault="007F64CC" w:rsidP="007F64CC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technologii i infrastruktury</w:t>
      </w:r>
    </w:p>
    <w:p w14:paraId="4AFA40C4" w14:textId="4C3A7CEF" w:rsidR="00DD79C9" w:rsidRDefault="00DD79C9" w:rsidP="007F64CC">
      <w:pPr>
        <w:rPr>
          <w:rFonts w:ascii="Calibri" w:hAnsi="Calibri" w:cs="Calibri"/>
          <w:color w:val="000000"/>
        </w:rPr>
      </w:pPr>
      <w:r w:rsidRPr="00DD79C9">
        <w:rPr>
          <w:rFonts w:ascii="Calibri" w:hAnsi="Calibri" w:cs="Calibri"/>
          <w:color w:val="000000"/>
        </w:rPr>
        <w:t xml:space="preserve">GDH </w:t>
      </w:r>
      <w:r w:rsidR="00D36610">
        <w:rPr>
          <w:rFonts w:ascii="Calibri" w:hAnsi="Calibri" w:cs="Calibri"/>
          <w:color w:val="000000"/>
        </w:rPr>
        <w:t xml:space="preserve">(środowisko produkcyjne i testowe) </w:t>
      </w:r>
      <w:r w:rsidRPr="00DD79C9">
        <w:rPr>
          <w:rFonts w:ascii="Calibri" w:hAnsi="Calibri" w:cs="Calibri"/>
          <w:color w:val="000000"/>
        </w:rPr>
        <w:t xml:space="preserve">zostanie zainstalowany na infrastrukturze </w:t>
      </w:r>
      <w:r>
        <w:rPr>
          <w:rFonts w:ascii="Calibri" w:hAnsi="Calibri" w:cs="Calibri"/>
          <w:color w:val="000000"/>
        </w:rPr>
        <w:t xml:space="preserve">wskazanej przez Zamawiającego (na infrastrukturze własnej Zamawiającego lub Rządowej Chmurze Obliczeniowej). Obie infrastruktury posiadają systemy operacyjne i </w:t>
      </w:r>
      <w:r w:rsidR="002471A1">
        <w:rPr>
          <w:rFonts w:ascii="Calibri" w:hAnsi="Calibri" w:cs="Calibri"/>
          <w:color w:val="000000"/>
        </w:rPr>
        <w:t xml:space="preserve">nie udostępniają </w:t>
      </w:r>
      <w:r>
        <w:rPr>
          <w:rFonts w:ascii="Calibri" w:hAnsi="Calibri" w:cs="Calibri"/>
          <w:color w:val="000000"/>
        </w:rPr>
        <w:t>żadn</w:t>
      </w:r>
      <w:r w:rsidR="002471A1">
        <w:rPr>
          <w:rFonts w:ascii="Calibri" w:hAnsi="Calibri" w:cs="Calibri"/>
          <w:color w:val="000000"/>
        </w:rPr>
        <w:t>ych</w:t>
      </w:r>
      <w:r>
        <w:rPr>
          <w:rFonts w:ascii="Calibri" w:hAnsi="Calibri" w:cs="Calibri"/>
          <w:color w:val="000000"/>
        </w:rPr>
        <w:t xml:space="preserve"> inn</w:t>
      </w:r>
      <w:r w:rsidR="002471A1">
        <w:rPr>
          <w:rFonts w:ascii="Calibri" w:hAnsi="Calibri" w:cs="Calibri"/>
          <w:color w:val="000000"/>
        </w:rPr>
        <w:t>ych</w:t>
      </w:r>
      <w:r>
        <w:rPr>
          <w:rFonts w:ascii="Calibri" w:hAnsi="Calibri" w:cs="Calibri"/>
          <w:color w:val="000000"/>
        </w:rPr>
        <w:t xml:space="preserve"> </w:t>
      </w:r>
      <w:r w:rsidR="002471A1">
        <w:rPr>
          <w:rFonts w:ascii="Calibri" w:hAnsi="Calibri" w:cs="Calibri"/>
          <w:color w:val="000000"/>
        </w:rPr>
        <w:t xml:space="preserve">narzędzi ani </w:t>
      </w:r>
      <w:r>
        <w:rPr>
          <w:rFonts w:ascii="Calibri" w:hAnsi="Calibri" w:cs="Calibri"/>
          <w:color w:val="000000"/>
        </w:rPr>
        <w:t>oprogramowania.</w:t>
      </w:r>
    </w:p>
    <w:p w14:paraId="1FF394C9" w14:textId="31DDD12F" w:rsidR="00DD79C9" w:rsidRDefault="00DD79C9" w:rsidP="007F64C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konieczności zakupu licencji na oprogramowanie Wykonawca dokona zakupu tych licencji na okres 5 lat od dnia wdrożenia.</w:t>
      </w:r>
    </w:p>
    <w:p w14:paraId="3B2C07BA" w14:textId="6055AF0C" w:rsidR="003D473C" w:rsidRPr="00DD79C9" w:rsidRDefault="003D473C" w:rsidP="007F64C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Rozwiązanie technologiczne powinno obejmować bazę danych GDH, w której przechowywane byłyby dane źródłowe o eksporcie i imporcie pozyskane z EI (raz w miesiącu w sposób automatyczny) oraz dane powstałe wskutek przeliczeń dokonywanych przez GDH (np. przeliczenie danych miesięcznych na kwartalne i roczne).</w:t>
      </w:r>
    </w:p>
    <w:p w14:paraId="23A2D579" w14:textId="77777777" w:rsidR="007F64CC" w:rsidRDefault="007F64CC" w:rsidP="007F64CC"/>
    <w:p w14:paraId="3B1406E4" w14:textId="332F5B28" w:rsidR="00D37815" w:rsidRDefault="00D37815" w:rsidP="00D37815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bezpieczeństwa i wymagania niefunkcjonalne</w:t>
      </w:r>
    </w:p>
    <w:p w14:paraId="13DE3412" w14:textId="206B698A" w:rsidR="00D37815" w:rsidRDefault="002471A1">
      <w:pPr>
        <w:pStyle w:val="Akapitzlist"/>
        <w:numPr>
          <w:ilvl w:val="0"/>
          <w:numId w:val="9"/>
        </w:numPr>
        <w:ind w:left="426"/>
      </w:pPr>
      <w:bookmarkStart w:id="2" w:name="_Hlk153958354"/>
      <w:r>
        <w:t xml:space="preserve">System GDH </w:t>
      </w:r>
      <w:r w:rsidR="00D37815">
        <w:t>ma być zabezpieczony przed udostępnieniem danych nieuprawnionemu odbiorcy.</w:t>
      </w:r>
    </w:p>
    <w:p w14:paraId="4E804AFD" w14:textId="7A8338DB" w:rsidR="00D37815" w:rsidRDefault="002471A1">
      <w:pPr>
        <w:pStyle w:val="Akapitzlist"/>
        <w:numPr>
          <w:ilvl w:val="0"/>
          <w:numId w:val="9"/>
        </w:numPr>
        <w:ind w:left="426"/>
      </w:pPr>
      <w:r>
        <w:t>GDH</w:t>
      </w:r>
      <w:r w:rsidR="00D37815">
        <w:t xml:space="preserve"> ma być zabezpieczony przed modyfikacją lub zniekształceniem przez nieuprawnionych użytkowników.</w:t>
      </w:r>
    </w:p>
    <w:p w14:paraId="2AC9AB72" w14:textId="4B74D544" w:rsidR="00D37815" w:rsidRDefault="002471A1">
      <w:pPr>
        <w:pStyle w:val="Akapitzlist"/>
        <w:numPr>
          <w:ilvl w:val="0"/>
          <w:numId w:val="9"/>
        </w:numPr>
        <w:ind w:left="426"/>
      </w:pPr>
      <w:r>
        <w:t>GDH</w:t>
      </w:r>
      <w:r w:rsidR="00D37815">
        <w:t xml:space="preserve"> ma umożliwiać określanie, weryfikowanie i dokumentowanie odpowiedzialności użytkowników za wykorzystanie systemu.</w:t>
      </w:r>
    </w:p>
    <w:p w14:paraId="4D8347C3" w14:textId="309C5BA9" w:rsidR="00D37815" w:rsidRDefault="00D37815">
      <w:pPr>
        <w:pStyle w:val="Akapitzlist"/>
        <w:numPr>
          <w:ilvl w:val="0"/>
          <w:numId w:val="9"/>
        </w:numPr>
        <w:ind w:left="426"/>
      </w:pPr>
      <w:r>
        <w:t>Fizyczna infrastruktura teleinformatyczna wykorzystywana na potrzeby GDH ma zostać zabezpieczona po stronie dostawcy infrastruktury lub usługi chmury obliczeniowej.</w:t>
      </w:r>
    </w:p>
    <w:p w14:paraId="4064D07E" w14:textId="1FB65292" w:rsidR="00D37815" w:rsidRDefault="002471A1">
      <w:pPr>
        <w:pStyle w:val="Akapitzlist"/>
        <w:numPr>
          <w:ilvl w:val="0"/>
          <w:numId w:val="9"/>
        </w:numPr>
        <w:ind w:left="426"/>
      </w:pPr>
      <w:r>
        <w:t>GDH</w:t>
      </w:r>
      <w:r w:rsidR="00D37815">
        <w:t xml:space="preserve"> będzie umożliwiał wykonywanie i zarządzanie archiwizacją oraz kopiami bezpieczeństwa systemu i związanymi z nim danymi (automatycznie wg harmonogramu zgodnego z polityką bezpieczeństwa lub na żądanie w trakcie pracy systemu).</w:t>
      </w:r>
    </w:p>
    <w:p w14:paraId="769F44A4" w14:textId="428817E2" w:rsidR="00D37815" w:rsidRDefault="002471A1">
      <w:pPr>
        <w:pStyle w:val="Akapitzlist"/>
        <w:numPr>
          <w:ilvl w:val="0"/>
          <w:numId w:val="9"/>
        </w:numPr>
        <w:ind w:left="426"/>
      </w:pPr>
      <w:r>
        <w:t>GDH</w:t>
      </w:r>
      <w:r w:rsidR="00D37815">
        <w:t xml:space="preserve"> będzie umożliwiał odtworzenie systemu i danych na podstawie wykonanych kopii zapasowych.</w:t>
      </w:r>
    </w:p>
    <w:p w14:paraId="571943BC" w14:textId="3314C97F" w:rsidR="00D37815" w:rsidRDefault="002471A1">
      <w:pPr>
        <w:pStyle w:val="Akapitzlist"/>
        <w:numPr>
          <w:ilvl w:val="0"/>
          <w:numId w:val="9"/>
        </w:numPr>
        <w:ind w:left="426"/>
      </w:pPr>
      <w:r>
        <w:t>GDH</w:t>
      </w:r>
      <w:r w:rsidR="00D37815">
        <w:t xml:space="preserve"> będzie zapewniał mechanizmy uniemożliwiające edycję, usuwanie, zawierających logi zdarzeń systemowych dla standardowych użytkowników.</w:t>
      </w:r>
    </w:p>
    <w:bookmarkEnd w:id="2"/>
    <w:p w14:paraId="0FC56173" w14:textId="3B780B3D" w:rsidR="00D37815" w:rsidRDefault="002471A1">
      <w:pPr>
        <w:pStyle w:val="Akapitzlist"/>
        <w:numPr>
          <w:ilvl w:val="0"/>
          <w:numId w:val="9"/>
        </w:numPr>
        <w:ind w:left="426"/>
      </w:pPr>
      <w:r>
        <w:lastRenderedPageBreak/>
        <w:t>GDH</w:t>
      </w:r>
      <w:r w:rsidR="00D37815">
        <w:t xml:space="preserve"> powinien spełniać wymagania dotyczące dostępności wynikające z obowiązujących przepisów prawa. W ramach projektu zostanie zapewniony dostęp do danych zgodny z aktualnie obowiązującymi w dniu wdrożenia wymaganiami dla budowy interfejsu użytkownika dla takich systemów, </w:t>
      </w:r>
      <w:proofErr w:type="gramStart"/>
      <w:r w:rsidR="00D37815">
        <w:t>za wyjątkiem</w:t>
      </w:r>
      <w:proofErr w:type="gramEnd"/>
      <w:r w:rsidR="00D37815">
        <w:t xml:space="preserve"> elementów, które nie będą uzasadnione kosztowo.</w:t>
      </w:r>
    </w:p>
    <w:p w14:paraId="22384342" w14:textId="77777777" w:rsidR="00D37815" w:rsidRDefault="00D37815">
      <w:pPr>
        <w:pStyle w:val="Akapitzlist"/>
        <w:numPr>
          <w:ilvl w:val="0"/>
          <w:numId w:val="9"/>
        </w:numPr>
        <w:ind w:left="426"/>
      </w:pPr>
      <w:bookmarkStart w:id="3" w:name="_Hlk153958385"/>
      <w:r>
        <w:t>System będzie zgodny z Rozporządzeniem Rady Ministrów z dnia 12 kwietnia 2012 r. w sprawie Krajowych Ram Interoperacyjności, minimalnych wymagań dla rejestrów publicznych i wymiany informacji w postaci elektronicznej oraz minimalnych wymagań dla systemów teleinformatycznych (Dz.U. 2016 poz. 113).</w:t>
      </w:r>
    </w:p>
    <w:bookmarkEnd w:id="3"/>
    <w:p w14:paraId="63790395" w14:textId="1F21CD45" w:rsidR="00D37815" w:rsidRDefault="00D37815">
      <w:pPr>
        <w:pStyle w:val="Akapitzlist"/>
        <w:numPr>
          <w:ilvl w:val="0"/>
          <w:numId w:val="9"/>
        </w:numPr>
        <w:ind w:left="426"/>
      </w:pPr>
      <w:r>
        <w:t>Dostarczone rozwiązania mają być przyjazne oraz możliwie łatwe w użyciu, a systemy informatyczne mają być wykonane w sposób intuicyjny, spójny i minimalizujący czas potrzebny do wykonania większości zadań przez użytkowników</w:t>
      </w:r>
    </w:p>
    <w:p w14:paraId="348B4558" w14:textId="6ECCA555" w:rsidR="00D37815" w:rsidRDefault="00D37815">
      <w:pPr>
        <w:pStyle w:val="Akapitzlist"/>
        <w:numPr>
          <w:ilvl w:val="0"/>
          <w:numId w:val="9"/>
        </w:numPr>
        <w:ind w:left="426"/>
      </w:pPr>
      <w:r>
        <w:t xml:space="preserve">Dostęp do systemu i korzystanie z niego powinno być możliwe przy wykorzystaniu łączy o przepływności 1 </w:t>
      </w:r>
      <w:proofErr w:type="spellStart"/>
      <w:r>
        <w:t>Mb</w:t>
      </w:r>
      <w:proofErr w:type="spellEnd"/>
      <w:r>
        <w:t>/s.</w:t>
      </w:r>
    </w:p>
    <w:p w14:paraId="5DF00F1E" w14:textId="05F590A3" w:rsidR="00D37815" w:rsidRDefault="00D37815">
      <w:pPr>
        <w:pStyle w:val="Akapitzlist"/>
        <w:numPr>
          <w:ilvl w:val="0"/>
          <w:numId w:val="9"/>
        </w:numPr>
        <w:ind w:left="426"/>
      </w:pPr>
      <w:bookmarkStart w:id="4" w:name="_Hlk153958412"/>
      <w:r>
        <w:t>System będzie wspierał bezpieczne protokoły przesyłania danych (zapewniające poufność i integralność danych). Np. szyfrowanie danych za pomocą TLS.</w:t>
      </w:r>
    </w:p>
    <w:bookmarkEnd w:id="4"/>
    <w:p w14:paraId="5D80DD0B" w14:textId="734700C6" w:rsidR="00D37815" w:rsidRDefault="00D37815">
      <w:pPr>
        <w:pStyle w:val="Akapitzlist"/>
        <w:numPr>
          <w:ilvl w:val="0"/>
          <w:numId w:val="9"/>
        </w:numPr>
        <w:ind w:left="426"/>
      </w:pPr>
      <w:r>
        <w:t xml:space="preserve">System będzie posiadał mechanizmy zapewniające bezpieczeństwo danych podczas ich przechowywania. Np. kontrola dostępu lub szyfrowanie danych. </w:t>
      </w:r>
    </w:p>
    <w:p w14:paraId="33ACE575" w14:textId="38BA757D" w:rsidR="00D37815" w:rsidRDefault="00D37815">
      <w:pPr>
        <w:pStyle w:val="Akapitzlist"/>
        <w:numPr>
          <w:ilvl w:val="0"/>
          <w:numId w:val="9"/>
        </w:numPr>
        <w:ind w:left="426"/>
      </w:pPr>
      <w:bookmarkStart w:id="5" w:name="_Hlk153958439"/>
      <w:r>
        <w:t>System będzie posiadał mechanizmy zapewniające bezpieczeństwo danych podczas ich przetwarzania (zapewnienie poufności, integralności, dostępności danych).</w:t>
      </w:r>
    </w:p>
    <w:p w14:paraId="0B803D22" w14:textId="6926BCFB" w:rsidR="00D37815" w:rsidRDefault="00D37815">
      <w:pPr>
        <w:pStyle w:val="Akapitzlist"/>
        <w:numPr>
          <w:ilvl w:val="0"/>
          <w:numId w:val="9"/>
        </w:numPr>
        <w:ind w:left="426"/>
      </w:pPr>
      <w:r>
        <w:t>System operacyjny, baza danych, serwer aplikacji będzie skonfigurowana zgodnie z wytycznymi organizacji CIS (Center for Internet Security) na dzień na dzień wykonania projektu funkcjonalnego i technicznego systemu, a w przypadku zmiany wytycznych w trakcie projektu, nastąpi szacowanie kosztu dostosowania bez zbędnej zwłoki.</w:t>
      </w:r>
    </w:p>
    <w:p w14:paraId="51B6053C" w14:textId="0E2CD78F" w:rsidR="00D37815" w:rsidRDefault="00D37815">
      <w:pPr>
        <w:pStyle w:val="Akapitzlist"/>
        <w:numPr>
          <w:ilvl w:val="0"/>
          <w:numId w:val="9"/>
        </w:numPr>
        <w:ind w:left="426"/>
      </w:pPr>
      <w:bookmarkStart w:id="6" w:name="_Hlk153958484"/>
      <w:bookmarkEnd w:id="5"/>
      <w:r>
        <w:t xml:space="preserve">Budowane przez Dostawcę w ramach systemu komponenty aplikacji webowych będą zbudowane i skonfigurowane zgodnie z wytycznymi organizacji OWASP TOP 10 na dzień wykonania projektu funkcjonalnego i technicznego systemu a w przypadku zmiany wytycznych na późniejszym etapie nastąpi szacowanie kosztu dostosowania bez zbędnej zwłoki. </w:t>
      </w:r>
    </w:p>
    <w:p w14:paraId="4EF3BE5D" w14:textId="6956426B" w:rsidR="00D37815" w:rsidRDefault="00D37815">
      <w:pPr>
        <w:pStyle w:val="Akapitzlist"/>
        <w:numPr>
          <w:ilvl w:val="0"/>
          <w:numId w:val="9"/>
        </w:numPr>
        <w:ind w:left="426"/>
      </w:pPr>
      <w:r>
        <w:t xml:space="preserve">System będzie posiadał dokumentację określającą wymagania bezpieczeństwa, opis wbudowanych mechanizmów bezpieczeństwa, zarządzania hasłami, specyfikację logowanych zdarzeń oraz informację o elementach zewnętrznego kodu Open Source (biblioteki, skrypty), niezbędnych dodatkowych komponentach aplikacji </w:t>
      </w:r>
      <w:proofErr w:type="spellStart"/>
      <w:r>
        <w:t>np</w:t>
      </w:r>
      <w:proofErr w:type="spellEnd"/>
      <w:r>
        <w:t xml:space="preserve">: ActiveX, </w:t>
      </w:r>
      <w:proofErr w:type="spellStart"/>
      <w:r>
        <w:t>Flash'a</w:t>
      </w:r>
      <w:proofErr w:type="spellEnd"/>
      <w:r>
        <w:t>, Java, Silverlight, .Net, wymagań w zakresie dodatkowej konfiguracji bezpieczeństwa przeglądarki internetowej, stacji roboczej.</w:t>
      </w:r>
    </w:p>
    <w:p w14:paraId="77DAE161" w14:textId="39D669CB" w:rsidR="00D37815" w:rsidRDefault="00D37815">
      <w:pPr>
        <w:pStyle w:val="Akapitzlist"/>
        <w:numPr>
          <w:ilvl w:val="0"/>
          <w:numId w:val="9"/>
        </w:numPr>
        <w:ind w:left="426"/>
      </w:pPr>
      <w:r>
        <w:t>Bezpieczeństwo systemu zostanie potwierdzone na poziomie audytu bezpieczeństwa wykonanego przez niezależnego audytora. Wykonawca GDH ma obwiązek naniesienia poprawek wynikających ze zidentyfikowanych luk bezpieczeństwa na poziomie krytycznym, wysokim i średnim bez dodatkowego wynagrodzenia.</w:t>
      </w:r>
    </w:p>
    <w:p w14:paraId="4E3169A7" w14:textId="7C3B0CC5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zapewniać mechanizmy pozwalające na wykrycie i zablokowanie nieautoryzowanych prób dostępu</w:t>
      </w:r>
    </w:p>
    <w:p w14:paraId="58AEFCAA" w14:textId="3C54F192" w:rsidR="00D37815" w:rsidRDefault="00D37815">
      <w:pPr>
        <w:pStyle w:val="Akapitzlist"/>
        <w:numPr>
          <w:ilvl w:val="0"/>
          <w:numId w:val="9"/>
        </w:numPr>
        <w:ind w:left="426"/>
      </w:pPr>
      <w:r>
        <w:t>Możliwość natychmiastowego blokowania dostępu wybranym użytkownikom przez Administratora Biznesowego</w:t>
      </w:r>
    </w:p>
    <w:p w14:paraId="7FDA0AD8" w14:textId="03E93EB0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zapewnia możliwość zabezpieczenia przed nieautoryzowanymi zmianami stanu sesji i jej parametrów</w:t>
      </w:r>
    </w:p>
    <w:bookmarkEnd w:id="6"/>
    <w:p w14:paraId="470C523C" w14:textId="34A6BDD1" w:rsidR="00D37815" w:rsidRDefault="00D37815">
      <w:pPr>
        <w:pStyle w:val="Akapitzlist"/>
        <w:numPr>
          <w:ilvl w:val="0"/>
          <w:numId w:val="9"/>
        </w:numPr>
        <w:ind w:left="426"/>
      </w:pPr>
      <w:r>
        <w:t xml:space="preserve">System do przechowywania kodów źródłowych (z wersjonowaniem) powinien zostać docelowo umieszczony w infrastrukturze zapewnionej przez </w:t>
      </w:r>
      <w:proofErr w:type="spellStart"/>
      <w:r>
        <w:t>MRiT</w:t>
      </w:r>
      <w:proofErr w:type="spellEnd"/>
      <w:r>
        <w:t xml:space="preserve"> lub w bezpiecznym miejscu, do którego </w:t>
      </w:r>
      <w:r>
        <w:lastRenderedPageBreak/>
        <w:t>Administrator Biznesowy może mieć bezpośredni dostęp zgodnie z ustalonym parametrami SLA w ramach Usługi utrzymania EXPORT INTELLIGENCE.</w:t>
      </w:r>
    </w:p>
    <w:p w14:paraId="3EBBAFA6" w14:textId="79989111" w:rsidR="00D37815" w:rsidRDefault="00D37815">
      <w:pPr>
        <w:pStyle w:val="Akapitzlist"/>
        <w:numPr>
          <w:ilvl w:val="0"/>
          <w:numId w:val="9"/>
        </w:numPr>
        <w:ind w:left="426"/>
      </w:pPr>
      <w:bookmarkStart w:id="7" w:name="_Hlk153958531"/>
      <w:r>
        <w:t>Implementacja styków integracyjnych zapewni odpowiedni poziom bezpieczeństwa w zakresie przetwarzanych danych osobowych i wrażliwych poprzez wprowadzenie szyfrowania tam, gdzie będzie to uzasadnione.</w:t>
      </w:r>
    </w:p>
    <w:p w14:paraId="0A22451A" w14:textId="6D022299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zapewniać ochronę przed atakami typu "</w:t>
      </w:r>
      <w:proofErr w:type="spellStart"/>
      <w:r>
        <w:t>man</w:t>
      </w:r>
      <w:proofErr w:type="spellEnd"/>
      <w:r>
        <w:t>-in-the-</w:t>
      </w:r>
      <w:proofErr w:type="spellStart"/>
      <w:r>
        <w:t>middle</w:t>
      </w:r>
      <w:proofErr w:type="spellEnd"/>
      <w:r>
        <w:t>" na poziomie end-to-end</w:t>
      </w:r>
    </w:p>
    <w:p w14:paraId="5FC1A5A6" w14:textId="05F6374E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zapewniać ochronę przed następującymi lukami w bezpieczeństwie typu - Cross-</w:t>
      </w:r>
      <w:proofErr w:type="spellStart"/>
      <w:r>
        <w:t>site</w:t>
      </w:r>
      <w:proofErr w:type="spellEnd"/>
      <w:r>
        <w:t xml:space="preserve"> </w:t>
      </w:r>
      <w:proofErr w:type="spellStart"/>
      <w:r>
        <w:t>scripting</w:t>
      </w:r>
      <w:proofErr w:type="spellEnd"/>
      <w:r>
        <w:t xml:space="preserve"> (XSS),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flaws</w:t>
      </w:r>
      <w:proofErr w:type="spellEnd"/>
      <w:r>
        <w:t xml:space="preserve"> </w:t>
      </w:r>
      <w:proofErr w:type="gramStart"/>
      <w:r>
        <w:t>( SQL</w:t>
      </w:r>
      <w:proofErr w:type="gramEnd"/>
      <w:r>
        <w:t xml:space="preserve"> </w:t>
      </w:r>
      <w:proofErr w:type="spellStart"/>
      <w:r>
        <w:t>injection</w:t>
      </w:r>
      <w:proofErr w:type="spellEnd"/>
      <w:r>
        <w:t xml:space="preserve">, LDAP and </w:t>
      </w:r>
      <w:proofErr w:type="spellStart"/>
      <w:r>
        <w:t>Xpath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flaws</w:t>
      </w:r>
      <w:proofErr w:type="spellEnd"/>
      <w:r>
        <w:t xml:space="preserve">), wstrzyknięcie złośliwych plików/kodów, </w:t>
      </w:r>
      <w:proofErr w:type="spellStart"/>
      <w:r>
        <w:t>Insecure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>, Cross-</w:t>
      </w:r>
      <w:proofErr w:type="spellStart"/>
      <w:r>
        <w:t>site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forgery</w:t>
      </w:r>
      <w:proofErr w:type="spellEnd"/>
      <w:r>
        <w:t xml:space="preserve"> (CSRF), wyciek informacji i niepoprawne zarządzanie błędami.</w:t>
      </w:r>
    </w:p>
    <w:p w14:paraId="22FCBBC8" w14:textId="51B45838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umożliwiać zarządzanie uaktualnieniami i zmianami poprzez repozytorium kodu i zarządzanie wersjonowaniem.</w:t>
      </w:r>
    </w:p>
    <w:p w14:paraId="54BC9F67" w14:textId="0EA92E9E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chronić swoje kluczowe rekordy (np. logi) przed stratą, usunięciem lub niepowołaną modyfikacją.</w:t>
      </w:r>
    </w:p>
    <w:p w14:paraId="633C11A6" w14:textId="1BFA03D2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gwarantować poufność danych w obszarach, w których jest to możliwe i zasadne.</w:t>
      </w:r>
    </w:p>
    <w:p w14:paraId="127E0857" w14:textId="61715E09" w:rsidR="00D37815" w:rsidRDefault="00D37815">
      <w:pPr>
        <w:pStyle w:val="Akapitzlist"/>
        <w:numPr>
          <w:ilvl w:val="0"/>
          <w:numId w:val="9"/>
        </w:numPr>
        <w:ind w:left="426"/>
      </w:pPr>
      <w:r>
        <w:t>Rozwiązanie powinno zapewniać szyfrowanie przesyłania danych.</w:t>
      </w:r>
    </w:p>
    <w:p w14:paraId="4FC9977D" w14:textId="55317BCD" w:rsidR="00D37815" w:rsidRDefault="00D37815">
      <w:pPr>
        <w:pStyle w:val="Akapitzlist"/>
        <w:numPr>
          <w:ilvl w:val="0"/>
          <w:numId w:val="9"/>
        </w:numPr>
        <w:ind w:left="426"/>
      </w:pPr>
      <w:r>
        <w:t>System będzie posiadał mechanizmy zapewniające bezpieczeństwo logów. Logi zabezpieczone będą przed zniszczeniem lub nieautoryzowaną modyfikacją przez nieuprawnionych użytkowników.</w:t>
      </w:r>
    </w:p>
    <w:p w14:paraId="4892975F" w14:textId="788BD25A" w:rsidR="00D37815" w:rsidRDefault="004E4474">
      <w:pPr>
        <w:pStyle w:val="Akapitzlist"/>
        <w:numPr>
          <w:ilvl w:val="0"/>
          <w:numId w:val="9"/>
        </w:numPr>
        <w:ind w:left="426"/>
      </w:pPr>
      <w:r>
        <w:t>Zapewnienie</w:t>
      </w:r>
      <w:r w:rsidR="00D37815">
        <w:t xml:space="preserve"> logowania i śledzenia zdarzeń systemowych, zawierających istotne informacje specyficzne dla danego typu zdarzenia takie jak np.: czasie wystąpienia, inicjatorze (np. adres źródłowy w komunikacji IP, identyfikator użytkownika wykonującego akcję, identyfikator obiektu, na którym akcja jest wykonywana), akcji (np. próba inicjacji połączenia, wykonanie metody), wyniku akcji (np. odrzucenie/zezwolenie dostępu, poprawnym wykonaniu akcji).</w:t>
      </w:r>
    </w:p>
    <w:p w14:paraId="3AC5E5D0" w14:textId="75D9DA4A" w:rsidR="00D37815" w:rsidRDefault="00D37815">
      <w:pPr>
        <w:pStyle w:val="Akapitzlist"/>
        <w:numPr>
          <w:ilvl w:val="0"/>
          <w:numId w:val="9"/>
        </w:numPr>
        <w:ind w:left="426"/>
      </w:pPr>
      <w:r>
        <w:t>Komponenty budowane przez Dostawcę powinny zapewniać możliwość zapisywania i przechowywania działań użytkowników, takich jak: czynność czytania (rejestrowanie zdarzeń dotyczących przeglądania danych w systemie), czynność eksportowania danych z systemu, czynności wprowadzenia danych lub modyfikacji, czynności akceptacyjne.</w:t>
      </w:r>
    </w:p>
    <w:p w14:paraId="6DB25233" w14:textId="4A181520" w:rsidR="004E4474" w:rsidRDefault="00692346">
      <w:pPr>
        <w:pStyle w:val="Akapitzlist"/>
        <w:numPr>
          <w:ilvl w:val="0"/>
          <w:numId w:val="9"/>
        </w:numPr>
        <w:ind w:left="426"/>
      </w:pPr>
      <w:r>
        <w:t xml:space="preserve">Wykonawca </w:t>
      </w:r>
      <w:r w:rsidR="00290EF5">
        <w:t xml:space="preserve">w trakcie realizacji usługi utrzymania (Zadanie 3) </w:t>
      </w:r>
      <w:r>
        <w:t>będzie rejestrował incydenty bezpieczeństwa i zgłosił do osoby kontaktowej po stronie Zamawiającego wraz z opisem wymaganym przez politykę bezpieczeństwa informacji Zamawiającego (zostanie udostępniona w trakcie projektu).</w:t>
      </w:r>
    </w:p>
    <w:bookmarkEnd w:id="7"/>
    <w:p w14:paraId="5DACA98E" w14:textId="13753B60" w:rsidR="00D37815" w:rsidRDefault="00D37815" w:rsidP="00D37815"/>
    <w:p w14:paraId="210585E4" w14:textId="50231F2C" w:rsidR="00A11E3D" w:rsidRDefault="00A11E3D" w:rsidP="00A11E3D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testów</w:t>
      </w:r>
    </w:p>
    <w:p w14:paraId="7F056AEE" w14:textId="3BD5997C" w:rsidR="00823FCB" w:rsidRDefault="00823FCB" w:rsidP="00823FCB">
      <w:r>
        <w:t>Procedury testowania systemu dla Generatora Danych Handlowych (GDH) powinny być zintegrowane, kompleksowe i skupiać się na zapewnieniu wysokiej jakości oraz niezawodności systemu.</w:t>
      </w:r>
    </w:p>
    <w:p w14:paraId="02286ED3" w14:textId="77777777" w:rsidR="00823FCB" w:rsidRPr="00823FCB" w:rsidRDefault="00823FCB" w:rsidP="000E08C7">
      <w:pPr>
        <w:ind w:left="426"/>
        <w:rPr>
          <w:b/>
          <w:bCs/>
        </w:rPr>
      </w:pPr>
      <w:r w:rsidRPr="00823FCB">
        <w:rPr>
          <w:b/>
          <w:bCs/>
        </w:rPr>
        <w:t xml:space="preserve">1. Testy Jednostkowe (Unit </w:t>
      </w:r>
      <w:proofErr w:type="spellStart"/>
      <w:r w:rsidRPr="00823FCB">
        <w:rPr>
          <w:b/>
          <w:bCs/>
        </w:rPr>
        <w:t>Testing</w:t>
      </w:r>
      <w:proofErr w:type="spellEnd"/>
      <w:r w:rsidRPr="00823FCB">
        <w:rPr>
          <w:b/>
          <w:bCs/>
        </w:rPr>
        <w:t>)</w:t>
      </w:r>
    </w:p>
    <w:p w14:paraId="64304175" w14:textId="77777777" w:rsidR="00823FCB" w:rsidRDefault="00823FCB" w:rsidP="000E08C7">
      <w:pPr>
        <w:ind w:left="426"/>
      </w:pPr>
      <w:r>
        <w:t>Cel: Sprawdzenie pojedynczych komponentów lub funkcji systemu.</w:t>
      </w:r>
    </w:p>
    <w:p w14:paraId="2A4C172D" w14:textId="77777777" w:rsidR="00823FCB" w:rsidRDefault="00823FCB" w:rsidP="000E08C7">
      <w:pPr>
        <w:ind w:left="426"/>
      </w:pPr>
      <w:r>
        <w:lastRenderedPageBreak/>
        <w:t xml:space="preserve">Metodologia: Automatyczne testy przy użyciu narzędzi jak </w:t>
      </w:r>
      <w:proofErr w:type="spellStart"/>
      <w:r>
        <w:t>JUnit</w:t>
      </w:r>
      <w:proofErr w:type="spellEnd"/>
      <w:r>
        <w:t xml:space="preserve"> (dla Java) lub </w:t>
      </w:r>
      <w:proofErr w:type="spellStart"/>
      <w:r>
        <w:t>pytest</w:t>
      </w:r>
      <w:proofErr w:type="spellEnd"/>
      <w:r>
        <w:t xml:space="preserve"> (dla </w:t>
      </w:r>
      <w:proofErr w:type="spellStart"/>
      <w:r>
        <w:t>Pythona</w:t>
      </w:r>
      <w:proofErr w:type="spellEnd"/>
      <w:r>
        <w:t>).</w:t>
      </w:r>
    </w:p>
    <w:p w14:paraId="4421D285" w14:textId="77777777" w:rsidR="00823FCB" w:rsidRDefault="00823FCB" w:rsidP="000E08C7">
      <w:pPr>
        <w:ind w:left="426"/>
      </w:pPr>
      <w:r>
        <w:t>Kryteria Akceptacji: Każdy komponent musi przechodzić testy bez błędów.</w:t>
      </w:r>
    </w:p>
    <w:p w14:paraId="6096027E" w14:textId="77777777" w:rsidR="00823FCB" w:rsidRPr="00823FCB" w:rsidRDefault="00823FCB" w:rsidP="000E08C7">
      <w:pPr>
        <w:ind w:left="426"/>
        <w:rPr>
          <w:b/>
          <w:bCs/>
        </w:rPr>
      </w:pPr>
      <w:r w:rsidRPr="00823FCB">
        <w:rPr>
          <w:b/>
          <w:bCs/>
        </w:rPr>
        <w:t xml:space="preserve">2. Testy Integracyjne (Integration </w:t>
      </w:r>
      <w:proofErr w:type="spellStart"/>
      <w:r w:rsidRPr="00823FCB">
        <w:rPr>
          <w:b/>
          <w:bCs/>
        </w:rPr>
        <w:t>Testing</w:t>
      </w:r>
      <w:proofErr w:type="spellEnd"/>
      <w:r w:rsidRPr="00823FCB">
        <w:rPr>
          <w:b/>
          <w:bCs/>
        </w:rPr>
        <w:t>)</w:t>
      </w:r>
    </w:p>
    <w:p w14:paraId="75EA953B" w14:textId="77777777" w:rsidR="00823FCB" w:rsidRDefault="00823FCB" w:rsidP="000E08C7">
      <w:pPr>
        <w:ind w:left="426"/>
      </w:pPr>
      <w:r>
        <w:t>Cel: Sprawdzenie współpracy między różnymi modułami/systemami (np. integracja z EXPORT INTELLIGENCE).</w:t>
      </w:r>
    </w:p>
    <w:p w14:paraId="436BE322" w14:textId="77777777" w:rsidR="00823FCB" w:rsidRDefault="00823FCB" w:rsidP="000E08C7">
      <w:pPr>
        <w:ind w:left="426"/>
      </w:pPr>
      <w:r>
        <w:t xml:space="preserve">Metodologia: Testy scenariuszy zintegrowanych operacji, używając narzędzi takich jak </w:t>
      </w:r>
      <w:proofErr w:type="spellStart"/>
      <w:r>
        <w:t>Postman</w:t>
      </w:r>
      <w:proofErr w:type="spellEnd"/>
      <w:r>
        <w:t xml:space="preserve"> lub </w:t>
      </w:r>
      <w:proofErr w:type="spellStart"/>
      <w:r>
        <w:t>SoapUI</w:t>
      </w:r>
      <w:proofErr w:type="spellEnd"/>
      <w:r>
        <w:t>.</w:t>
      </w:r>
    </w:p>
    <w:p w14:paraId="1CF55C01" w14:textId="77777777" w:rsidR="00823FCB" w:rsidRDefault="00823FCB" w:rsidP="000E08C7">
      <w:pPr>
        <w:ind w:left="426"/>
      </w:pPr>
      <w:r>
        <w:t>Kryteria Akceptacji: Bezproblemowa komunikacja i przetwarzanie danych między modułami.</w:t>
      </w:r>
    </w:p>
    <w:p w14:paraId="0BD7653D" w14:textId="77777777" w:rsidR="00823FCB" w:rsidRPr="00823FCB" w:rsidRDefault="00823FCB" w:rsidP="000E08C7">
      <w:pPr>
        <w:ind w:left="426"/>
        <w:rPr>
          <w:b/>
          <w:bCs/>
        </w:rPr>
      </w:pPr>
      <w:r w:rsidRPr="00823FCB">
        <w:rPr>
          <w:b/>
          <w:bCs/>
        </w:rPr>
        <w:t xml:space="preserve">3. Testy Systemowe (System </w:t>
      </w:r>
      <w:proofErr w:type="spellStart"/>
      <w:r w:rsidRPr="00823FCB">
        <w:rPr>
          <w:b/>
          <w:bCs/>
        </w:rPr>
        <w:t>Testing</w:t>
      </w:r>
      <w:proofErr w:type="spellEnd"/>
      <w:r w:rsidRPr="00823FCB">
        <w:rPr>
          <w:b/>
          <w:bCs/>
        </w:rPr>
        <w:t>)</w:t>
      </w:r>
    </w:p>
    <w:p w14:paraId="61538497" w14:textId="77777777" w:rsidR="00823FCB" w:rsidRDefault="00823FCB" w:rsidP="000E08C7">
      <w:pPr>
        <w:ind w:left="426"/>
      </w:pPr>
      <w:r>
        <w:t>Cel: Walidacja kompletnego i zintegrowanego systemu pod kątem spełnienia wymagań.</w:t>
      </w:r>
    </w:p>
    <w:p w14:paraId="5C126DDE" w14:textId="77777777" w:rsidR="00823FCB" w:rsidRDefault="00823FCB" w:rsidP="000E08C7">
      <w:pPr>
        <w:ind w:left="426"/>
      </w:pPr>
      <w:r>
        <w:t>Metodologia: Testy obejmujące wszystkie funkcje systemu, wykonane w środowisku imitującym warunki produkcyjne.</w:t>
      </w:r>
    </w:p>
    <w:p w14:paraId="4A0DD5C2" w14:textId="77777777" w:rsidR="00823FCB" w:rsidRDefault="00823FCB" w:rsidP="000E08C7">
      <w:pPr>
        <w:ind w:left="426"/>
      </w:pPr>
      <w:r>
        <w:t>Kryteria Akceptacji: System spełnia wszystkie określone wymagania funkcjonalne i niefunkcjonalne.</w:t>
      </w:r>
    </w:p>
    <w:p w14:paraId="0FCE53D6" w14:textId="77777777" w:rsidR="00823FCB" w:rsidRPr="00823FCB" w:rsidRDefault="00823FCB" w:rsidP="000E08C7">
      <w:pPr>
        <w:ind w:left="426"/>
        <w:rPr>
          <w:b/>
          <w:bCs/>
        </w:rPr>
      </w:pPr>
      <w:r w:rsidRPr="00823FCB">
        <w:rPr>
          <w:b/>
          <w:bCs/>
        </w:rPr>
        <w:t xml:space="preserve">4. Testy Akceptacyjne Użytkownika (User </w:t>
      </w:r>
      <w:proofErr w:type="spellStart"/>
      <w:r w:rsidRPr="00823FCB">
        <w:rPr>
          <w:b/>
          <w:bCs/>
        </w:rPr>
        <w:t>Acceptance</w:t>
      </w:r>
      <w:proofErr w:type="spellEnd"/>
      <w:r w:rsidRPr="00823FCB">
        <w:rPr>
          <w:b/>
          <w:bCs/>
        </w:rPr>
        <w:t xml:space="preserve"> </w:t>
      </w:r>
      <w:proofErr w:type="spellStart"/>
      <w:r w:rsidRPr="00823FCB">
        <w:rPr>
          <w:b/>
          <w:bCs/>
        </w:rPr>
        <w:t>Testing</w:t>
      </w:r>
      <w:proofErr w:type="spellEnd"/>
      <w:r w:rsidRPr="00823FCB">
        <w:rPr>
          <w:b/>
          <w:bCs/>
        </w:rPr>
        <w:t>, UAT)</w:t>
      </w:r>
    </w:p>
    <w:p w14:paraId="797302D8" w14:textId="77777777" w:rsidR="00823FCB" w:rsidRDefault="00823FCB" w:rsidP="000E08C7">
      <w:pPr>
        <w:ind w:left="426"/>
      </w:pPr>
      <w:r>
        <w:t>Cel: Zapewnienie, że system spełnia oczekiwania i wymagania użytkownika końcowego.</w:t>
      </w:r>
    </w:p>
    <w:p w14:paraId="4C410AF5" w14:textId="77777777" w:rsidR="00823FCB" w:rsidRDefault="00823FCB" w:rsidP="000E08C7">
      <w:pPr>
        <w:ind w:left="426"/>
      </w:pPr>
      <w:r>
        <w:t>Metodologia: Testy przeprowadzane przez użytkowników końcowych w warunkach zbliżonych do rzeczywistego użytkowania.</w:t>
      </w:r>
    </w:p>
    <w:p w14:paraId="764E47D2" w14:textId="2B848FBA" w:rsidR="00823FCB" w:rsidRDefault="00823FCB" w:rsidP="000E08C7">
      <w:pPr>
        <w:ind w:left="426"/>
      </w:pPr>
      <w:r>
        <w:t>Kryteria Akceptacji: Pozytywna ocena użytkowników końcowych; spełnienie kryteriów biznesowych. Możliwe występowanie usterek (brak błędów krytycznych, wysokich i średnich), które powinny być naprawione przed przekazaniem do odbioru.</w:t>
      </w:r>
    </w:p>
    <w:p w14:paraId="342635EE" w14:textId="77777777" w:rsidR="00823FCB" w:rsidRPr="00823FCB" w:rsidRDefault="00823FCB" w:rsidP="000E08C7">
      <w:pPr>
        <w:ind w:left="426"/>
        <w:rPr>
          <w:b/>
          <w:bCs/>
        </w:rPr>
      </w:pPr>
      <w:r w:rsidRPr="00823FCB">
        <w:rPr>
          <w:b/>
          <w:bCs/>
        </w:rPr>
        <w:t xml:space="preserve">5. Testy Wydajnościowe i Obciążeniowe (Performance and </w:t>
      </w:r>
      <w:proofErr w:type="spellStart"/>
      <w:r w:rsidRPr="00823FCB">
        <w:rPr>
          <w:b/>
          <w:bCs/>
        </w:rPr>
        <w:t>Load</w:t>
      </w:r>
      <w:proofErr w:type="spellEnd"/>
      <w:r w:rsidRPr="00823FCB">
        <w:rPr>
          <w:b/>
          <w:bCs/>
        </w:rPr>
        <w:t xml:space="preserve"> </w:t>
      </w:r>
      <w:proofErr w:type="spellStart"/>
      <w:r w:rsidRPr="00823FCB">
        <w:rPr>
          <w:b/>
          <w:bCs/>
        </w:rPr>
        <w:t>Testing</w:t>
      </w:r>
      <w:proofErr w:type="spellEnd"/>
      <w:r w:rsidRPr="00823FCB">
        <w:rPr>
          <w:b/>
          <w:bCs/>
        </w:rPr>
        <w:t>)</w:t>
      </w:r>
    </w:p>
    <w:p w14:paraId="38EFC201" w14:textId="77777777" w:rsidR="00823FCB" w:rsidRDefault="00823FCB" w:rsidP="000E08C7">
      <w:pPr>
        <w:ind w:left="426"/>
      </w:pPr>
      <w:r>
        <w:t>Cel: Ocena wydajności systemu pod dużym obciążeniem.</w:t>
      </w:r>
    </w:p>
    <w:p w14:paraId="60F27255" w14:textId="77777777" w:rsidR="00823FCB" w:rsidRDefault="00823FCB" w:rsidP="000E08C7">
      <w:pPr>
        <w:ind w:left="426"/>
      </w:pPr>
      <w:r>
        <w:t xml:space="preserve">Metodologia: Symulacja ruchu sieciowego i operacji użytkowników na dużą skalę przy użyciu narzędzi jak </w:t>
      </w:r>
      <w:proofErr w:type="spellStart"/>
      <w:r>
        <w:t>JMeter</w:t>
      </w:r>
      <w:proofErr w:type="spellEnd"/>
      <w:r>
        <w:t>.</w:t>
      </w:r>
    </w:p>
    <w:p w14:paraId="50191C24" w14:textId="48F79B4E" w:rsidR="00823FCB" w:rsidRDefault="00823FCB" w:rsidP="000E08C7">
      <w:pPr>
        <w:ind w:left="426"/>
      </w:pPr>
      <w:r>
        <w:t>Kryteria Akceptacji: System utrzymuje odpowiedni czas odpowiedzi i stabilność przy określonym obciążeniu – jak opisano powyżej.</w:t>
      </w:r>
    </w:p>
    <w:p w14:paraId="6E59752E" w14:textId="77777777" w:rsidR="00823FCB" w:rsidRPr="00823FCB" w:rsidRDefault="00823FCB" w:rsidP="000E08C7">
      <w:pPr>
        <w:ind w:left="426"/>
        <w:rPr>
          <w:b/>
          <w:bCs/>
        </w:rPr>
      </w:pPr>
      <w:bookmarkStart w:id="8" w:name="_Hlk153958566"/>
      <w:r w:rsidRPr="00823FCB">
        <w:rPr>
          <w:b/>
          <w:bCs/>
        </w:rPr>
        <w:t xml:space="preserve">6. Testy Bezpieczeństwa (Security </w:t>
      </w:r>
      <w:proofErr w:type="spellStart"/>
      <w:r w:rsidRPr="00823FCB">
        <w:rPr>
          <w:b/>
          <w:bCs/>
        </w:rPr>
        <w:t>Testing</w:t>
      </w:r>
      <w:proofErr w:type="spellEnd"/>
      <w:r w:rsidRPr="00823FCB">
        <w:rPr>
          <w:b/>
          <w:bCs/>
        </w:rPr>
        <w:t>)</w:t>
      </w:r>
    </w:p>
    <w:p w14:paraId="78F15952" w14:textId="092052C2" w:rsidR="00823FCB" w:rsidRDefault="00823FCB" w:rsidP="000E08C7">
      <w:pPr>
        <w:ind w:left="426"/>
      </w:pPr>
      <w:r>
        <w:t>Cel: Identyfikacja potencjalnych słabości i luk w zabezpieczeniach</w:t>
      </w:r>
      <w:r w:rsidR="00692346">
        <w:t xml:space="preserve"> GDH wraz ze środowiskiem, na którym będzie funkcjonował</w:t>
      </w:r>
      <w:r>
        <w:t>.</w:t>
      </w:r>
    </w:p>
    <w:p w14:paraId="5DFCA97B" w14:textId="0DE42DE5" w:rsidR="00823FCB" w:rsidRDefault="00823FCB" w:rsidP="000E08C7">
      <w:pPr>
        <w:ind w:left="426"/>
      </w:pPr>
      <w:r>
        <w:lastRenderedPageBreak/>
        <w:t>Metodologia: Wykorzystanie audytu bezpieczeństwa przez niezależną firmę. Wykonanie zmian w GDH zgodnie z zaleceniami audytora.</w:t>
      </w:r>
    </w:p>
    <w:p w14:paraId="40FEB5EA" w14:textId="77777777" w:rsidR="00823FCB" w:rsidRDefault="00823FCB" w:rsidP="000E08C7">
      <w:pPr>
        <w:ind w:left="426"/>
      </w:pPr>
      <w:r>
        <w:t>Kryteria Akceptacji: Brak krytycznych błędów bezpieczeństwa; zgodność z najlepszymi praktykami i standardami bezpieczeństwa</w:t>
      </w:r>
      <w:bookmarkEnd w:id="8"/>
      <w:r>
        <w:t>.</w:t>
      </w:r>
    </w:p>
    <w:p w14:paraId="34624795" w14:textId="77777777" w:rsidR="00823FCB" w:rsidRPr="00823FCB" w:rsidRDefault="00823FCB" w:rsidP="00823FCB">
      <w:pPr>
        <w:rPr>
          <w:b/>
          <w:bCs/>
        </w:rPr>
      </w:pPr>
      <w:r w:rsidRPr="00823FCB">
        <w:rPr>
          <w:b/>
          <w:bCs/>
        </w:rPr>
        <w:t>Dodatkowe Uwagi:</w:t>
      </w:r>
    </w:p>
    <w:p w14:paraId="3960EBA2" w14:textId="77777777" w:rsidR="00823FCB" w:rsidRDefault="00823FCB" w:rsidP="00823FCB">
      <w:r>
        <w:t>Dokumentacja Testów: Każda faza testów powinna być dokładnie udokumentowana, włączając w to scenariusze testowe, wyniki i wnioski.</w:t>
      </w:r>
    </w:p>
    <w:p w14:paraId="563C6AC9" w14:textId="77777777" w:rsidR="00823FCB" w:rsidRDefault="00823FCB" w:rsidP="00823FCB">
      <w:r>
        <w:t>Zarządzanie Błędami: Należy zastosować system zarządzania błędami do śledzenia i rozwiązywania wykrytych problemów.</w:t>
      </w:r>
    </w:p>
    <w:p w14:paraId="2A427CBC" w14:textId="77777777" w:rsidR="00A11E3D" w:rsidRDefault="00A11E3D" w:rsidP="00D37815"/>
    <w:p w14:paraId="2FB712D2" w14:textId="17583A6D" w:rsidR="000E08C7" w:rsidRDefault="000E08C7" w:rsidP="000E08C7">
      <w:pPr>
        <w:rPr>
          <w:b/>
          <w:bCs/>
          <w:u w:val="single"/>
        </w:rPr>
      </w:pPr>
      <w:r>
        <w:rPr>
          <w:b/>
          <w:bCs/>
          <w:u w:val="single"/>
        </w:rPr>
        <w:t>Procedura integracji GDH z EI we współpracy z wykonawcą EI</w:t>
      </w:r>
    </w:p>
    <w:p w14:paraId="1D59C3C7" w14:textId="70889135" w:rsidR="000E08C7" w:rsidRDefault="000E08C7" w:rsidP="00FD04DE">
      <w:r>
        <w:t>Wykonawca przeprowadzi działania modyfikacji kodu EI i integracji GDH z EI we współpracy z wykonawcą systemu EI.</w:t>
      </w:r>
    </w:p>
    <w:p w14:paraId="41D9640F" w14:textId="511387E9" w:rsidR="000E08C7" w:rsidRDefault="000E08C7" w:rsidP="00FD04DE">
      <w:pPr>
        <w:pBdr>
          <w:top w:val="nil"/>
          <w:left w:val="nil"/>
          <w:bottom w:val="nil"/>
          <w:right w:val="nil"/>
          <w:between w:val="nil"/>
        </w:pBdr>
        <w:tabs>
          <w:tab w:val="right" w:pos="9076"/>
        </w:tabs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oraz dostawcy firm trzecich w stosunku do wykonawcy systemu EI mogą wprowadzać zmiany implementacyjne i konfiguracyjne na środowisku produkcyjnym i testowym (</w:t>
      </w:r>
      <w:proofErr w:type="spellStart"/>
      <w:r>
        <w:rPr>
          <w:rFonts w:ascii="Calibri" w:eastAsia="Calibri" w:hAnsi="Calibri" w:cs="Calibri"/>
        </w:rPr>
        <w:t>bugfix</w:t>
      </w:r>
      <w:proofErr w:type="spellEnd"/>
      <w:r>
        <w:rPr>
          <w:rFonts w:ascii="Calibri" w:eastAsia="Calibri" w:hAnsi="Calibri" w:cs="Calibri"/>
        </w:rPr>
        <w:t xml:space="preserve">) systemu EXPORT INTELLIGENCE, po uprzedniej zgodzie Wykonawcy EI. Wszelkie prace implementacyjne i konfiguracyjne na środowisku produkcyjnym oraz testowym wymagają uprzedniej zgody Wykonawcy EI. </w:t>
      </w:r>
    </w:p>
    <w:p w14:paraId="5E950B57" w14:textId="77777777" w:rsidR="00FD04DE" w:rsidRDefault="00FD04DE" w:rsidP="00FD04DE">
      <w:pPr>
        <w:tabs>
          <w:tab w:val="right" w:pos="9076"/>
        </w:tabs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Wykonawca GDH do </w:t>
      </w:r>
      <w:r w:rsidR="000E08C7">
        <w:rPr>
          <w:rFonts w:ascii="Calibri" w:eastAsia="Calibri" w:hAnsi="Calibri" w:cs="Calibri"/>
        </w:rPr>
        <w:t>wniosku o autoryzację dostarczy poniższe elementy:</w:t>
      </w:r>
    </w:p>
    <w:p w14:paraId="6007BFC9" w14:textId="0F843940" w:rsidR="000E08C7" w:rsidRPr="00FD04DE" w:rsidRDefault="000E08C7">
      <w:pPr>
        <w:pStyle w:val="Akapitzlist"/>
        <w:numPr>
          <w:ilvl w:val="0"/>
          <w:numId w:val="10"/>
        </w:numPr>
        <w:tabs>
          <w:tab w:val="left" w:pos="5040"/>
          <w:tab w:val="right" w:pos="9076"/>
        </w:tabs>
        <w:spacing w:after="0"/>
        <w:ind w:left="426"/>
        <w:jc w:val="both"/>
        <w:rPr>
          <w:rFonts w:ascii="Calibri" w:eastAsia="Calibri" w:hAnsi="Calibri" w:cs="Calibri"/>
        </w:rPr>
      </w:pPr>
      <w:r w:rsidRPr="00FD04DE">
        <w:rPr>
          <w:rFonts w:ascii="Calibri" w:eastAsia="Calibri" w:hAnsi="Calibri" w:cs="Calibri"/>
        </w:rPr>
        <w:t>kod źródłowy rozwiązania,</w:t>
      </w:r>
    </w:p>
    <w:p w14:paraId="24555EA2" w14:textId="77777777" w:rsidR="000E08C7" w:rsidRPr="00FD04DE" w:rsidRDefault="000E08C7">
      <w:pPr>
        <w:pStyle w:val="Akapitzlist"/>
        <w:numPr>
          <w:ilvl w:val="0"/>
          <w:numId w:val="10"/>
        </w:numPr>
        <w:tabs>
          <w:tab w:val="left" w:pos="5040"/>
          <w:tab w:val="right" w:pos="9076"/>
        </w:tabs>
        <w:spacing w:after="0"/>
        <w:ind w:left="426"/>
        <w:jc w:val="both"/>
        <w:rPr>
          <w:rFonts w:ascii="Calibri" w:eastAsia="Calibri" w:hAnsi="Calibri" w:cs="Calibri"/>
        </w:rPr>
      </w:pPr>
      <w:r w:rsidRPr="00FD04DE">
        <w:rPr>
          <w:rFonts w:ascii="Calibri" w:eastAsia="Calibri" w:hAnsi="Calibri" w:cs="Calibri"/>
        </w:rPr>
        <w:t>opis zmiany oraz cel jej wprowadzenia,</w:t>
      </w:r>
    </w:p>
    <w:p w14:paraId="7A1C33CE" w14:textId="77777777" w:rsidR="000E08C7" w:rsidRPr="00FD04DE" w:rsidRDefault="000E08C7">
      <w:pPr>
        <w:pStyle w:val="Akapitzlist"/>
        <w:numPr>
          <w:ilvl w:val="0"/>
          <w:numId w:val="10"/>
        </w:numPr>
        <w:tabs>
          <w:tab w:val="left" w:pos="5040"/>
          <w:tab w:val="right" w:pos="9076"/>
        </w:tabs>
        <w:spacing w:after="0"/>
        <w:ind w:left="426"/>
        <w:jc w:val="both"/>
        <w:rPr>
          <w:rFonts w:ascii="Calibri" w:eastAsia="Calibri" w:hAnsi="Calibri" w:cs="Calibri"/>
        </w:rPr>
      </w:pPr>
      <w:r w:rsidRPr="00FD04DE">
        <w:rPr>
          <w:rFonts w:ascii="Calibri" w:eastAsia="Calibri" w:hAnsi="Calibri" w:cs="Calibri"/>
        </w:rPr>
        <w:t>dokumentacja funkcjonalna z przypadkami użycia (jeśli dotyczy),</w:t>
      </w:r>
    </w:p>
    <w:p w14:paraId="26FC6691" w14:textId="77777777" w:rsidR="000E08C7" w:rsidRPr="00FD04DE" w:rsidRDefault="000E08C7">
      <w:pPr>
        <w:pStyle w:val="Akapitzlist"/>
        <w:numPr>
          <w:ilvl w:val="0"/>
          <w:numId w:val="10"/>
        </w:numPr>
        <w:tabs>
          <w:tab w:val="left" w:pos="5040"/>
          <w:tab w:val="right" w:pos="9076"/>
        </w:tabs>
        <w:spacing w:after="0"/>
        <w:ind w:left="426"/>
        <w:jc w:val="both"/>
        <w:rPr>
          <w:rFonts w:ascii="Calibri" w:eastAsia="Calibri" w:hAnsi="Calibri" w:cs="Calibri"/>
        </w:rPr>
      </w:pPr>
      <w:r w:rsidRPr="00FD04DE">
        <w:rPr>
          <w:rFonts w:ascii="Calibri" w:eastAsia="Calibri" w:hAnsi="Calibri" w:cs="Calibri"/>
        </w:rPr>
        <w:t>dokumentacja techniczną i eksploatacyjną (jeśli dotyczy),</w:t>
      </w:r>
    </w:p>
    <w:p w14:paraId="3BF77E8D" w14:textId="77777777" w:rsidR="000E08C7" w:rsidRPr="00FD04DE" w:rsidRDefault="000E08C7">
      <w:pPr>
        <w:pStyle w:val="Akapitzlist"/>
        <w:numPr>
          <w:ilvl w:val="0"/>
          <w:numId w:val="10"/>
        </w:numPr>
        <w:tabs>
          <w:tab w:val="left" w:pos="5040"/>
          <w:tab w:val="right" w:pos="9076"/>
        </w:tabs>
        <w:spacing w:after="0"/>
        <w:ind w:left="426"/>
        <w:jc w:val="both"/>
        <w:rPr>
          <w:rFonts w:ascii="Calibri" w:eastAsia="Calibri" w:hAnsi="Calibri" w:cs="Calibri"/>
        </w:rPr>
      </w:pPr>
      <w:r w:rsidRPr="00FD04DE">
        <w:rPr>
          <w:rFonts w:ascii="Calibri" w:eastAsia="Calibri" w:hAnsi="Calibri" w:cs="Calibri"/>
        </w:rPr>
        <w:t>dane źródłowe wykorzystane do testów oraz kody źródłowe skryptów automatycznych (jeśli dotyczy),</w:t>
      </w:r>
    </w:p>
    <w:p w14:paraId="20BEB1B4" w14:textId="77777777" w:rsidR="000E08C7" w:rsidRPr="00FD04DE" w:rsidRDefault="000E08C7">
      <w:pPr>
        <w:pStyle w:val="Akapitzlist"/>
        <w:numPr>
          <w:ilvl w:val="0"/>
          <w:numId w:val="10"/>
        </w:numPr>
        <w:tabs>
          <w:tab w:val="left" w:pos="5040"/>
          <w:tab w:val="right" w:pos="9076"/>
        </w:tabs>
        <w:spacing w:after="240"/>
        <w:ind w:left="425" w:hanging="357"/>
        <w:jc w:val="both"/>
        <w:rPr>
          <w:rFonts w:ascii="Calibri" w:eastAsia="Calibri" w:hAnsi="Calibri" w:cs="Calibri"/>
        </w:rPr>
      </w:pPr>
      <w:r w:rsidRPr="00FD04DE">
        <w:rPr>
          <w:rFonts w:ascii="Calibri" w:eastAsia="Calibri" w:hAnsi="Calibri" w:cs="Calibri"/>
        </w:rPr>
        <w:t>raport z wykonania testów (jeśli dotyczy).</w:t>
      </w:r>
    </w:p>
    <w:p w14:paraId="4EB40EFF" w14:textId="41F2203B" w:rsidR="000E08C7" w:rsidRDefault="000E08C7" w:rsidP="00FD04DE">
      <w:pPr>
        <w:tabs>
          <w:tab w:val="right" w:pos="9076"/>
        </w:tabs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terminie 10 dni roboczych Wykonawca </w:t>
      </w:r>
      <w:r w:rsidR="00FD04DE">
        <w:rPr>
          <w:rFonts w:ascii="Calibri" w:eastAsia="Calibri" w:hAnsi="Calibri" w:cs="Calibri"/>
        </w:rPr>
        <w:t xml:space="preserve">EI </w:t>
      </w:r>
      <w:r>
        <w:rPr>
          <w:rFonts w:ascii="Calibri" w:eastAsia="Calibri" w:hAnsi="Calibri" w:cs="Calibri"/>
        </w:rPr>
        <w:t>dokona weryfikacji zmiany i jej autoryzacji. Jeśli autoryzacja nie jest możliwa, to Wykonawca</w:t>
      </w:r>
      <w:r w:rsidR="00FD04DE">
        <w:rPr>
          <w:rFonts w:ascii="Calibri" w:eastAsia="Calibri" w:hAnsi="Calibri" w:cs="Calibri"/>
        </w:rPr>
        <w:t xml:space="preserve"> EI</w:t>
      </w:r>
      <w:r>
        <w:rPr>
          <w:rFonts w:ascii="Calibri" w:eastAsia="Calibri" w:hAnsi="Calibri" w:cs="Calibri"/>
        </w:rPr>
        <w:t xml:space="preserve"> przedstawi szczegółowe uzasadnienie braku autoryzacji i wskaże zamkniętą listę koniecznych zmian, po wykonaniu których nastąpi autoryzacja. W przypadku wykonania tych zmian Wykonawca </w:t>
      </w:r>
      <w:r w:rsidR="00FD04DE">
        <w:rPr>
          <w:rFonts w:ascii="Calibri" w:eastAsia="Calibri" w:hAnsi="Calibri" w:cs="Calibri"/>
        </w:rPr>
        <w:t xml:space="preserve">EI </w:t>
      </w:r>
      <w:r>
        <w:rPr>
          <w:rFonts w:ascii="Calibri" w:eastAsia="Calibri" w:hAnsi="Calibri" w:cs="Calibri"/>
        </w:rPr>
        <w:t>nie może odmówić autoryzacji.</w:t>
      </w:r>
    </w:p>
    <w:p w14:paraId="6CB026D9" w14:textId="3DF5B817" w:rsidR="000E08C7" w:rsidRDefault="000E08C7" w:rsidP="00FD04DE">
      <w:pPr>
        <w:tabs>
          <w:tab w:val="right" w:pos="9076"/>
        </w:tabs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Jeżeli w terminie 10 </w:t>
      </w:r>
      <w:r w:rsidR="00FD04DE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ni </w:t>
      </w:r>
      <w:r w:rsidR="00FD04D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oboczych od przedłożenia wszystkich potrzebnych do dokonania autoryzacji informacji i dokumentów poprzez system zgłoszeniowy JIRA, </w:t>
      </w:r>
      <w:r w:rsidR="00FD04DE">
        <w:rPr>
          <w:rFonts w:ascii="Calibri" w:eastAsia="Calibri" w:hAnsi="Calibri" w:cs="Calibri"/>
        </w:rPr>
        <w:t>Wykonawca EI</w:t>
      </w:r>
      <w:r>
        <w:rPr>
          <w:rFonts w:ascii="Calibri" w:eastAsia="Calibri" w:hAnsi="Calibri" w:cs="Calibri"/>
        </w:rPr>
        <w:t xml:space="preserve"> nie wniesie żadnych uwag, przyjmuje się zmianę za autoryzowaną.</w:t>
      </w:r>
    </w:p>
    <w:p w14:paraId="3977BEA4" w14:textId="77777777" w:rsidR="000E08C7" w:rsidRDefault="000E08C7" w:rsidP="00FD04DE"/>
    <w:p w14:paraId="2E525632" w14:textId="4146F67B" w:rsidR="00290EF5" w:rsidRPr="00290EF5" w:rsidRDefault="00290EF5" w:rsidP="00FD04DE">
      <w:pPr>
        <w:rPr>
          <w:b/>
          <w:bCs/>
          <w:u w:val="single"/>
        </w:rPr>
      </w:pPr>
      <w:r w:rsidRPr="00290EF5">
        <w:rPr>
          <w:b/>
          <w:bCs/>
          <w:u w:val="single"/>
        </w:rPr>
        <w:t>Usługa utrzymania GDH</w:t>
      </w:r>
    </w:p>
    <w:p w14:paraId="5B3415C6" w14:textId="61E82225" w:rsidR="00290EF5" w:rsidRPr="002C07ED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lastRenderedPageBreak/>
        <w:t>GDH</w:t>
      </w:r>
      <w:r w:rsidRPr="002C07ED">
        <w:rPr>
          <w:rFonts w:eastAsia="Calibri" w:cstheme="minorHAnsi"/>
        </w:rPr>
        <w:t xml:space="preserve"> będzie utrzymywany przez wyznaczonych pracowników po stronie </w:t>
      </w:r>
      <w:r>
        <w:rPr>
          <w:rFonts w:eastAsia="Calibri" w:cstheme="minorHAnsi"/>
        </w:rPr>
        <w:t>Zamawiającego</w:t>
      </w:r>
      <w:r w:rsidRPr="002C07ED">
        <w:rPr>
          <w:rFonts w:eastAsia="Calibri" w:cstheme="minorHAnsi"/>
        </w:rPr>
        <w:t xml:space="preserve"> oraz </w:t>
      </w:r>
      <w:r>
        <w:rPr>
          <w:rFonts w:eastAsia="Calibri" w:cstheme="minorHAnsi"/>
        </w:rPr>
        <w:t xml:space="preserve">w ramach </w:t>
      </w:r>
      <w:r w:rsidRPr="002C07ED">
        <w:rPr>
          <w:rFonts w:eastAsia="Calibri" w:cstheme="minorHAnsi"/>
        </w:rPr>
        <w:t xml:space="preserve">usługi utrzymania </w:t>
      </w:r>
      <w:r>
        <w:rPr>
          <w:rFonts w:eastAsia="Calibri" w:cstheme="minorHAnsi"/>
        </w:rPr>
        <w:t>przez Wykonawcę</w:t>
      </w:r>
      <w:r w:rsidRPr="002C07ED">
        <w:rPr>
          <w:rFonts w:eastAsia="Calibri" w:cstheme="minorHAnsi"/>
        </w:rPr>
        <w:t>.</w:t>
      </w:r>
    </w:p>
    <w:p w14:paraId="7834403E" w14:textId="611AC600" w:rsidR="00290EF5" w:rsidRDefault="00290EF5" w:rsidP="00290EF5">
      <w:pPr>
        <w:spacing w:after="120"/>
        <w:rPr>
          <w:rFonts w:eastAsia="Calibri" w:cstheme="minorHAnsi"/>
        </w:rPr>
      </w:pPr>
      <w:r w:rsidRPr="002C07ED">
        <w:rPr>
          <w:rFonts w:eastAsia="Calibri" w:cstheme="minorHAnsi"/>
        </w:rPr>
        <w:t xml:space="preserve">Usługa utrzymania będzie świadczona przez </w:t>
      </w:r>
      <w:r>
        <w:rPr>
          <w:rFonts w:eastAsia="Calibri" w:cstheme="minorHAnsi"/>
        </w:rPr>
        <w:t>Wykon</w:t>
      </w:r>
      <w:r w:rsidRPr="002C07ED">
        <w:rPr>
          <w:rFonts w:eastAsia="Calibri" w:cstheme="minorHAnsi"/>
        </w:rPr>
        <w:t xml:space="preserve">awcę </w:t>
      </w:r>
      <w:r>
        <w:rPr>
          <w:rFonts w:eastAsia="Calibri" w:cstheme="minorHAnsi"/>
        </w:rPr>
        <w:t>do 31 marca 2028 r.</w:t>
      </w:r>
      <w:r w:rsidRPr="002C07E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począwszy od pierwszego dnia miesiąca rozpoczynającego się po podpisaniu protokołu odbioru Zadania 2.</w:t>
      </w:r>
    </w:p>
    <w:p w14:paraId="07917945" w14:textId="77777777" w:rsidR="00290EF5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 xml:space="preserve">Zamawiający oczekuje, że usługa utrzymania </w:t>
      </w:r>
      <w:r w:rsidRPr="00ED4419">
        <w:rPr>
          <w:rFonts w:eastAsia="Calibri" w:cstheme="minorHAnsi"/>
        </w:rPr>
        <w:t>świadczon</w:t>
      </w:r>
      <w:r>
        <w:rPr>
          <w:rFonts w:eastAsia="Calibri" w:cstheme="minorHAnsi"/>
        </w:rPr>
        <w:t>a</w:t>
      </w:r>
      <w:r w:rsidRPr="00ED4419">
        <w:rPr>
          <w:rFonts w:eastAsia="Calibri" w:cstheme="minorHAnsi"/>
        </w:rPr>
        <w:t xml:space="preserve"> będ</w:t>
      </w:r>
      <w:r>
        <w:rPr>
          <w:rFonts w:eastAsia="Calibri" w:cstheme="minorHAnsi"/>
        </w:rPr>
        <w:t>zie</w:t>
      </w:r>
      <w:r w:rsidRPr="00ED4419">
        <w:rPr>
          <w:rFonts w:eastAsia="Calibri" w:cstheme="minorHAnsi"/>
        </w:rPr>
        <w:t xml:space="preserve"> w Dni Robocze w Godzinach Roboczych</w:t>
      </w:r>
      <w:r>
        <w:rPr>
          <w:rFonts w:eastAsia="Calibri" w:cstheme="minorHAnsi"/>
        </w:rPr>
        <w:t xml:space="preserve"> i </w:t>
      </w:r>
      <w:r w:rsidRPr="00ED4419">
        <w:rPr>
          <w:rFonts w:eastAsia="Calibri" w:cstheme="minorHAnsi"/>
        </w:rPr>
        <w:t xml:space="preserve">w języku </w:t>
      </w:r>
      <w:r>
        <w:rPr>
          <w:rFonts w:eastAsia="Calibri" w:cstheme="minorHAnsi"/>
        </w:rPr>
        <w:t>p</w:t>
      </w:r>
      <w:r w:rsidRPr="00ED4419">
        <w:rPr>
          <w:rFonts w:eastAsia="Calibri" w:cstheme="minorHAnsi"/>
        </w:rPr>
        <w:t>olskim.</w:t>
      </w:r>
      <w:r>
        <w:rPr>
          <w:rFonts w:eastAsia="Calibri" w:cstheme="minorHAnsi"/>
        </w:rPr>
        <w:t xml:space="preserve"> </w:t>
      </w:r>
      <w:r w:rsidRPr="00ED4419">
        <w:rPr>
          <w:rFonts w:eastAsia="Calibri" w:cstheme="minorHAnsi"/>
        </w:rPr>
        <w:t xml:space="preserve">Usługa </w:t>
      </w:r>
      <w:r>
        <w:rPr>
          <w:rFonts w:eastAsia="Calibri" w:cstheme="minorHAnsi"/>
        </w:rPr>
        <w:t xml:space="preserve">może być </w:t>
      </w:r>
      <w:r w:rsidRPr="00ED4419">
        <w:rPr>
          <w:rFonts w:eastAsia="Calibri" w:cstheme="minorHAnsi"/>
        </w:rPr>
        <w:t xml:space="preserve">świadczona zdalnie z biura </w:t>
      </w:r>
      <w:r>
        <w:rPr>
          <w:rFonts w:eastAsia="Calibri" w:cstheme="minorHAnsi"/>
        </w:rPr>
        <w:t>wykonawcy.</w:t>
      </w:r>
    </w:p>
    <w:p w14:paraId="72E61186" w14:textId="1BF05607" w:rsidR="00290EF5" w:rsidRPr="00957B17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 xml:space="preserve">Zamawiający wymaga, że w ramach usługi utrzymania GDH Wykonawca zapewni jego </w:t>
      </w:r>
      <w:r w:rsidRPr="00957B17">
        <w:rPr>
          <w:rFonts w:eastAsia="Calibri" w:cstheme="minorHAnsi"/>
        </w:rPr>
        <w:t>dostępność na poziomie min. 95% (</w:t>
      </w:r>
      <w:proofErr w:type="gramStart"/>
      <w:r w:rsidRPr="00957B17">
        <w:rPr>
          <w:rFonts w:eastAsia="Calibri" w:cstheme="minorHAnsi"/>
        </w:rPr>
        <w:t>tzn.</w:t>
      </w:r>
      <w:proofErr w:type="gramEnd"/>
      <w:r w:rsidRPr="00957B17">
        <w:rPr>
          <w:rFonts w:eastAsia="Calibri" w:cstheme="minorHAnsi"/>
        </w:rPr>
        <w:t xml:space="preserve"> że błędy krytyczne mogą występować łącznie </w:t>
      </w:r>
      <w:r w:rsidRPr="000814D8">
        <w:rPr>
          <w:rFonts w:eastAsia="Calibri" w:cstheme="minorHAnsi"/>
        </w:rPr>
        <w:t>przez maksymalnie 3 dni robocze w kwartale)</w:t>
      </w:r>
      <w:r w:rsidRPr="00957B17">
        <w:rPr>
          <w:rFonts w:eastAsia="Calibri" w:cstheme="minorHAnsi"/>
        </w:rPr>
        <w:t>.</w:t>
      </w:r>
    </w:p>
    <w:p w14:paraId="7F3B2A20" w14:textId="77777777" w:rsidR="00290EF5" w:rsidRDefault="00290EF5" w:rsidP="00290EF5">
      <w:pPr>
        <w:spacing w:after="120"/>
        <w:rPr>
          <w:rFonts w:eastAsia="Calibri" w:cstheme="minorHAnsi"/>
        </w:rPr>
      </w:pPr>
      <w:r w:rsidRPr="00957B17">
        <w:rPr>
          <w:rFonts w:eastAsia="Calibri" w:cstheme="minorHAnsi"/>
        </w:rPr>
        <w:t xml:space="preserve">Równocześnie Wykonawca zapewni brak jakichkolwiek </w:t>
      </w:r>
      <w:r w:rsidRPr="000814D8">
        <w:rPr>
          <w:rFonts w:eastAsia="Calibri" w:cstheme="minorHAnsi"/>
        </w:rPr>
        <w:t xml:space="preserve">błędów </w:t>
      </w:r>
      <w:r w:rsidRPr="00957B17">
        <w:rPr>
          <w:rFonts w:eastAsia="Calibri" w:cstheme="minorHAnsi"/>
        </w:rPr>
        <w:t>krytycznych i niekrytycznych przez min. 90% dni roboczych w kwartale (</w:t>
      </w:r>
      <w:proofErr w:type="gramStart"/>
      <w:r w:rsidRPr="00957B17">
        <w:rPr>
          <w:rFonts w:eastAsia="Calibri" w:cstheme="minorHAnsi"/>
        </w:rPr>
        <w:t>tzn.</w:t>
      </w:r>
      <w:proofErr w:type="gramEnd"/>
      <w:r w:rsidRPr="00957B17">
        <w:rPr>
          <w:rFonts w:eastAsia="Calibri" w:cstheme="minorHAnsi"/>
        </w:rPr>
        <w:t xml:space="preserve"> że błędy krytyczne i niekrytyczne mogą</w:t>
      </w:r>
      <w:r>
        <w:rPr>
          <w:rFonts w:eastAsia="Calibri" w:cstheme="minorHAnsi"/>
        </w:rPr>
        <w:t xml:space="preserve"> występować łącznie przez maksymalnie 6 dni roboczych w kwartale).</w:t>
      </w:r>
    </w:p>
    <w:p w14:paraId="1BCC15EC" w14:textId="77777777" w:rsidR="00290EF5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Administracja </w:t>
      </w:r>
      <w:r>
        <w:rPr>
          <w:rFonts w:eastAsia="Calibri" w:cstheme="minorHAnsi"/>
        </w:rPr>
        <w:t xml:space="preserve">techniczna </w:t>
      </w:r>
      <w:r w:rsidRPr="00ED4419">
        <w:rPr>
          <w:rFonts w:eastAsia="Calibri" w:cstheme="minorHAnsi"/>
        </w:rPr>
        <w:t xml:space="preserve">środowisk testowych oraz środowiska produkcyjnego należy do </w:t>
      </w:r>
      <w:r>
        <w:rPr>
          <w:rFonts w:eastAsia="Calibri" w:cstheme="minorHAnsi"/>
        </w:rPr>
        <w:t>Wykonawcy</w:t>
      </w:r>
      <w:r w:rsidRPr="00ED4419">
        <w:rPr>
          <w:rFonts w:eastAsia="Calibri" w:cstheme="minorHAnsi"/>
        </w:rPr>
        <w:t>.</w:t>
      </w:r>
      <w:r>
        <w:rPr>
          <w:rFonts w:eastAsia="Calibri" w:cstheme="minorHAnsi"/>
        </w:rPr>
        <w:t xml:space="preserve"> </w:t>
      </w:r>
      <w:r w:rsidRPr="00674569">
        <w:rPr>
          <w:rFonts w:eastAsia="Calibri" w:cstheme="minorHAnsi"/>
        </w:rPr>
        <w:t>W okresie trwania umowy zmiany na środowiskach testowym i produkcyjnym będą wykonywane przez Wykonawcę. Zamawiający oraz dostawcy firm trzecich nie będą wprowadzali zmian w środowiskach administrowanych przez Wykonawcę. Wszelkie prace implementacyjne i konfiguracyjne na środowisku testowym oraz produkcyjnym wymagają uprzedniej zgody Wykonawcy i będą rozliczane w ramach zleconych prac Rozwoju.</w:t>
      </w:r>
    </w:p>
    <w:p w14:paraId="7F71C1CB" w14:textId="1C364B87" w:rsidR="00290EF5" w:rsidRPr="00ED4419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 xml:space="preserve">W ramach usługi utrzymania GDH Wykonawca będzie dokonywał aktualizacji kodów źródłowych będących w posiadaniu Zamawiającego na zakończenie każdego kwartału, w którym nastąpiła ich zmiana </w:t>
      </w:r>
      <w:r w:rsidRPr="00B5162A">
        <w:rPr>
          <w:rFonts w:eastAsia="Calibri" w:cstheme="minorHAnsi"/>
        </w:rPr>
        <w:t>(z wyłączeniem oprogramowania COTS, udostępnionego na warunkach licencji)</w:t>
      </w:r>
      <w:r>
        <w:rPr>
          <w:rFonts w:eastAsia="Calibri" w:cstheme="minorHAnsi"/>
        </w:rPr>
        <w:t>.</w:t>
      </w:r>
    </w:p>
    <w:p w14:paraId="4A247864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Pr="00ED4419">
        <w:rPr>
          <w:rFonts w:eastAsia="Calibri" w:cstheme="minorHAnsi"/>
        </w:rPr>
        <w:t>efinicje powiązane w usługą utrzymania:</w:t>
      </w:r>
    </w:p>
    <w:p w14:paraId="742B60AD" w14:textId="77777777" w:rsidR="00290EF5" w:rsidRPr="00ED4419" w:rsidRDefault="00290EF5">
      <w:pPr>
        <w:pStyle w:val="Akapitzlist"/>
        <w:numPr>
          <w:ilvl w:val="0"/>
          <w:numId w:val="15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Dzień Roboczy:</w:t>
      </w:r>
      <w:r w:rsidRPr="00ED4419">
        <w:rPr>
          <w:rFonts w:eastAsia="Calibri" w:cstheme="minorHAnsi"/>
        </w:rPr>
        <w:t xml:space="preserve"> każdy dzień od poniedziałku do piątku, z wyłączeniem dni ustawowo wolnych od pracy w Polsce.</w:t>
      </w:r>
    </w:p>
    <w:p w14:paraId="3F28D092" w14:textId="7FFD4C14" w:rsidR="00290EF5" w:rsidRPr="009C716F" w:rsidRDefault="00290EF5">
      <w:pPr>
        <w:pStyle w:val="Akapitzlist"/>
        <w:numPr>
          <w:ilvl w:val="0"/>
          <w:numId w:val="15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Godziny Robocze:</w:t>
      </w:r>
      <w:r w:rsidRPr="00ED4419">
        <w:rPr>
          <w:rFonts w:eastAsia="Calibri" w:cstheme="minorHAnsi"/>
        </w:rPr>
        <w:t xml:space="preserve"> godziny pomiędzy </w:t>
      </w:r>
      <w:r>
        <w:rPr>
          <w:rFonts w:eastAsia="Calibri" w:cstheme="minorHAnsi"/>
        </w:rPr>
        <w:t>8</w:t>
      </w:r>
      <w:r w:rsidRPr="00ED4419">
        <w:rPr>
          <w:rFonts w:eastAsia="Calibri" w:cstheme="minorHAnsi"/>
        </w:rPr>
        <w:t>:00 a 1</w:t>
      </w:r>
      <w:r>
        <w:rPr>
          <w:rFonts w:eastAsia="Calibri" w:cstheme="minorHAnsi"/>
        </w:rPr>
        <w:t>6</w:t>
      </w:r>
      <w:r w:rsidRPr="00ED4419">
        <w:rPr>
          <w:rFonts w:eastAsia="Calibri" w:cstheme="minorHAnsi"/>
        </w:rPr>
        <w:t xml:space="preserve">:00 </w:t>
      </w:r>
      <w:r w:rsidRPr="009C716F">
        <w:rPr>
          <w:rFonts w:eastAsia="Calibri" w:cstheme="minorHAnsi"/>
        </w:rPr>
        <w:t>w Dni Robocze.</w:t>
      </w:r>
    </w:p>
    <w:p w14:paraId="1BD65778" w14:textId="77777777" w:rsidR="00290EF5" w:rsidRPr="00ED4419" w:rsidRDefault="00290EF5">
      <w:pPr>
        <w:pStyle w:val="Akapitzlist"/>
        <w:numPr>
          <w:ilvl w:val="0"/>
          <w:numId w:val="15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Dzień roboczy (</w:t>
      </w:r>
      <w:r w:rsidRPr="00ED4419">
        <w:rPr>
          <w:rFonts w:eastAsia="Calibri" w:cstheme="minorHAnsi"/>
        </w:rPr>
        <w:t>MD</w:t>
      </w:r>
      <w:r>
        <w:rPr>
          <w:rFonts w:eastAsia="Calibri" w:cstheme="minorHAnsi"/>
        </w:rPr>
        <w:t>)</w:t>
      </w:r>
      <w:r w:rsidRPr="00ED441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=</w:t>
      </w:r>
      <w:r w:rsidRPr="00ED441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8</w:t>
      </w:r>
      <w:r w:rsidRPr="00ED4419">
        <w:rPr>
          <w:rFonts w:eastAsia="Calibri" w:cstheme="minorHAnsi"/>
        </w:rPr>
        <w:t xml:space="preserve"> godzin roboczych.</w:t>
      </w:r>
    </w:p>
    <w:p w14:paraId="08E655B0" w14:textId="19739F77" w:rsidR="00290EF5" w:rsidRPr="00ED4419" w:rsidRDefault="00290EF5">
      <w:pPr>
        <w:pStyle w:val="Akapitzlist"/>
        <w:numPr>
          <w:ilvl w:val="0"/>
          <w:numId w:val="15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System Zgłoszeniowy:</w:t>
      </w:r>
      <w:r w:rsidRPr="00ED441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moduł zgłaszania błędów i zleceń prac rozwojowych </w:t>
      </w:r>
      <w:r w:rsidRPr="00ED4419">
        <w:rPr>
          <w:rFonts w:eastAsia="Calibri" w:cstheme="minorHAnsi"/>
        </w:rPr>
        <w:t>udostępniony przez Wykonawcę</w:t>
      </w:r>
      <w:r>
        <w:rPr>
          <w:rFonts w:eastAsia="Calibri" w:cstheme="minorHAnsi"/>
        </w:rPr>
        <w:t xml:space="preserve"> (np. Jira)</w:t>
      </w:r>
      <w:r w:rsidRPr="00ED4419">
        <w:rPr>
          <w:rFonts w:eastAsia="Calibri" w:cstheme="minorHAnsi"/>
        </w:rPr>
        <w:t xml:space="preserve">, przez który Zamawiający zobowiązany jest przekazywać </w:t>
      </w:r>
      <w:r>
        <w:rPr>
          <w:rFonts w:eastAsia="Calibri" w:cstheme="minorHAnsi"/>
        </w:rPr>
        <w:t>z</w:t>
      </w:r>
      <w:r w:rsidRPr="00ED4419">
        <w:rPr>
          <w:rFonts w:eastAsia="Calibri" w:cstheme="minorHAnsi"/>
        </w:rPr>
        <w:t>głoszenia.</w:t>
      </w:r>
    </w:p>
    <w:p w14:paraId="0771F22B" w14:textId="77777777" w:rsidR="00290EF5" w:rsidRPr="00FB0B8D" w:rsidRDefault="00290EF5">
      <w:pPr>
        <w:pStyle w:val="Akapitzlist"/>
        <w:numPr>
          <w:ilvl w:val="0"/>
          <w:numId w:val="15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Raport miesięczny:</w:t>
      </w:r>
      <w:r w:rsidRPr="00ED4419">
        <w:rPr>
          <w:rFonts w:eastAsia="Calibri" w:cstheme="minorHAnsi"/>
        </w:rPr>
        <w:t xml:space="preserve"> zestawienie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>łędów zarejestrowanych w okresie ostatniego miesiąca</w:t>
      </w:r>
      <w:r>
        <w:rPr>
          <w:rFonts w:eastAsia="Calibri" w:cstheme="minorHAnsi"/>
        </w:rPr>
        <w:t xml:space="preserve"> wraz ze statusami ich naprawy</w:t>
      </w:r>
      <w:r w:rsidRPr="00ED4419">
        <w:rPr>
          <w:rFonts w:eastAsia="Calibri" w:cstheme="minorHAnsi"/>
        </w:rPr>
        <w:t>.</w:t>
      </w:r>
    </w:p>
    <w:p w14:paraId="7AAAC19B" w14:textId="77777777" w:rsidR="00290EF5" w:rsidRDefault="00290EF5" w:rsidP="00290EF5">
      <w:pPr>
        <w:pStyle w:val="Nagwek3"/>
      </w:pPr>
      <w:bookmarkStart w:id="9" w:name="_Toc28870371"/>
    </w:p>
    <w:p w14:paraId="39641C0F" w14:textId="03B966D6" w:rsidR="00290EF5" w:rsidRPr="002C07ED" w:rsidRDefault="00290EF5" w:rsidP="00290EF5">
      <w:pPr>
        <w:pStyle w:val="Nagwek3"/>
      </w:pPr>
      <w:r>
        <w:t>Obsługa zgłoszeń błędów</w:t>
      </w:r>
      <w:bookmarkEnd w:id="9"/>
    </w:p>
    <w:p w14:paraId="50954D61" w14:textId="77777777" w:rsidR="00290EF5" w:rsidRPr="002C07ED" w:rsidRDefault="00290EF5" w:rsidP="00290EF5">
      <w:pPr>
        <w:spacing w:after="120"/>
        <w:rPr>
          <w:rFonts w:eastAsia="Calibri" w:cstheme="minorHAnsi"/>
        </w:rPr>
      </w:pPr>
      <w:r w:rsidRPr="002C07ED">
        <w:rPr>
          <w:rFonts w:eastAsia="Calibri" w:cstheme="minorHAnsi"/>
        </w:rPr>
        <w:t xml:space="preserve">Utrzymanie systemu w zakresie obsługi zgłoszeń od użytkowników będzie realizowane na </w:t>
      </w:r>
      <w:r>
        <w:rPr>
          <w:rFonts w:eastAsia="Calibri" w:cstheme="minorHAnsi"/>
        </w:rPr>
        <w:t>2</w:t>
      </w:r>
      <w:r w:rsidRPr="002C07ED">
        <w:rPr>
          <w:rFonts w:eastAsia="Calibri" w:cstheme="minorHAnsi"/>
        </w:rPr>
        <w:t xml:space="preserve"> poziomach:</w:t>
      </w:r>
    </w:p>
    <w:p w14:paraId="0AC66B97" w14:textId="3E678AC7" w:rsidR="00290EF5" w:rsidRPr="002C07ED" w:rsidRDefault="00290EF5">
      <w:pPr>
        <w:numPr>
          <w:ilvl w:val="0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 xml:space="preserve">I linia wsparcia prowadzona przez </w:t>
      </w:r>
      <w:r>
        <w:rPr>
          <w:rFonts w:eastAsia="Calibri" w:cstheme="minorHAnsi"/>
        </w:rPr>
        <w:t>Administratorów Biznesowych po stronie Zamawiającego</w:t>
      </w:r>
      <w:r w:rsidRPr="002C07ED">
        <w:rPr>
          <w:rFonts w:eastAsia="Calibri" w:cstheme="minorHAnsi"/>
        </w:rPr>
        <w:t>, polegająca na:</w:t>
      </w:r>
    </w:p>
    <w:p w14:paraId="791A422A" w14:textId="77777777" w:rsidR="00290EF5" w:rsidRPr="002C07ED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>przyjmowaniu i rejestrowaniu zgłoszeń od użytkowników,</w:t>
      </w:r>
    </w:p>
    <w:p w14:paraId="7F693BF1" w14:textId="77777777" w:rsidR="00290EF5" w:rsidRPr="002C07ED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>bezpośrednim rozwiązywaniu typowych problemów użytkowników lub proponowaniu rozwiązań zastępczych,</w:t>
      </w:r>
    </w:p>
    <w:p w14:paraId="032D81F8" w14:textId="77777777" w:rsidR="00290EF5" w:rsidRPr="00B5162A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</w:rPr>
      </w:pPr>
      <w:r w:rsidRPr="00B5162A">
        <w:rPr>
          <w:rFonts w:eastAsia="Calibri" w:cstheme="minorHAnsi"/>
        </w:rPr>
        <w:t>rozwiązywania błędów w danych pochodzących z systemów źródłowych (np. uzupełniania słowników mapujących),</w:t>
      </w:r>
    </w:p>
    <w:p w14:paraId="03DFAC7D" w14:textId="77777777" w:rsidR="00290EF5" w:rsidRPr="002C07ED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lastRenderedPageBreak/>
        <w:t>przekazywaniu nierozwiązanych zgłoszeń do II-</w:t>
      </w:r>
      <w:proofErr w:type="spellStart"/>
      <w:r w:rsidRPr="002C07ED">
        <w:rPr>
          <w:rFonts w:eastAsia="Calibri" w:cstheme="minorHAnsi"/>
        </w:rPr>
        <w:t>giej</w:t>
      </w:r>
      <w:proofErr w:type="spellEnd"/>
      <w:r w:rsidRPr="002C07ED">
        <w:rPr>
          <w:rFonts w:eastAsia="Calibri" w:cstheme="minorHAnsi"/>
        </w:rPr>
        <w:t xml:space="preserve"> linii wsparcia,</w:t>
      </w:r>
    </w:p>
    <w:p w14:paraId="36E8DD07" w14:textId="77777777" w:rsidR="00290EF5" w:rsidRPr="002C07ED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 xml:space="preserve">uzyskiwaniu od użytkowników niezbędnych informacji potrzebnych do analizy zgłoszeń przez I </w:t>
      </w:r>
      <w:proofErr w:type="spellStart"/>
      <w:r w:rsidRPr="002C07ED">
        <w:rPr>
          <w:rFonts w:eastAsia="Calibri" w:cstheme="minorHAnsi"/>
        </w:rPr>
        <w:t>i</w:t>
      </w:r>
      <w:proofErr w:type="spellEnd"/>
      <w:r w:rsidRPr="002C07ED">
        <w:rPr>
          <w:rFonts w:eastAsia="Calibri" w:cstheme="minorHAnsi"/>
        </w:rPr>
        <w:t xml:space="preserve"> II linię wsparcia,</w:t>
      </w:r>
    </w:p>
    <w:p w14:paraId="1E74270F" w14:textId="77777777" w:rsidR="00290EF5" w:rsidRPr="002C07ED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>stałej współpracy z II-</w:t>
      </w:r>
      <w:proofErr w:type="spellStart"/>
      <w:r w:rsidRPr="002C07ED">
        <w:rPr>
          <w:rFonts w:eastAsia="Calibri" w:cstheme="minorHAnsi"/>
        </w:rPr>
        <w:t>gą</w:t>
      </w:r>
      <w:proofErr w:type="spellEnd"/>
      <w:r w:rsidRPr="002C07ED">
        <w:rPr>
          <w:rFonts w:eastAsia="Calibri" w:cstheme="minorHAnsi"/>
        </w:rPr>
        <w:t xml:space="preserve"> linią wsparcia,</w:t>
      </w:r>
    </w:p>
    <w:p w14:paraId="690B269D" w14:textId="77777777" w:rsidR="00290EF5" w:rsidRPr="002C07ED" w:rsidRDefault="00290EF5">
      <w:pPr>
        <w:numPr>
          <w:ilvl w:val="1"/>
          <w:numId w:val="12"/>
        </w:numPr>
        <w:tabs>
          <w:tab w:val="left" w:pos="5040"/>
        </w:tabs>
        <w:spacing w:after="120"/>
        <w:ind w:left="1434" w:hanging="357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>monitorowaniu statusu zgłoszeń i przekazywanie informacji o postępach w rozwiązywaniu zgłoszeń do użytkowników.</w:t>
      </w:r>
    </w:p>
    <w:p w14:paraId="6BD54FC4" w14:textId="77777777" w:rsidR="00290EF5" w:rsidRPr="002C07ED" w:rsidRDefault="00290EF5">
      <w:pPr>
        <w:numPr>
          <w:ilvl w:val="0"/>
          <w:numId w:val="14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 xml:space="preserve">II linia wsparcia prowadzona przez </w:t>
      </w:r>
      <w:r>
        <w:rPr>
          <w:rFonts w:eastAsia="Calibri" w:cstheme="minorHAnsi"/>
        </w:rPr>
        <w:t>W</w:t>
      </w:r>
      <w:r w:rsidRPr="002C07ED">
        <w:rPr>
          <w:rFonts w:eastAsia="Calibri" w:cstheme="minorHAnsi"/>
        </w:rPr>
        <w:t>ykonawcę, polegająca na:</w:t>
      </w:r>
    </w:p>
    <w:p w14:paraId="71620045" w14:textId="2543D6FA" w:rsidR="00290EF5" w:rsidRPr="00007465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</w:rPr>
      </w:pPr>
      <w:r w:rsidRPr="00007465">
        <w:rPr>
          <w:rFonts w:eastAsia="Calibri" w:cstheme="minorHAnsi"/>
        </w:rPr>
        <w:t>analiz</w:t>
      </w:r>
      <w:r>
        <w:rPr>
          <w:rFonts w:eastAsia="Calibri" w:cstheme="minorHAnsi"/>
        </w:rPr>
        <w:t>ie</w:t>
      </w:r>
      <w:r w:rsidRPr="00007465">
        <w:rPr>
          <w:rFonts w:eastAsia="Calibri" w:cstheme="minorHAnsi"/>
        </w:rPr>
        <w:t xml:space="preserve"> zgłoszeń przekazanych przez I linię wsparcia (</w:t>
      </w:r>
      <w:r>
        <w:rPr>
          <w:rFonts w:eastAsia="Calibri" w:cstheme="minorHAnsi"/>
        </w:rPr>
        <w:t xml:space="preserve">w tym </w:t>
      </w:r>
      <w:r w:rsidRPr="00007465">
        <w:rPr>
          <w:rFonts w:eastAsia="Calibri" w:cstheme="minorHAnsi"/>
        </w:rPr>
        <w:t>wymagających poprawek w oprogramowaniu</w:t>
      </w:r>
      <w:r w:rsidRPr="00596D14">
        <w:t xml:space="preserve"> </w:t>
      </w:r>
      <w:r>
        <w:t>aplikacyjnym i bazodanowym)</w:t>
      </w:r>
      <w:r>
        <w:rPr>
          <w:rFonts w:eastAsia="Calibri" w:cstheme="minorHAnsi"/>
        </w:rPr>
        <w:t>,</w:t>
      </w:r>
    </w:p>
    <w:p w14:paraId="57B150D3" w14:textId="77777777" w:rsidR="00290EF5" w:rsidRPr="00007465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</w:rPr>
      </w:pPr>
      <w:r w:rsidRPr="00007465">
        <w:rPr>
          <w:rFonts w:eastAsia="Calibri" w:cstheme="minorHAnsi"/>
        </w:rPr>
        <w:t>rozwiązywaniu problemów otrzymanych od I-</w:t>
      </w:r>
      <w:proofErr w:type="spellStart"/>
      <w:r w:rsidRPr="00007465">
        <w:rPr>
          <w:rFonts w:eastAsia="Calibri" w:cstheme="minorHAnsi"/>
        </w:rPr>
        <w:t>giej</w:t>
      </w:r>
      <w:proofErr w:type="spellEnd"/>
      <w:r w:rsidRPr="00007465">
        <w:rPr>
          <w:rFonts w:eastAsia="Calibri" w:cstheme="minorHAnsi"/>
        </w:rPr>
        <w:t xml:space="preserve"> linii wsparcia,</w:t>
      </w:r>
    </w:p>
    <w:p w14:paraId="48768EEF" w14:textId="77777777" w:rsidR="00290EF5" w:rsidRPr="00007465" w:rsidRDefault="00290EF5">
      <w:pPr>
        <w:numPr>
          <w:ilvl w:val="1"/>
          <w:numId w:val="12"/>
        </w:numPr>
        <w:tabs>
          <w:tab w:val="left" w:pos="5040"/>
        </w:tabs>
        <w:spacing w:after="0"/>
        <w:jc w:val="both"/>
        <w:rPr>
          <w:rFonts w:eastAsia="Calibri" w:cstheme="minorHAnsi"/>
        </w:rPr>
      </w:pPr>
      <w:r w:rsidRPr="00007465">
        <w:rPr>
          <w:rFonts w:eastAsia="Calibri" w:cstheme="minorHAnsi"/>
        </w:rPr>
        <w:t>stałej współpracy z I-</w:t>
      </w:r>
      <w:proofErr w:type="spellStart"/>
      <w:r w:rsidRPr="00007465">
        <w:rPr>
          <w:rFonts w:eastAsia="Calibri" w:cstheme="minorHAnsi"/>
        </w:rPr>
        <w:t>gą</w:t>
      </w:r>
      <w:proofErr w:type="spellEnd"/>
      <w:r w:rsidRPr="00007465">
        <w:rPr>
          <w:rFonts w:eastAsia="Calibri" w:cstheme="minorHAnsi"/>
        </w:rPr>
        <w:t xml:space="preserve"> linią wsparcia,</w:t>
      </w:r>
    </w:p>
    <w:p w14:paraId="07565054" w14:textId="77777777" w:rsidR="00290EF5" w:rsidRPr="002C07ED" w:rsidRDefault="00290EF5">
      <w:pPr>
        <w:numPr>
          <w:ilvl w:val="1"/>
          <w:numId w:val="14"/>
        </w:numPr>
        <w:tabs>
          <w:tab w:val="left" w:pos="5040"/>
        </w:tabs>
        <w:spacing w:after="120"/>
        <w:jc w:val="both"/>
        <w:rPr>
          <w:rFonts w:eastAsia="Calibri" w:cstheme="minorHAnsi"/>
          <w:color w:val="000000"/>
        </w:rPr>
      </w:pPr>
      <w:r w:rsidRPr="00007465">
        <w:rPr>
          <w:rFonts w:eastAsia="Calibri" w:cstheme="minorHAnsi"/>
        </w:rPr>
        <w:t>przekazywaniu statusów zgłoszeń oraz sposobu rozwiązania zgłoszenia</w:t>
      </w:r>
      <w:r w:rsidRPr="002C07ED">
        <w:rPr>
          <w:rFonts w:eastAsia="Calibri" w:cstheme="minorHAnsi"/>
        </w:rPr>
        <w:t>.</w:t>
      </w:r>
    </w:p>
    <w:p w14:paraId="71134EAA" w14:textId="77777777" w:rsidR="00290EF5" w:rsidRDefault="00290EF5" w:rsidP="00290EF5">
      <w:pPr>
        <w:pStyle w:val="Nagwek3"/>
      </w:pPr>
      <w:bookmarkStart w:id="10" w:name="_Toc28870372"/>
    </w:p>
    <w:p w14:paraId="15545067" w14:textId="369AF0C4" w:rsidR="00290EF5" w:rsidRDefault="00290EF5" w:rsidP="00290EF5">
      <w:pPr>
        <w:pStyle w:val="Nagwek3"/>
      </w:pPr>
      <w:r>
        <w:t>Czas naprawy błędu</w:t>
      </w:r>
      <w:bookmarkEnd w:id="10"/>
    </w:p>
    <w:p w14:paraId="5E9D477F" w14:textId="2EB52F93" w:rsidR="00290EF5" w:rsidRPr="002C07ED" w:rsidRDefault="00290EF5" w:rsidP="00290EF5">
      <w:pPr>
        <w:spacing w:after="120"/>
        <w:rPr>
          <w:rFonts w:eastAsia="Calibri" w:cstheme="minorHAnsi"/>
        </w:rPr>
      </w:pPr>
      <w:r w:rsidRPr="002C07ED">
        <w:rPr>
          <w:rFonts w:eastAsia="Calibri" w:cstheme="minorHAnsi"/>
        </w:rPr>
        <w:t xml:space="preserve">Na potrzeby obsługi zgłoszeń zostanie wprowadzona </w:t>
      </w:r>
      <w:r>
        <w:rPr>
          <w:rFonts w:eastAsia="Calibri" w:cstheme="minorHAnsi"/>
        </w:rPr>
        <w:t>definicja</w:t>
      </w:r>
      <w:r w:rsidRPr="002C07ED">
        <w:rPr>
          <w:rFonts w:eastAsia="Calibri" w:cstheme="minorHAnsi"/>
        </w:rPr>
        <w:t xml:space="preserve"> błęd</w:t>
      </w:r>
      <w:r>
        <w:rPr>
          <w:rFonts w:eastAsia="Calibri" w:cstheme="minorHAnsi"/>
        </w:rPr>
        <w:t>u jako</w:t>
      </w:r>
      <w:r w:rsidRPr="001A22E0">
        <w:rPr>
          <w:rFonts w:eastAsia="Calibri" w:cstheme="minorHAnsi"/>
        </w:rPr>
        <w:t xml:space="preserve"> działani</w:t>
      </w:r>
      <w:r>
        <w:rPr>
          <w:rFonts w:eastAsia="Calibri" w:cstheme="minorHAnsi"/>
        </w:rPr>
        <w:t>a</w:t>
      </w:r>
      <w:r w:rsidRPr="001A22E0">
        <w:rPr>
          <w:rFonts w:eastAsia="Calibri" w:cstheme="minorHAnsi"/>
        </w:rPr>
        <w:t xml:space="preserve"> części bądź całości </w:t>
      </w:r>
      <w:r>
        <w:rPr>
          <w:rFonts w:eastAsia="Calibri" w:cstheme="minorHAnsi"/>
        </w:rPr>
        <w:t>GDH</w:t>
      </w:r>
      <w:r w:rsidRPr="001A22E0">
        <w:rPr>
          <w:rFonts w:eastAsia="Calibri" w:cstheme="minorHAnsi"/>
        </w:rPr>
        <w:t xml:space="preserve"> w sposób niezgodny z jego specyfikacj</w:t>
      </w:r>
      <w:r>
        <w:rPr>
          <w:rFonts w:eastAsia="Calibri" w:cstheme="minorHAnsi"/>
        </w:rPr>
        <w:t>ą techniczną. Błędy dzielimy na:</w:t>
      </w:r>
    </w:p>
    <w:p w14:paraId="52CCC94C" w14:textId="6D147A6A" w:rsidR="00290EF5" w:rsidRPr="002C07ED" w:rsidRDefault="00290EF5">
      <w:pPr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 xml:space="preserve">Błąd Krytyczny </w:t>
      </w:r>
      <w:r>
        <w:rPr>
          <w:rFonts w:eastAsia="Calibri" w:cstheme="minorHAnsi"/>
        </w:rPr>
        <w:t>–</w:t>
      </w:r>
      <w:r w:rsidRPr="002C07ED">
        <w:rPr>
          <w:rFonts w:eastAsia="Calibri" w:cstheme="minorHAnsi"/>
        </w:rPr>
        <w:t xml:space="preserve"> błąd</w:t>
      </w:r>
      <w:r w:rsidRPr="00ED4419">
        <w:rPr>
          <w:rFonts w:eastAsia="Calibri" w:cstheme="minorHAnsi"/>
        </w:rPr>
        <w:t xml:space="preserve">, który spowodował całkowity brak możliwości korzystania z </w:t>
      </w:r>
      <w:r>
        <w:rPr>
          <w:rFonts w:eastAsia="Calibri" w:cstheme="minorHAnsi"/>
        </w:rPr>
        <w:t>GDH</w:t>
      </w:r>
      <w:r w:rsidRPr="00ED4419">
        <w:rPr>
          <w:rFonts w:eastAsia="Calibri" w:cstheme="minorHAnsi"/>
        </w:rPr>
        <w:t xml:space="preserve"> lub całkowicie wstrzymał działanie </w:t>
      </w:r>
      <w:r>
        <w:rPr>
          <w:rFonts w:eastAsia="Calibri" w:cstheme="minorHAnsi"/>
        </w:rPr>
        <w:t>GDH</w:t>
      </w:r>
      <w:r w:rsidRPr="00ED4419">
        <w:rPr>
          <w:rFonts w:eastAsia="Calibri" w:cstheme="minorHAnsi"/>
        </w:rPr>
        <w:t xml:space="preserve">, uniemożliwiając obsługę wszystkich procesów lub usług realizowanych przez </w:t>
      </w:r>
      <w:r>
        <w:rPr>
          <w:rFonts w:eastAsia="Calibri" w:cstheme="minorHAnsi"/>
        </w:rPr>
        <w:t>GDH,</w:t>
      </w:r>
    </w:p>
    <w:p w14:paraId="1553539C" w14:textId="739822B8" w:rsidR="00290EF5" w:rsidRPr="002C07ED" w:rsidRDefault="00290EF5">
      <w:pPr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 xml:space="preserve">Błąd Niekrytyczny </w:t>
      </w:r>
      <w:r>
        <w:rPr>
          <w:rFonts w:eastAsia="Calibri" w:cstheme="minorHAnsi"/>
        </w:rPr>
        <w:t>–</w:t>
      </w:r>
      <w:r w:rsidRPr="002C07ED">
        <w:rPr>
          <w:rFonts w:eastAsia="Calibri" w:cstheme="minorHAnsi"/>
        </w:rPr>
        <w:t xml:space="preserve"> </w:t>
      </w:r>
      <w:r w:rsidRPr="00ED4419">
        <w:rPr>
          <w:rFonts w:eastAsia="Calibri" w:cstheme="minorHAnsi"/>
        </w:rPr>
        <w:t xml:space="preserve">inny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 xml:space="preserve">łąd niż Błąd Krytyczny, który powoduje niepełną funkcjonalność </w:t>
      </w:r>
      <w:r>
        <w:rPr>
          <w:rFonts w:eastAsia="Calibri" w:cstheme="minorHAnsi"/>
        </w:rPr>
        <w:t>GDH</w:t>
      </w:r>
      <w:r w:rsidRPr="00ED4419">
        <w:rPr>
          <w:rFonts w:eastAsia="Calibri" w:cstheme="minorHAnsi"/>
        </w:rPr>
        <w:t xml:space="preserve"> skutkującą niedostępnością usługi realizowanej przez </w:t>
      </w:r>
      <w:r>
        <w:rPr>
          <w:rFonts w:eastAsia="Calibri" w:cstheme="minorHAnsi"/>
        </w:rPr>
        <w:t>GDH</w:t>
      </w:r>
      <w:r w:rsidRPr="00ED4419">
        <w:rPr>
          <w:rFonts w:eastAsia="Calibri" w:cstheme="minorHAnsi"/>
        </w:rPr>
        <w:t xml:space="preserve"> lub powodujący wstrzymanie lub znaczące utrudnienia w obsłudze kluczowych procesów biznesowych, o ile na jego skutek jest niemożliwa obsługa znacznej części użytkowników Zamawiającego</w:t>
      </w:r>
      <w:r w:rsidRPr="002C07ED">
        <w:rPr>
          <w:rFonts w:eastAsia="Calibri" w:cstheme="minorHAnsi"/>
        </w:rPr>
        <w:t>,</w:t>
      </w:r>
    </w:p>
    <w:p w14:paraId="38BB49D6" w14:textId="09B46611" w:rsidR="00290EF5" w:rsidRPr="002C07ED" w:rsidRDefault="00290EF5">
      <w:pPr>
        <w:numPr>
          <w:ilvl w:val="0"/>
          <w:numId w:val="13"/>
        </w:numPr>
        <w:tabs>
          <w:tab w:val="left" w:pos="5040"/>
        </w:tabs>
        <w:spacing w:after="12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 xml:space="preserve">Usterka </w:t>
      </w:r>
      <w:r>
        <w:rPr>
          <w:rFonts w:eastAsia="Calibri" w:cstheme="minorHAnsi"/>
        </w:rPr>
        <w:t>–</w:t>
      </w:r>
      <w:r w:rsidRPr="002C07ED">
        <w:rPr>
          <w:rFonts w:eastAsia="Calibri" w:cstheme="minorHAnsi"/>
        </w:rPr>
        <w:t xml:space="preserve"> </w:t>
      </w:r>
      <w:r w:rsidRPr="00ED4419">
        <w:rPr>
          <w:rFonts w:eastAsia="Calibri" w:cstheme="minorHAnsi"/>
        </w:rPr>
        <w:t xml:space="preserve">zakłócający pracę </w:t>
      </w:r>
      <w:r>
        <w:rPr>
          <w:rFonts w:eastAsia="Calibri" w:cstheme="minorHAnsi"/>
        </w:rPr>
        <w:t>GDH</w:t>
      </w:r>
      <w:r w:rsidRPr="00ED4419">
        <w:rPr>
          <w:rFonts w:eastAsia="Calibri" w:cstheme="minorHAnsi"/>
        </w:rPr>
        <w:t>, który może mieć wpływ na jej funkcjonalność, nie ograniczający zdolności operacyjnych w obrębie obsługi i wspomagania procesu biznesowego</w:t>
      </w:r>
      <w:r w:rsidRPr="002C07ED">
        <w:rPr>
          <w:rFonts w:eastAsia="Calibri" w:cstheme="minorHAnsi"/>
        </w:rPr>
        <w:t>.</w:t>
      </w:r>
    </w:p>
    <w:p w14:paraId="040C5922" w14:textId="77777777" w:rsidR="00290EF5" w:rsidRPr="002C07ED" w:rsidRDefault="00290EF5" w:rsidP="00290EF5">
      <w:pPr>
        <w:spacing w:after="120"/>
        <w:rPr>
          <w:rFonts w:eastAsia="Calibri" w:cstheme="minorHAnsi"/>
        </w:rPr>
      </w:pPr>
      <w:r w:rsidRPr="002C07ED">
        <w:rPr>
          <w:rFonts w:eastAsia="Calibri" w:cstheme="minorHAnsi"/>
        </w:rPr>
        <w:t>Czasy obsługi błędów podzielono na:</w:t>
      </w:r>
    </w:p>
    <w:p w14:paraId="68C41E47" w14:textId="77777777" w:rsidR="00290EF5" w:rsidRPr="002C07ED" w:rsidRDefault="00290EF5">
      <w:pPr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</w:rPr>
        <w:t>Czas reakcji:</w:t>
      </w:r>
      <w:r w:rsidRPr="002C07ED">
        <w:rPr>
          <w:rFonts w:eastAsia="Calibri" w:cstheme="minorHAnsi"/>
        </w:rPr>
        <w:t xml:space="preserve"> czas liczony </w:t>
      </w:r>
      <w:r w:rsidRPr="00ED4419">
        <w:rPr>
          <w:rFonts w:eastAsia="Calibri" w:cstheme="minorHAnsi"/>
        </w:rPr>
        <w:t>od momentu zgłoszenia do Wykonawcy Błędu przez Zamawiającego przy pomocy Systemu Zgłoszeniowego do momentu zawiadomienia przez Wykonawcę poprzez System Zgłoszeniowy o zatwierdzeniu lub odrzuceniu zgłoszenia</w:t>
      </w:r>
      <w:r w:rsidRPr="002C07ED">
        <w:rPr>
          <w:rFonts w:eastAsia="Calibri" w:cstheme="minorHAnsi"/>
        </w:rPr>
        <w:t>,</w:t>
      </w:r>
    </w:p>
    <w:p w14:paraId="46CA7B16" w14:textId="7E6A3B00" w:rsidR="00290EF5" w:rsidRPr="002C07ED" w:rsidRDefault="00290EF5">
      <w:pPr>
        <w:numPr>
          <w:ilvl w:val="0"/>
          <w:numId w:val="13"/>
        </w:numPr>
        <w:tabs>
          <w:tab w:val="left" w:pos="5040"/>
        </w:tabs>
        <w:spacing w:after="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>Czas obejścia</w:t>
      </w:r>
      <w:r>
        <w:rPr>
          <w:rFonts w:eastAsia="Calibri" w:cstheme="minorHAnsi"/>
        </w:rPr>
        <w:t>:</w:t>
      </w:r>
      <w:r w:rsidRPr="002C07ED">
        <w:rPr>
          <w:rFonts w:eastAsia="Calibri" w:cstheme="minorHAnsi"/>
        </w:rPr>
        <w:t xml:space="preserve"> </w:t>
      </w:r>
      <w:r w:rsidRPr="00ED4419">
        <w:rPr>
          <w:rFonts w:eastAsia="Calibri" w:cstheme="minorHAnsi"/>
        </w:rPr>
        <w:t>okres od chwili przekazania zgłoszenia do Wykonawcy poprzez System Zgłoszeniowy do chwili przywrócenia tymczasowej funkcjonalności systemu utraconej</w:t>
      </w:r>
      <w:r>
        <w:rPr>
          <w:rFonts w:eastAsia="Calibri" w:cstheme="minorHAnsi"/>
        </w:rPr>
        <w:t xml:space="preserve"> </w:t>
      </w:r>
      <w:r w:rsidRPr="00ED4419">
        <w:rPr>
          <w:rFonts w:eastAsia="Calibri" w:cstheme="minorHAnsi"/>
        </w:rPr>
        <w:t>wskutek wystąpienia Błędu, bez rozwiązania przyczyny tego błędu</w:t>
      </w:r>
      <w:r w:rsidRPr="002C07ED">
        <w:rPr>
          <w:rFonts w:eastAsia="Calibri" w:cstheme="minorHAnsi"/>
        </w:rPr>
        <w:t>,</w:t>
      </w:r>
    </w:p>
    <w:p w14:paraId="60E0C70B" w14:textId="4C665ECB" w:rsidR="00290EF5" w:rsidRPr="002C07ED" w:rsidRDefault="00290EF5">
      <w:pPr>
        <w:numPr>
          <w:ilvl w:val="0"/>
          <w:numId w:val="13"/>
        </w:numPr>
        <w:tabs>
          <w:tab w:val="left" w:pos="5040"/>
        </w:tabs>
        <w:spacing w:after="120"/>
        <w:jc w:val="both"/>
        <w:rPr>
          <w:rFonts w:eastAsia="Calibri" w:cstheme="minorHAnsi"/>
          <w:color w:val="000000"/>
        </w:rPr>
      </w:pPr>
      <w:r w:rsidRPr="002C07ED">
        <w:rPr>
          <w:rFonts w:eastAsia="Calibri" w:cstheme="minorHAnsi"/>
        </w:rPr>
        <w:t>Czas naprawy</w:t>
      </w:r>
      <w:r>
        <w:rPr>
          <w:rFonts w:eastAsia="Calibri" w:cstheme="minorHAnsi"/>
        </w:rPr>
        <w:t>:</w:t>
      </w:r>
      <w:r w:rsidRPr="002C07ED">
        <w:rPr>
          <w:rFonts w:eastAsia="Calibri" w:cstheme="minorHAnsi"/>
        </w:rPr>
        <w:t xml:space="preserve"> czas liczony od chwili przekazania zgłoszenia do dostawcy poprzez system zgłoszeniowy do momentu </w:t>
      </w:r>
      <w:r>
        <w:rPr>
          <w:rFonts w:eastAsia="Calibri" w:cstheme="minorHAnsi"/>
        </w:rPr>
        <w:t>usunięcia</w:t>
      </w:r>
      <w:r w:rsidRPr="002C07ED">
        <w:rPr>
          <w:rFonts w:eastAsia="Calibri" w:cstheme="minorHAnsi"/>
        </w:rPr>
        <w:t xml:space="preserve"> błędu, wraz z jego przyczyną.</w:t>
      </w:r>
    </w:p>
    <w:p w14:paraId="2A40D8D9" w14:textId="77777777" w:rsidR="00290EF5" w:rsidRPr="002C07ED" w:rsidRDefault="00290EF5" w:rsidP="00290EF5">
      <w:pPr>
        <w:spacing w:after="120"/>
        <w:rPr>
          <w:rFonts w:eastAsia="Calibri" w:cstheme="minorHAnsi"/>
        </w:rPr>
      </w:pPr>
      <w:r w:rsidRPr="002C07ED">
        <w:rPr>
          <w:rFonts w:eastAsia="Calibri" w:cstheme="minorHAnsi"/>
        </w:rPr>
        <w:t>Zgłoszone błędy będą obsługiwane przez dostawcę w następującym czasie:</w:t>
      </w:r>
    </w:p>
    <w:tbl>
      <w:tblPr>
        <w:tblW w:w="905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2176"/>
        <w:gridCol w:w="2179"/>
        <w:gridCol w:w="2245"/>
      </w:tblGrid>
      <w:tr w:rsidR="00290EF5" w:rsidRPr="002C07ED" w14:paraId="2673C4A1" w14:textId="77777777" w:rsidTr="00B56FD0">
        <w:tc>
          <w:tcPr>
            <w:tcW w:w="2458" w:type="dxa"/>
            <w:shd w:val="clear" w:color="auto" w:fill="D9D9D9"/>
            <w:vAlign w:val="center"/>
          </w:tcPr>
          <w:p w14:paraId="14CBCD3C" w14:textId="77777777" w:rsidR="00290EF5" w:rsidRPr="00E30653" w:rsidRDefault="00290EF5" w:rsidP="00B56FD0">
            <w:pPr>
              <w:jc w:val="center"/>
              <w:rPr>
                <w:rFonts w:cstheme="minorHAnsi"/>
                <w:b/>
                <w:i/>
                <w:sz w:val="18"/>
                <w:szCs w:val="16"/>
              </w:rPr>
            </w:pPr>
            <w:r w:rsidRPr="00E30653">
              <w:rPr>
                <w:rFonts w:eastAsia="Calibri" w:cstheme="minorHAnsi"/>
                <w:b/>
                <w:sz w:val="18"/>
                <w:szCs w:val="16"/>
              </w:rPr>
              <w:t>Kategoria błędu</w:t>
            </w:r>
          </w:p>
        </w:tc>
        <w:tc>
          <w:tcPr>
            <w:tcW w:w="2176" w:type="dxa"/>
            <w:shd w:val="clear" w:color="auto" w:fill="D9D9D9"/>
            <w:vAlign w:val="center"/>
          </w:tcPr>
          <w:p w14:paraId="698D2673" w14:textId="77777777" w:rsidR="00290EF5" w:rsidRPr="00E30653" w:rsidRDefault="00290EF5" w:rsidP="00B56FD0">
            <w:pPr>
              <w:jc w:val="center"/>
              <w:rPr>
                <w:rFonts w:cstheme="minorHAnsi"/>
                <w:b/>
                <w:i/>
                <w:sz w:val="18"/>
                <w:szCs w:val="16"/>
              </w:rPr>
            </w:pPr>
            <w:r w:rsidRPr="00E30653">
              <w:rPr>
                <w:rFonts w:eastAsia="Calibri" w:cstheme="minorHAnsi"/>
                <w:b/>
                <w:sz w:val="18"/>
                <w:szCs w:val="16"/>
              </w:rPr>
              <w:t>Czas Reakcji</w:t>
            </w:r>
          </w:p>
        </w:tc>
        <w:tc>
          <w:tcPr>
            <w:tcW w:w="2179" w:type="dxa"/>
            <w:shd w:val="clear" w:color="auto" w:fill="D9D9D9"/>
            <w:vAlign w:val="center"/>
          </w:tcPr>
          <w:p w14:paraId="6708F7B2" w14:textId="77777777" w:rsidR="00290EF5" w:rsidRPr="00E30653" w:rsidRDefault="00290EF5" w:rsidP="00B56FD0">
            <w:pPr>
              <w:jc w:val="center"/>
              <w:rPr>
                <w:rFonts w:cstheme="minorHAnsi"/>
                <w:b/>
                <w:i/>
                <w:sz w:val="18"/>
                <w:szCs w:val="16"/>
              </w:rPr>
            </w:pPr>
            <w:r w:rsidRPr="00E30653">
              <w:rPr>
                <w:rFonts w:eastAsia="Calibri" w:cstheme="minorHAnsi"/>
                <w:b/>
                <w:sz w:val="18"/>
                <w:szCs w:val="16"/>
              </w:rPr>
              <w:t>Czas Obejścia</w:t>
            </w:r>
          </w:p>
        </w:tc>
        <w:tc>
          <w:tcPr>
            <w:tcW w:w="2245" w:type="dxa"/>
            <w:shd w:val="clear" w:color="auto" w:fill="D9D9D9"/>
            <w:vAlign w:val="center"/>
          </w:tcPr>
          <w:p w14:paraId="5E135369" w14:textId="77777777" w:rsidR="00290EF5" w:rsidRPr="00E30653" w:rsidRDefault="00290EF5" w:rsidP="00B56FD0">
            <w:pPr>
              <w:jc w:val="center"/>
              <w:rPr>
                <w:rFonts w:cstheme="minorHAnsi"/>
                <w:b/>
                <w:i/>
                <w:sz w:val="18"/>
                <w:szCs w:val="16"/>
              </w:rPr>
            </w:pPr>
            <w:r w:rsidRPr="00E30653">
              <w:rPr>
                <w:rFonts w:eastAsia="Calibri" w:cstheme="minorHAnsi"/>
                <w:b/>
                <w:sz w:val="18"/>
                <w:szCs w:val="16"/>
              </w:rPr>
              <w:t>Czas Naprawy</w:t>
            </w:r>
          </w:p>
        </w:tc>
      </w:tr>
      <w:tr w:rsidR="00290EF5" w:rsidRPr="002C07ED" w14:paraId="3D51A2C2" w14:textId="77777777" w:rsidTr="00B56FD0">
        <w:tc>
          <w:tcPr>
            <w:tcW w:w="2458" w:type="dxa"/>
            <w:shd w:val="clear" w:color="auto" w:fill="D9D9D9"/>
          </w:tcPr>
          <w:p w14:paraId="424B1407" w14:textId="77777777" w:rsidR="00290EF5" w:rsidRPr="00E30653" w:rsidRDefault="00290EF5" w:rsidP="00B56FD0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30653">
              <w:rPr>
                <w:rFonts w:eastAsia="Calibri" w:cstheme="minorHAnsi"/>
                <w:sz w:val="18"/>
                <w:szCs w:val="16"/>
              </w:rPr>
              <w:t>Błąd Krytyczny</w:t>
            </w:r>
          </w:p>
        </w:tc>
        <w:tc>
          <w:tcPr>
            <w:tcW w:w="2176" w:type="dxa"/>
            <w:shd w:val="clear" w:color="auto" w:fill="auto"/>
          </w:tcPr>
          <w:p w14:paraId="554C2B94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5 Godzin Roboczych</w:t>
            </w:r>
          </w:p>
        </w:tc>
        <w:tc>
          <w:tcPr>
            <w:tcW w:w="2179" w:type="dxa"/>
            <w:shd w:val="clear" w:color="auto" w:fill="auto"/>
          </w:tcPr>
          <w:p w14:paraId="6630C134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10 Godzin Roboczych</w:t>
            </w:r>
          </w:p>
        </w:tc>
        <w:tc>
          <w:tcPr>
            <w:tcW w:w="2245" w:type="dxa"/>
            <w:shd w:val="clear" w:color="auto" w:fill="auto"/>
          </w:tcPr>
          <w:p w14:paraId="7770CC11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16 Godzin Roboczych</w:t>
            </w:r>
          </w:p>
        </w:tc>
      </w:tr>
      <w:tr w:rsidR="00290EF5" w:rsidRPr="002C07ED" w14:paraId="53242C79" w14:textId="77777777" w:rsidTr="00B56FD0">
        <w:tc>
          <w:tcPr>
            <w:tcW w:w="2458" w:type="dxa"/>
            <w:shd w:val="clear" w:color="auto" w:fill="D9D9D9"/>
          </w:tcPr>
          <w:p w14:paraId="7FDDCC9B" w14:textId="77777777" w:rsidR="00290EF5" w:rsidRPr="00E30653" w:rsidRDefault="00290EF5" w:rsidP="00B56FD0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30653">
              <w:rPr>
                <w:rFonts w:eastAsia="Calibri" w:cstheme="minorHAnsi"/>
                <w:sz w:val="18"/>
                <w:szCs w:val="16"/>
              </w:rPr>
              <w:t>Błąd Niekrytyczny</w:t>
            </w:r>
          </w:p>
        </w:tc>
        <w:tc>
          <w:tcPr>
            <w:tcW w:w="2176" w:type="dxa"/>
            <w:shd w:val="clear" w:color="auto" w:fill="auto"/>
          </w:tcPr>
          <w:p w14:paraId="7AFF583B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8 Godzin Roboczych</w:t>
            </w:r>
          </w:p>
        </w:tc>
        <w:tc>
          <w:tcPr>
            <w:tcW w:w="2179" w:type="dxa"/>
            <w:shd w:val="clear" w:color="auto" w:fill="auto"/>
          </w:tcPr>
          <w:p w14:paraId="30E8CE70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16 Godzin Roboczych</w:t>
            </w:r>
          </w:p>
        </w:tc>
        <w:tc>
          <w:tcPr>
            <w:tcW w:w="2245" w:type="dxa"/>
            <w:shd w:val="clear" w:color="auto" w:fill="auto"/>
          </w:tcPr>
          <w:p w14:paraId="6E447407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36 Godzin Roboczych</w:t>
            </w:r>
          </w:p>
        </w:tc>
      </w:tr>
      <w:tr w:rsidR="00290EF5" w:rsidRPr="002C07ED" w14:paraId="78F822E6" w14:textId="77777777" w:rsidTr="00B56FD0">
        <w:tc>
          <w:tcPr>
            <w:tcW w:w="2458" w:type="dxa"/>
            <w:shd w:val="clear" w:color="auto" w:fill="D9D9D9"/>
          </w:tcPr>
          <w:p w14:paraId="2DCB0895" w14:textId="77777777" w:rsidR="00290EF5" w:rsidRPr="00E30653" w:rsidRDefault="00290EF5" w:rsidP="00B56FD0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30653">
              <w:rPr>
                <w:rFonts w:eastAsia="Calibri" w:cstheme="minorHAnsi"/>
                <w:sz w:val="18"/>
                <w:szCs w:val="16"/>
              </w:rPr>
              <w:t>Usterka</w:t>
            </w:r>
          </w:p>
        </w:tc>
        <w:tc>
          <w:tcPr>
            <w:tcW w:w="2176" w:type="dxa"/>
            <w:shd w:val="clear" w:color="auto" w:fill="auto"/>
          </w:tcPr>
          <w:p w14:paraId="611501CF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10 Godzin Roboczych</w:t>
            </w:r>
          </w:p>
        </w:tc>
        <w:tc>
          <w:tcPr>
            <w:tcW w:w="2179" w:type="dxa"/>
            <w:shd w:val="clear" w:color="auto" w:fill="auto"/>
          </w:tcPr>
          <w:p w14:paraId="7DF35F8D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4 Dni Robocze</w:t>
            </w:r>
          </w:p>
        </w:tc>
        <w:tc>
          <w:tcPr>
            <w:tcW w:w="2245" w:type="dxa"/>
            <w:shd w:val="clear" w:color="auto" w:fill="auto"/>
          </w:tcPr>
          <w:p w14:paraId="7CA5A000" w14:textId="77777777" w:rsidR="00290EF5" w:rsidRPr="001C03EB" w:rsidRDefault="00290EF5" w:rsidP="00B56FD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C03EB">
              <w:rPr>
                <w:sz w:val="20"/>
              </w:rPr>
              <w:t>10 Dni Roboczych</w:t>
            </w:r>
          </w:p>
        </w:tc>
      </w:tr>
    </w:tbl>
    <w:p w14:paraId="625FB7FB" w14:textId="77777777" w:rsidR="00290EF5" w:rsidRPr="009C716F" w:rsidRDefault="00290EF5" w:rsidP="00290EF5">
      <w:pPr>
        <w:spacing w:after="120"/>
        <w:rPr>
          <w:rFonts w:eastAsia="Calibri" w:cstheme="minorHAnsi"/>
        </w:rPr>
      </w:pPr>
    </w:p>
    <w:p w14:paraId="0D21FDB7" w14:textId="6B9AC657" w:rsidR="00290EF5" w:rsidRDefault="00290EF5" w:rsidP="00290EF5">
      <w:pPr>
        <w:spacing w:after="120"/>
        <w:rPr>
          <w:rFonts w:eastAsia="Calibri" w:cstheme="minorHAnsi"/>
        </w:rPr>
      </w:pPr>
      <w:r w:rsidRPr="00883BE6">
        <w:rPr>
          <w:rFonts w:eastAsia="Calibri" w:cstheme="minorHAnsi"/>
        </w:rPr>
        <w:lastRenderedPageBreak/>
        <w:t xml:space="preserve">W przypadku wystąpienia błędu Wykonawca może zastosować skuteczną metodę obejścia w terminie określonym w SOPZ. Wdrożone obejście powoduje zmianę kwalifikacji błędu na niższy i wydłuża czas naprawy błędu o czas naprawy odpowiadający aktualnej definicji błędu. Zastosowane obejście może zostać w uzgodnieniu z Zamawiającym uznane za docelowe rozwiązanie i potraktowane jako naprawa błędu. W przypadku gdy Wykonawca zastosuje obejście i dowiedzie, iż przyczyna błędu tkwi w komponencie </w:t>
      </w:r>
      <w:r>
        <w:rPr>
          <w:rFonts w:eastAsia="Calibri" w:cstheme="minorHAnsi"/>
        </w:rPr>
        <w:t>GDH</w:t>
      </w:r>
      <w:r w:rsidRPr="00883BE6">
        <w:rPr>
          <w:rFonts w:eastAsia="Calibri" w:cstheme="minorHAnsi"/>
        </w:rPr>
        <w:t xml:space="preserve"> będącego produktem dostawcy zewnętrznego i rozwiązanie nieprawidłowości wymaga działania producenta komponentu zewnętrznego, czas naprawy błędu ulegnie wydłużeniu do 40 dni roboczych.</w:t>
      </w:r>
    </w:p>
    <w:p w14:paraId="6C0F0DAD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 w:rsidRPr="009C716F">
        <w:rPr>
          <w:rFonts w:eastAsia="Calibri" w:cstheme="minorHAnsi"/>
        </w:rPr>
        <w:t xml:space="preserve">Czasy Reakcji i Czasy Naprawy dotyczą </w:t>
      </w:r>
      <w:r>
        <w:rPr>
          <w:rFonts w:eastAsia="Calibri" w:cstheme="minorHAnsi"/>
        </w:rPr>
        <w:t>b</w:t>
      </w:r>
      <w:r w:rsidRPr="009C716F">
        <w:rPr>
          <w:rFonts w:eastAsia="Calibri" w:cstheme="minorHAnsi"/>
        </w:rPr>
        <w:t>łędów wykrytych na Środowisku Produkcyjny</w:t>
      </w:r>
      <w:r>
        <w:rPr>
          <w:rFonts w:eastAsia="Calibri" w:cstheme="minorHAnsi"/>
        </w:rPr>
        <w:t>m</w:t>
      </w:r>
      <w:r w:rsidRPr="009C716F">
        <w:rPr>
          <w:rFonts w:eastAsia="Calibri" w:cstheme="minorHAnsi"/>
        </w:rPr>
        <w:t xml:space="preserve"> i nie obejmują innych środowisk np. testowego.</w:t>
      </w:r>
    </w:p>
    <w:p w14:paraId="188C8888" w14:textId="77777777" w:rsidR="00290EF5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Czasy </w:t>
      </w:r>
      <w:r>
        <w:rPr>
          <w:rFonts w:eastAsia="Calibri" w:cstheme="minorHAnsi"/>
        </w:rPr>
        <w:t xml:space="preserve">obsługi błędów </w:t>
      </w:r>
      <w:r w:rsidRPr="00ED4419">
        <w:rPr>
          <w:rFonts w:eastAsia="Calibri" w:cstheme="minorHAnsi"/>
        </w:rPr>
        <w:t xml:space="preserve">mają tylko zastosowanie dla naprawy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>łędów i nie dotyczą usług dodatkowych oraz wsparcia przy konfiguracji systemu.</w:t>
      </w:r>
    </w:p>
    <w:p w14:paraId="625E856C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>W terminie do 5 Dni Roboczych od zamknięcia zgłoszenia Błędu Krytycznego Wykonawca jest zobowiązany do przedstawienia Zamawiającemu opisu zidentyfikowanych przyczyn i skutków Błędu Krytycznego oraz plan usunięcia przyczyn i skutków błędu (jeśli jest to możliwe).</w:t>
      </w:r>
    </w:p>
    <w:p w14:paraId="4771C293" w14:textId="77777777" w:rsidR="00290EF5" w:rsidRDefault="00290EF5" w:rsidP="00290EF5">
      <w:pPr>
        <w:pStyle w:val="Nagwek3"/>
      </w:pPr>
      <w:bookmarkStart w:id="11" w:name="_Toc28870373"/>
    </w:p>
    <w:p w14:paraId="5F316D07" w14:textId="2BB7DBA3" w:rsidR="00290EF5" w:rsidRDefault="00290EF5" w:rsidP="00290EF5">
      <w:pPr>
        <w:pStyle w:val="Nagwek3"/>
      </w:pPr>
      <w:r>
        <w:t>Proces zgłaszania i naprawy błędu</w:t>
      </w:r>
      <w:bookmarkEnd w:id="11"/>
    </w:p>
    <w:p w14:paraId="06309BDC" w14:textId="77777777" w:rsidR="00290EF5" w:rsidRPr="000C4522" w:rsidRDefault="00290EF5" w:rsidP="00290EF5">
      <w:pPr>
        <w:spacing w:after="120"/>
        <w:rPr>
          <w:rFonts w:eastAsia="Calibri" w:cstheme="minorHAnsi"/>
        </w:rPr>
      </w:pPr>
      <w:r w:rsidRPr="000C4522">
        <w:rPr>
          <w:rFonts w:eastAsia="Calibri" w:cstheme="minorHAnsi"/>
        </w:rPr>
        <w:t xml:space="preserve">Zamawiający ma prawo do </w:t>
      </w:r>
      <w:r w:rsidRPr="009C716F">
        <w:rPr>
          <w:rFonts w:eastAsia="Calibri" w:cstheme="minorHAnsi"/>
        </w:rPr>
        <w:t>z</w:t>
      </w:r>
      <w:r w:rsidRPr="000C4522">
        <w:rPr>
          <w:rFonts w:eastAsia="Calibri" w:cstheme="minorHAnsi"/>
        </w:rPr>
        <w:t xml:space="preserve">głaszania </w:t>
      </w:r>
      <w:r w:rsidRPr="009C716F">
        <w:rPr>
          <w:rFonts w:eastAsia="Calibri" w:cstheme="minorHAnsi"/>
        </w:rPr>
        <w:t>Błędów</w:t>
      </w:r>
      <w:r w:rsidRPr="000C4522">
        <w:rPr>
          <w:rFonts w:eastAsia="Calibri" w:cstheme="minorHAnsi"/>
        </w:rPr>
        <w:t xml:space="preserve"> poprzez System Zgłoszeniowy przez cały rok, 7 dni w tygodniu, 24 godziny na dobę. Przy czym w przypadku Błędów zgłoszonych poza Godzinami Pracy, Czas Reakcji, Obejścia i Naprawy liczony będzie od </w:t>
      </w:r>
      <w:r>
        <w:rPr>
          <w:rFonts w:eastAsia="Calibri" w:cstheme="minorHAnsi"/>
        </w:rPr>
        <w:t>początku</w:t>
      </w:r>
      <w:r w:rsidRPr="000C4522">
        <w:rPr>
          <w:rFonts w:eastAsia="Calibri" w:cstheme="minorHAnsi"/>
        </w:rPr>
        <w:t xml:space="preserve"> najbliższego Dnia Roboczego.</w:t>
      </w:r>
      <w:r>
        <w:rPr>
          <w:rFonts w:eastAsia="Calibri" w:cstheme="minorHAnsi"/>
        </w:rPr>
        <w:t xml:space="preserve"> Dostępność Systemu Zgłoszeniowego nie podlega wymaganiom dostępności i czasu naprawy błędów i nie będzie powodować naliczenia kar umownych.</w:t>
      </w:r>
    </w:p>
    <w:p w14:paraId="11D7F322" w14:textId="2DA95F32" w:rsidR="00290EF5" w:rsidRPr="00BB6159" w:rsidRDefault="00290EF5" w:rsidP="00290EF5">
      <w:pPr>
        <w:spacing w:after="120"/>
        <w:rPr>
          <w:rFonts w:eastAsia="Calibri" w:cstheme="minorHAnsi"/>
        </w:rPr>
      </w:pPr>
      <w:r w:rsidRPr="00BB6159">
        <w:rPr>
          <w:rFonts w:eastAsia="Calibri" w:cstheme="minorHAnsi"/>
        </w:rPr>
        <w:t>Zgłoszenia błędów będą odbywały się</w:t>
      </w:r>
      <w:r>
        <w:rPr>
          <w:rFonts w:eastAsia="Calibri" w:cstheme="minorHAnsi"/>
        </w:rPr>
        <w:t xml:space="preserve"> za pośrednictwem </w:t>
      </w:r>
      <w:r w:rsidRPr="00BB6159">
        <w:rPr>
          <w:rFonts w:eastAsia="Calibri" w:cstheme="minorHAnsi"/>
        </w:rPr>
        <w:t>udostępnionego przez Wykonawcę systemu zgłaszania błędów, przy czym</w:t>
      </w:r>
      <w:r>
        <w:rPr>
          <w:rFonts w:eastAsia="Calibri" w:cstheme="minorHAnsi"/>
        </w:rPr>
        <w:t xml:space="preserve"> </w:t>
      </w:r>
      <w:r w:rsidR="00A06A55">
        <w:rPr>
          <w:rFonts w:eastAsia="Calibri" w:cstheme="minorHAnsi"/>
        </w:rPr>
        <w:t>S</w:t>
      </w:r>
      <w:r w:rsidRPr="00BB6159">
        <w:rPr>
          <w:rFonts w:eastAsia="Calibri" w:cstheme="minorHAnsi"/>
        </w:rPr>
        <w:t xml:space="preserve">ystem </w:t>
      </w:r>
      <w:r w:rsidR="00A06A55">
        <w:rPr>
          <w:rFonts w:eastAsia="Calibri" w:cstheme="minorHAnsi"/>
        </w:rPr>
        <w:t xml:space="preserve">Zgłoszeniowy </w:t>
      </w:r>
      <w:r w:rsidRPr="00BB6159">
        <w:rPr>
          <w:rFonts w:eastAsia="Calibri" w:cstheme="minorHAnsi"/>
        </w:rPr>
        <w:t>powinien mieć możliwość zgłaszania błędów, zmiany treści zgłoszenia i późniejszej komunikacji z Wykonawcą, a także śledzenia historii zgłoszeń,</w:t>
      </w:r>
      <w:r>
        <w:rPr>
          <w:rFonts w:eastAsia="Calibri" w:cstheme="minorHAnsi"/>
        </w:rPr>
        <w:t xml:space="preserve"> </w:t>
      </w:r>
      <w:r w:rsidRPr="00BB6159">
        <w:rPr>
          <w:rFonts w:eastAsia="Calibri" w:cstheme="minorHAnsi"/>
        </w:rPr>
        <w:t xml:space="preserve">całość komunikacji Wykonawcy z systemem powinna być szyfrowana poprzez SSL. </w:t>
      </w:r>
    </w:p>
    <w:p w14:paraId="24971946" w14:textId="4EFF5584" w:rsidR="00290EF5" w:rsidRPr="00BB6159" w:rsidRDefault="00290EF5" w:rsidP="00290EF5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 xml:space="preserve">Możliwe jest zgłaszanie błędów za pomocą </w:t>
      </w:r>
      <w:r w:rsidRPr="00BB6159">
        <w:rPr>
          <w:rFonts w:eastAsia="Calibri" w:cstheme="minorHAnsi"/>
        </w:rPr>
        <w:t>wiadomości elektroniczn</w:t>
      </w:r>
      <w:r>
        <w:rPr>
          <w:rFonts w:eastAsia="Calibri" w:cstheme="minorHAnsi"/>
        </w:rPr>
        <w:t xml:space="preserve">ej przesłanej na adres e-mail Wykonawcy lub </w:t>
      </w:r>
      <w:r w:rsidRPr="00BB6159">
        <w:rPr>
          <w:rFonts w:eastAsia="Calibri" w:cstheme="minorHAnsi"/>
        </w:rPr>
        <w:t xml:space="preserve">telefonicznie, przy czym Zgłoszenie takie wymaga niezwłocznego potwierdzenia w </w:t>
      </w:r>
      <w:r>
        <w:rPr>
          <w:rFonts w:eastAsia="Calibri" w:cstheme="minorHAnsi"/>
        </w:rPr>
        <w:t xml:space="preserve">Systemie Zgłoszeniowym. </w:t>
      </w:r>
      <w:r w:rsidRPr="00BB6159">
        <w:rPr>
          <w:rFonts w:eastAsia="Calibri" w:cstheme="minorHAnsi"/>
        </w:rPr>
        <w:t xml:space="preserve">Korzystanie z </w:t>
      </w:r>
      <w:r>
        <w:rPr>
          <w:rFonts w:eastAsia="Calibri" w:cstheme="minorHAnsi"/>
        </w:rPr>
        <w:t xml:space="preserve">wiadomości e-mail i telefonu </w:t>
      </w:r>
      <w:r w:rsidRPr="00BB6159">
        <w:rPr>
          <w:rFonts w:eastAsia="Calibri" w:cstheme="minorHAnsi"/>
        </w:rPr>
        <w:t>dopuszcza się w przypadku braku możliwości dokonania Zgłoszenia w Systemie</w:t>
      </w:r>
      <w:r w:rsidR="00A06A55">
        <w:rPr>
          <w:rFonts w:eastAsia="Calibri" w:cstheme="minorHAnsi"/>
        </w:rPr>
        <w:t xml:space="preserve"> Zgłoszeniowym</w:t>
      </w:r>
      <w:r w:rsidRPr="00BB6159">
        <w:rPr>
          <w:rFonts w:eastAsia="Calibri" w:cstheme="minorHAnsi"/>
        </w:rPr>
        <w:t xml:space="preserve">. Z chwilą przywrócenia tej możliwości Wykonawca niezwłocznie uzupełnia Zgłoszenia w ww. Systemie </w:t>
      </w:r>
      <w:r w:rsidR="00A06A55">
        <w:rPr>
          <w:rFonts w:eastAsia="Calibri" w:cstheme="minorHAnsi"/>
        </w:rPr>
        <w:t xml:space="preserve">Zgłoszeniowym </w:t>
      </w:r>
      <w:r w:rsidRPr="00BB6159">
        <w:rPr>
          <w:rFonts w:eastAsia="Calibri" w:cstheme="minorHAnsi"/>
        </w:rPr>
        <w:t>i wszystkie komunikaty zwrotne.</w:t>
      </w:r>
      <w:r>
        <w:rPr>
          <w:rFonts w:eastAsia="Calibri" w:cstheme="minorHAnsi"/>
        </w:rPr>
        <w:t xml:space="preserve"> W czasie niedostępności Systemu Zgłoszeniowego Wykonawca zapewni obsługę telefoniczną i e-mail, a moment wysłania wiadomości na wskazany adres e-mail lub zgłoszenia telefonicznego na wskazany nr telefonu uważa się za prawidłowe zgłoszenie Błędu.</w:t>
      </w:r>
    </w:p>
    <w:p w14:paraId="53B15591" w14:textId="77777777" w:rsidR="00290EF5" w:rsidRPr="009C716F" w:rsidRDefault="00290EF5" w:rsidP="00290EF5">
      <w:pPr>
        <w:spacing w:after="120"/>
        <w:rPr>
          <w:rFonts w:eastAsia="Calibri" w:cstheme="minorHAnsi"/>
        </w:rPr>
      </w:pPr>
      <w:r w:rsidRPr="000C4522">
        <w:rPr>
          <w:rFonts w:eastAsia="Calibri" w:cstheme="minorHAnsi"/>
        </w:rPr>
        <w:t xml:space="preserve">Wykonawca potwierdza fakt przyjęcia </w:t>
      </w:r>
      <w:r>
        <w:rPr>
          <w:rFonts w:eastAsia="Calibri" w:cstheme="minorHAnsi"/>
        </w:rPr>
        <w:t>z</w:t>
      </w:r>
      <w:r w:rsidRPr="000C4522">
        <w:rPr>
          <w:rFonts w:eastAsia="Calibri" w:cstheme="minorHAnsi"/>
        </w:rPr>
        <w:t xml:space="preserve">głoszenia w </w:t>
      </w:r>
      <w:r>
        <w:rPr>
          <w:rFonts w:eastAsia="Calibri" w:cstheme="minorHAnsi"/>
        </w:rPr>
        <w:t>s</w:t>
      </w:r>
      <w:r w:rsidRPr="000C4522">
        <w:rPr>
          <w:rFonts w:eastAsia="Calibri" w:cstheme="minorHAnsi"/>
        </w:rPr>
        <w:t xml:space="preserve">ystemie </w:t>
      </w:r>
      <w:r>
        <w:rPr>
          <w:rFonts w:eastAsia="Calibri" w:cstheme="minorHAnsi"/>
        </w:rPr>
        <w:t>z</w:t>
      </w:r>
      <w:r w:rsidRPr="000C4522">
        <w:rPr>
          <w:rFonts w:eastAsia="Calibri" w:cstheme="minorHAnsi"/>
        </w:rPr>
        <w:t>głoszeniowym</w:t>
      </w:r>
      <w:r>
        <w:rPr>
          <w:rFonts w:eastAsia="Calibri" w:cstheme="minorHAnsi"/>
        </w:rPr>
        <w:t xml:space="preserve"> z zachowaniem Czasu Reakcji dla odpowiedniej kategorii Błędu licząc od przekazania zgłoszenia (jeśli zgłoszenie zostało zarejestrowane w Systemie Zgłoszeniowym poza Dniami Roboczymi i Godzinami Roboczymi, to czas potwierdzenia zgłoszenia liczony jest od najbliższego Dnia Roboczego)</w:t>
      </w:r>
      <w:r w:rsidRPr="000C4522">
        <w:rPr>
          <w:rFonts w:eastAsia="Calibri" w:cstheme="minorHAnsi"/>
        </w:rPr>
        <w:t>. Brak potwierdzenia przez Wykonawcę Zgłoszenia nie wstrzymuje upływu Czasu reakcji i Czasu Naprawy</w:t>
      </w:r>
      <w:r w:rsidRPr="009C716F">
        <w:rPr>
          <w:rFonts w:eastAsia="Calibri" w:cstheme="minorHAnsi"/>
        </w:rPr>
        <w:t>.</w:t>
      </w:r>
    </w:p>
    <w:p w14:paraId="552C6BEC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>Zgłoszenia powinno zawierać maksymalną liczbę informacji tak, żeby umożliwiały one odtworzenie Błędu na środowisku developerskim, w tym, w szczególności:</w:t>
      </w:r>
    </w:p>
    <w:p w14:paraId="24352B2E" w14:textId="77777777" w:rsidR="00290EF5" w:rsidRPr="00ED4419" w:rsidRDefault="00290EF5">
      <w:pPr>
        <w:pStyle w:val="Akapitzlist"/>
        <w:numPr>
          <w:ilvl w:val="0"/>
          <w:numId w:val="16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lastRenderedPageBreak/>
        <w:t xml:space="preserve">datę i czas wystąpienia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>łędu (informacja wymagana);</w:t>
      </w:r>
    </w:p>
    <w:p w14:paraId="26C65383" w14:textId="77777777" w:rsidR="00290EF5" w:rsidRPr="00ED4419" w:rsidRDefault="00290EF5">
      <w:pPr>
        <w:pStyle w:val="Akapitzlist"/>
        <w:numPr>
          <w:ilvl w:val="0"/>
          <w:numId w:val="16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identyfikator użytkownika bądź nazwę procesu, dla którego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>łąd wystąpił (informacja wymagana);</w:t>
      </w:r>
    </w:p>
    <w:p w14:paraId="217E8D3A" w14:textId="77777777" w:rsidR="00290EF5" w:rsidRPr="00ED4419" w:rsidRDefault="00290EF5">
      <w:pPr>
        <w:pStyle w:val="Akapitzlist"/>
        <w:numPr>
          <w:ilvl w:val="0"/>
          <w:numId w:val="16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opis kroków koniecznych do wykonania w celu odtworzenia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 xml:space="preserve">łędu na środowisku testowym – jedynie w wyjątkowych sytuacjach, gdy odtworzenie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>łędu nie jest możliwe – powyższy opis zostanie zastąpiony wyjaśnieniem wraz z podaniem prawdopodobnej przyczy</w:t>
      </w:r>
      <w:r>
        <w:rPr>
          <w:rFonts w:eastAsia="Calibri" w:cstheme="minorHAnsi"/>
        </w:rPr>
        <w:t>ny braku możliwości replikacji b</w:t>
      </w:r>
      <w:r w:rsidRPr="00ED4419">
        <w:rPr>
          <w:rFonts w:eastAsia="Calibri" w:cstheme="minorHAnsi"/>
        </w:rPr>
        <w:t>łędu;</w:t>
      </w:r>
    </w:p>
    <w:p w14:paraId="0EFCAC3C" w14:textId="516DACF0" w:rsidR="00290EF5" w:rsidRPr="00ED4419" w:rsidRDefault="00290EF5">
      <w:pPr>
        <w:pStyle w:val="Akapitzlist"/>
        <w:numPr>
          <w:ilvl w:val="0"/>
          <w:numId w:val="16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nazwy i liczba obszarów biznesowych, z których korzystanie według najlepszej wiedzy </w:t>
      </w:r>
      <w:r>
        <w:rPr>
          <w:rFonts w:eastAsia="Calibri" w:cstheme="minorHAnsi"/>
        </w:rPr>
        <w:t>Zamawiającego</w:t>
      </w:r>
      <w:r w:rsidRPr="00ED4419">
        <w:rPr>
          <w:rFonts w:eastAsia="Calibri" w:cstheme="minorHAnsi"/>
        </w:rPr>
        <w:t xml:space="preserve"> jest uniemożliwione przez dany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>łąd (informacja wymagana);</w:t>
      </w:r>
    </w:p>
    <w:p w14:paraId="0E683C30" w14:textId="77777777" w:rsidR="00290EF5" w:rsidRPr="00ED4419" w:rsidRDefault="00290EF5">
      <w:pPr>
        <w:pStyle w:val="Akapitzlist"/>
        <w:numPr>
          <w:ilvl w:val="0"/>
          <w:numId w:val="16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zrzuty ekranu z wystąpienia </w:t>
      </w:r>
      <w:r>
        <w:rPr>
          <w:rFonts w:eastAsia="Calibri" w:cstheme="minorHAnsi"/>
        </w:rPr>
        <w:t>b</w:t>
      </w:r>
      <w:r w:rsidRPr="00ED4419">
        <w:rPr>
          <w:rFonts w:eastAsia="Calibri" w:cstheme="minorHAnsi"/>
        </w:rPr>
        <w:t xml:space="preserve">łędu (informacja wymagana); </w:t>
      </w:r>
    </w:p>
    <w:p w14:paraId="6D031713" w14:textId="77777777" w:rsidR="00290EF5" w:rsidRPr="00ED4419" w:rsidRDefault="00290EF5">
      <w:pPr>
        <w:pStyle w:val="Akapitzlist"/>
        <w:numPr>
          <w:ilvl w:val="0"/>
          <w:numId w:val="16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>dodatkowe informacje mogące wpłynąć na analizę.</w:t>
      </w:r>
    </w:p>
    <w:p w14:paraId="2A992652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Podanie w zgłoszeniu wskazanych wyżej informacji </w:t>
      </w:r>
      <w:r>
        <w:rPr>
          <w:rFonts w:eastAsia="Calibri" w:cstheme="minorHAnsi"/>
        </w:rPr>
        <w:t xml:space="preserve">wymaganych </w:t>
      </w:r>
      <w:r w:rsidRPr="00ED4419">
        <w:rPr>
          <w:rFonts w:eastAsia="Calibri" w:cstheme="minorHAnsi"/>
        </w:rPr>
        <w:t xml:space="preserve">warunkuje zobowiązanie Wykonawcy do przystąpienia do analizy zgłoszonego Błędu. </w:t>
      </w:r>
    </w:p>
    <w:p w14:paraId="505FD95A" w14:textId="560D12FF" w:rsidR="00290EF5" w:rsidRPr="00ED4419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Wykonawca może wezwać Zamawiającego do dostarczenia określonych i pozostających w dyspozycji Zamawiającego dodatkowych informacji, w </w:t>
      </w:r>
      <w:proofErr w:type="gramStart"/>
      <w:r w:rsidRPr="00ED4419">
        <w:rPr>
          <w:rFonts w:eastAsia="Calibri" w:cstheme="minorHAnsi"/>
        </w:rPr>
        <w:t>przypadku</w:t>
      </w:r>
      <w:proofErr w:type="gramEnd"/>
      <w:r w:rsidRPr="00ED4419">
        <w:rPr>
          <w:rFonts w:eastAsia="Calibri" w:cstheme="minorHAnsi"/>
        </w:rPr>
        <w:t xml:space="preserve"> gdy uzyskanie takich informacji przez Wykonawcę jest niezbędne do wykonania Naprawy</w:t>
      </w:r>
      <w:r w:rsidR="00A06A55">
        <w:rPr>
          <w:rFonts w:eastAsia="Calibri" w:cstheme="minorHAnsi"/>
        </w:rPr>
        <w:t>.</w:t>
      </w:r>
      <w:r w:rsidRPr="00ED4419">
        <w:rPr>
          <w:rFonts w:eastAsia="Calibri" w:cstheme="minorHAnsi"/>
        </w:rPr>
        <w:t xml:space="preserve"> </w:t>
      </w:r>
    </w:p>
    <w:p w14:paraId="08222911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>Czas Reakcji oraz Naprawy ulega zawieszeniu na czas:</w:t>
      </w:r>
    </w:p>
    <w:p w14:paraId="218E1CB6" w14:textId="77777777" w:rsidR="00290EF5" w:rsidRDefault="00290EF5">
      <w:pPr>
        <w:pStyle w:val="Akapitzlist"/>
        <w:numPr>
          <w:ilvl w:val="0"/>
          <w:numId w:val="17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>w jakim Wykonawca będzie oczekiwał na informacje</w:t>
      </w:r>
      <w:r>
        <w:rPr>
          <w:rFonts w:eastAsia="Calibri" w:cstheme="minorHAnsi"/>
        </w:rPr>
        <w:t>,</w:t>
      </w:r>
      <w:r w:rsidRPr="00ED4419">
        <w:rPr>
          <w:rFonts w:eastAsia="Calibri" w:cstheme="minorHAnsi"/>
        </w:rPr>
        <w:t xml:space="preserve"> o których mowa wyżej</w:t>
      </w:r>
      <w:r>
        <w:rPr>
          <w:rFonts w:eastAsia="Calibri" w:cstheme="minorHAnsi"/>
        </w:rPr>
        <w:t>,</w:t>
      </w:r>
    </w:p>
    <w:p w14:paraId="63F03A0C" w14:textId="77777777" w:rsidR="00290EF5" w:rsidRPr="00ED4419" w:rsidRDefault="00290EF5">
      <w:pPr>
        <w:pStyle w:val="Akapitzlist"/>
        <w:numPr>
          <w:ilvl w:val="0"/>
          <w:numId w:val="17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>od momentu wgrania przez Wykonawcę na środowisko testowe do momentu potwierdzenia przez Zamawiającego prawidłowości Nap</w:t>
      </w:r>
      <w:r>
        <w:rPr>
          <w:rFonts w:eastAsia="Calibri" w:cstheme="minorHAnsi"/>
        </w:rPr>
        <w:t>rawy albo zgłoszenia zastrzeżeń,</w:t>
      </w:r>
    </w:p>
    <w:p w14:paraId="11EFC696" w14:textId="77777777" w:rsidR="00290EF5" w:rsidRPr="00ED4419" w:rsidRDefault="00290EF5">
      <w:pPr>
        <w:pStyle w:val="Akapitzlist"/>
        <w:numPr>
          <w:ilvl w:val="0"/>
          <w:numId w:val="17"/>
        </w:numPr>
        <w:tabs>
          <w:tab w:val="left" w:pos="5040"/>
        </w:tabs>
        <w:spacing w:after="120"/>
        <w:jc w:val="both"/>
        <w:rPr>
          <w:rFonts w:eastAsia="Calibri" w:cstheme="minorHAnsi"/>
        </w:rPr>
      </w:pPr>
      <w:r w:rsidRPr="00ED4419">
        <w:rPr>
          <w:rFonts w:eastAsia="Calibri" w:cstheme="minorHAnsi"/>
        </w:rPr>
        <w:t>weryfikacji poprawności Naprawy przez Zamawiające</w:t>
      </w:r>
      <w:r>
        <w:rPr>
          <w:rFonts w:eastAsia="Calibri" w:cstheme="minorHAnsi"/>
        </w:rPr>
        <w:t>go (przeprowadzenie testów akceptacyjnych).</w:t>
      </w:r>
    </w:p>
    <w:p w14:paraId="36A2355F" w14:textId="77777777" w:rsidR="00290EF5" w:rsidRPr="00ED4419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>Za testy</w:t>
      </w:r>
      <w:r>
        <w:rPr>
          <w:rFonts w:eastAsia="Calibri" w:cstheme="minorHAnsi"/>
        </w:rPr>
        <w:t xml:space="preserve"> systemowe</w:t>
      </w:r>
      <w:r w:rsidRPr="00ED4419">
        <w:rPr>
          <w:rFonts w:eastAsia="Calibri" w:cstheme="minorHAnsi"/>
        </w:rPr>
        <w:t xml:space="preserve"> dostarczonych zmian na środowisk</w:t>
      </w:r>
      <w:r>
        <w:rPr>
          <w:rFonts w:eastAsia="Calibri" w:cstheme="minorHAnsi"/>
        </w:rPr>
        <w:t>u deweloperskim</w:t>
      </w:r>
      <w:r w:rsidRPr="00ED4419">
        <w:rPr>
          <w:rFonts w:eastAsia="Calibri" w:cstheme="minorHAnsi"/>
        </w:rPr>
        <w:t xml:space="preserve"> odpowiedzialny jest </w:t>
      </w:r>
      <w:r>
        <w:rPr>
          <w:rFonts w:eastAsia="Calibri" w:cstheme="minorHAnsi"/>
        </w:rPr>
        <w:t>Wykonawca, za przeprowadzenie testów UAT na środowisku testowym i produkcyjnym odpowiedzialny jest Zamawiający</w:t>
      </w:r>
      <w:r w:rsidRPr="00ED4419">
        <w:rPr>
          <w:rFonts w:eastAsia="Calibri" w:cstheme="minorHAnsi"/>
        </w:rPr>
        <w:t>. Testy są wliczane do czasów SLA</w:t>
      </w:r>
      <w:r>
        <w:rPr>
          <w:rFonts w:eastAsia="Calibri" w:cstheme="minorHAnsi"/>
        </w:rPr>
        <w:t xml:space="preserve"> (oprócz testów akceptacyjnych wykonywanych przez Zamawiającego)</w:t>
      </w:r>
      <w:r w:rsidRPr="00ED4419">
        <w:rPr>
          <w:rFonts w:eastAsia="Calibri" w:cstheme="minorHAnsi"/>
        </w:rPr>
        <w:t>.</w:t>
      </w:r>
    </w:p>
    <w:p w14:paraId="07E63EEE" w14:textId="79558A04" w:rsidR="00290EF5" w:rsidRDefault="00290EF5" w:rsidP="00290EF5">
      <w:pPr>
        <w:spacing w:after="120"/>
        <w:rPr>
          <w:rFonts w:eastAsia="Calibri" w:cstheme="minorHAnsi"/>
        </w:rPr>
      </w:pPr>
      <w:r w:rsidRPr="00ED4419">
        <w:rPr>
          <w:rFonts w:eastAsia="Calibri" w:cstheme="minorHAnsi"/>
        </w:rPr>
        <w:t xml:space="preserve">Wszystkie problemy zgłaszane jako Błędy związane z </w:t>
      </w:r>
      <w:r w:rsidR="00A06A55">
        <w:rPr>
          <w:rFonts w:eastAsia="Calibri" w:cstheme="minorHAnsi"/>
        </w:rPr>
        <w:t>GDH</w:t>
      </w:r>
      <w:r w:rsidRPr="00ED4419">
        <w:rPr>
          <w:rFonts w:eastAsia="Calibri" w:cstheme="minorHAnsi"/>
        </w:rPr>
        <w:t xml:space="preserve">, Wykonawca przyjmować będzie poprzez System Zgłoszeniowy. W ramach Umowy Wykonawca udostępni Zmawiającemu dwa konta dostępowe do Systemu Zgłoszeniowego. </w:t>
      </w:r>
      <w:r w:rsidRPr="00FB0B8D">
        <w:rPr>
          <w:rFonts w:eastAsia="Calibri" w:cstheme="minorHAnsi"/>
        </w:rPr>
        <w:t xml:space="preserve">Dostarczenie oraz korzystanie z Systemu Zgłoszeniowego przez Zamawiającego jest nieodpłatne. </w:t>
      </w:r>
      <w:r w:rsidRPr="009C716F">
        <w:rPr>
          <w:rFonts w:eastAsia="Calibri" w:cstheme="minorHAnsi"/>
        </w:rPr>
        <w:t xml:space="preserve">Wykonawca będzie prowadził na rzecz </w:t>
      </w:r>
      <w:r w:rsidRPr="00ED4419">
        <w:rPr>
          <w:rFonts w:eastAsia="Calibri" w:cstheme="minorHAnsi"/>
        </w:rPr>
        <w:t>Zamawiającego rejestr Błędów w Systemie Zgłoszeniowym. Zgłoszenia są obsługiwane przez konsultantów należących do alokowanego dla Zamawiającego zespołu wsparcia. Strony będą współpracowały w celu zidentyfikowania i rozwiązania problemu. Dostarczenie rozwiązania Błędu powinno skutkować zamknięciem wpisu w Systemie Zgłoszeniowym. Kategorie Błędów będą nadawane przez Zamawiającego, Wykonawca może dokonać reklasyfikacji Błędu, jeśli kategoria pierwotnie nadana przez Zamawiającego okaże się nieprawidłowa.</w:t>
      </w:r>
    </w:p>
    <w:p w14:paraId="5630DE42" w14:textId="77777777" w:rsidR="00A06A55" w:rsidRDefault="00A06A55" w:rsidP="00290EF5">
      <w:pPr>
        <w:pStyle w:val="Nagwek3"/>
      </w:pPr>
      <w:bookmarkStart w:id="12" w:name="_Toc28870374"/>
    </w:p>
    <w:p w14:paraId="2708D387" w14:textId="000543AF" w:rsidR="00290EF5" w:rsidRPr="00BF6E0B" w:rsidRDefault="00290EF5" w:rsidP="00290EF5">
      <w:pPr>
        <w:pStyle w:val="Nagwek3"/>
      </w:pPr>
      <w:r w:rsidRPr="00BF6E0B">
        <w:t xml:space="preserve">Niezbędne zmiany </w:t>
      </w:r>
      <w:r>
        <w:t xml:space="preserve">komponentów </w:t>
      </w:r>
      <w:bookmarkEnd w:id="12"/>
      <w:r w:rsidR="00A06A55">
        <w:t>GDH</w:t>
      </w:r>
    </w:p>
    <w:p w14:paraId="18A7BC2F" w14:textId="77777777" w:rsidR="00290EF5" w:rsidRPr="007B08DD" w:rsidRDefault="00290EF5" w:rsidP="00290EF5">
      <w:pPr>
        <w:pStyle w:val="Default0"/>
        <w:spacing w:before="120" w:after="120"/>
        <w:rPr>
          <w:rFonts w:asciiTheme="minorHAnsi" w:hAnsiTheme="minorHAnsi"/>
          <w:sz w:val="22"/>
        </w:rPr>
      </w:pPr>
      <w:r w:rsidRPr="007B08DD">
        <w:rPr>
          <w:rFonts w:asciiTheme="minorHAnsi" w:hAnsiTheme="minorHAnsi"/>
          <w:sz w:val="22"/>
        </w:rPr>
        <w:t>W przypadku gdy komponent systemu będący przedmiotem licencji będzie powodował w okresie obowiązywania Umowy wielokrotne lub istotne:</w:t>
      </w:r>
    </w:p>
    <w:p w14:paraId="75EB1E41" w14:textId="77777777" w:rsidR="00290EF5" w:rsidRPr="007B08DD" w:rsidRDefault="00290EF5">
      <w:pPr>
        <w:pStyle w:val="Default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/>
          <w:sz w:val="22"/>
        </w:rPr>
      </w:pPr>
      <w:r w:rsidRPr="007B08DD">
        <w:rPr>
          <w:rFonts w:asciiTheme="minorHAnsi" w:hAnsiTheme="minorHAnsi"/>
          <w:sz w:val="22"/>
        </w:rPr>
        <w:t>zagrożenie bezpieczeństwa danych utrzymywanych w systemie lub</w:t>
      </w:r>
    </w:p>
    <w:p w14:paraId="57F492E1" w14:textId="65023117" w:rsidR="00290EF5" w:rsidRPr="007B08DD" w:rsidRDefault="00290EF5">
      <w:pPr>
        <w:pStyle w:val="Default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/>
          <w:sz w:val="22"/>
        </w:rPr>
      </w:pPr>
      <w:r w:rsidRPr="007B08DD">
        <w:rPr>
          <w:rFonts w:asciiTheme="minorHAnsi" w:hAnsiTheme="minorHAnsi"/>
          <w:sz w:val="22"/>
        </w:rPr>
        <w:lastRenderedPageBreak/>
        <w:t>przekroczenie określonych w SOPZ parametrów dostępności systemu lub</w:t>
      </w:r>
    </w:p>
    <w:p w14:paraId="5CB3B7E6" w14:textId="77777777" w:rsidR="00290EF5" w:rsidRPr="007B08DD" w:rsidRDefault="00290EF5">
      <w:pPr>
        <w:pStyle w:val="Default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/>
          <w:sz w:val="22"/>
        </w:rPr>
      </w:pPr>
      <w:r w:rsidRPr="007B08DD">
        <w:rPr>
          <w:rFonts w:asciiTheme="minorHAnsi" w:hAnsiTheme="minorHAnsi"/>
          <w:sz w:val="22"/>
        </w:rPr>
        <w:t>ograniczenie funkcjonalności systemu poniżej określonej w SOPZ z uwzględnieniem funkcjonalności wytworzonych w ramach usługi rozwoju systemu,</w:t>
      </w:r>
    </w:p>
    <w:p w14:paraId="75A2DD8D" w14:textId="77777777" w:rsidR="00290EF5" w:rsidRPr="007B08DD" w:rsidRDefault="00290EF5" w:rsidP="00290EF5">
      <w:pPr>
        <w:pStyle w:val="Default0"/>
        <w:spacing w:before="120" w:after="120"/>
        <w:rPr>
          <w:rFonts w:asciiTheme="minorHAnsi" w:hAnsiTheme="minorHAnsi"/>
          <w:sz w:val="22"/>
        </w:rPr>
      </w:pPr>
      <w:r w:rsidRPr="007B08DD">
        <w:rPr>
          <w:rFonts w:asciiTheme="minorHAnsi" w:hAnsiTheme="minorHAnsi"/>
          <w:sz w:val="22"/>
        </w:rPr>
        <w:t>Wykonawca zapewni na własny koszt wymianę komponentu będącego przedmiotem licencji na komponent w nowszej wersji lub dostarczy rozwiązanie alternatywne zapewniające prawidłowe działanie systemu w pełnej funkcjonalności, jak również pokryje koszty ewentualnych prac i nowych licencji.</w:t>
      </w:r>
    </w:p>
    <w:p w14:paraId="49636A44" w14:textId="77777777" w:rsidR="00290EF5" w:rsidRDefault="00290EF5" w:rsidP="00FD04DE"/>
    <w:p w14:paraId="06C23CA2" w14:textId="0EF6BD8A" w:rsidR="00A06A55" w:rsidRPr="00290EF5" w:rsidRDefault="00A06A55" w:rsidP="00A06A55">
      <w:pPr>
        <w:rPr>
          <w:b/>
          <w:bCs/>
          <w:u w:val="single"/>
        </w:rPr>
      </w:pPr>
      <w:r w:rsidRPr="00290EF5">
        <w:rPr>
          <w:b/>
          <w:bCs/>
          <w:u w:val="single"/>
        </w:rPr>
        <w:t xml:space="preserve">Usługa </w:t>
      </w:r>
      <w:r>
        <w:rPr>
          <w:b/>
          <w:bCs/>
          <w:u w:val="single"/>
        </w:rPr>
        <w:t>rozwoju</w:t>
      </w:r>
      <w:r w:rsidRPr="00290EF5">
        <w:rPr>
          <w:b/>
          <w:bCs/>
          <w:u w:val="single"/>
        </w:rPr>
        <w:t xml:space="preserve"> GDH</w:t>
      </w:r>
    </w:p>
    <w:p w14:paraId="24B04B3D" w14:textId="0F78BFB1" w:rsidR="00A06A55" w:rsidRPr="00CE4DBC" w:rsidRDefault="00A06A55" w:rsidP="00A06A55">
      <w:pPr>
        <w:spacing w:after="120"/>
        <w:rPr>
          <w:rFonts w:eastAsia="Calibri" w:cstheme="minorHAnsi"/>
        </w:rPr>
      </w:pPr>
      <w:r w:rsidRPr="00CE4DBC">
        <w:rPr>
          <w:rFonts w:eastAsia="Calibri" w:cstheme="minorHAnsi"/>
        </w:rPr>
        <w:t xml:space="preserve">W ramach usługi Rozwoju systemu Wykonawca będzie zobowiązany do realizacji </w:t>
      </w:r>
      <w:r>
        <w:rPr>
          <w:rFonts w:eastAsia="Calibri" w:cstheme="minorHAnsi"/>
        </w:rPr>
        <w:t>maks. 1</w:t>
      </w:r>
      <w:r w:rsidRPr="00CE4DBC">
        <w:rPr>
          <w:rFonts w:eastAsia="Calibri" w:cstheme="minorHAnsi"/>
        </w:rPr>
        <w:t>.</w:t>
      </w:r>
      <w:r>
        <w:rPr>
          <w:rFonts w:eastAsia="Calibri" w:cstheme="minorHAnsi"/>
        </w:rPr>
        <w:t>0</w:t>
      </w:r>
      <w:r w:rsidRPr="00CE4DBC">
        <w:rPr>
          <w:rFonts w:eastAsia="Calibri" w:cstheme="minorHAnsi"/>
        </w:rPr>
        <w:t xml:space="preserve">00 godzin roboczych do wykorzystania w okresie </w:t>
      </w:r>
      <w:r>
        <w:rPr>
          <w:rFonts w:eastAsia="Calibri" w:cstheme="minorHAnsi"/>
        </w:rPr>
        <w:t>realizacji usługi</w:t>
      </w:r>
      <w:r w:rsidRPr="00CE4DBC">
        <w:rPr>
          <w:rFonts w:eastAsia="Calibri" w:cstheme="minorHAnsi"/>
        </w:rPr>
        <w:t xml:space="preserve"> utrzymania </w:t>
      </w:r>
      <w:r>
        <w:rPr>
          <w:rFonts w:eastAsia="Calibri" w:cstheme="minorHAnsi"/>
        </w:rPr>
        <w:t>GDH</w:t>
      </w:r>
      <w:r w:rsidRPr="00CE4DBC">
        <w:rPr>
          <w:rFonts w:eastAsia="Calibri" w:cstheme="minorHAnsi"/>
        </w:rPr>
        <w:t xml:space="preserve">, na zlecone prace rozwojowe funkcjonalności </w:t>
      </w:r>
      <w:r>
        <w:rPr>
          <w:rFonts w:eastAsia="Calibri" w:cstheme="minorHAnsi"/>
        </w:rPr>
        <w:t>GDH, po cenie określonej w ofercie Wykonawcy.</w:t>
      </w:r>
      <w:r w:rsidR="006343F2">
        <w:rPr>
          <w:rFonts w:eastAsia="Calibri" w:cstheme="minorHAnsi"/>
        </w:rPr>
        <w:t xml:space="preserve"> Zamawiający może, ale nie musi, wykorzystać pełny ww. pakiet godzin roboczych, a Wykonawca otrzyma wynagrodzenie za wykorzystane godziny robocze.</w:t>
      </w:r>
    </w:p>
    <w:p w14:paraId="1A433BCE" w14:textId="66D1C389" w:rsidR="00A06A55" w:rsidRPr="00CE4DBC" w:rsidRDefault="00A06A55" w:rsidP="00A06A55">
      <w:pPr>
        <w:spacing w:after="120"/>
        <w:rPr>
          <w:rFonts w:eastAsia="Calibri" w:cstheme="minorHAnsi"/>
        </w:rPr>
      </w:pPr>
      <w:r w:rsidRPr="00CE4DBC">
        <w:rPr>
          <w:rFonts w:eastAsia="Calibri" w:cstheme="minorHAnsi"/>
        </w:rPr>
        <w:t xml:space="preserve">Prace będą zlecane przez Zamawiającego w formie zlecenia opisującego wymagane nowe lub zmienione funkcjonalności </w:t>
      </w:r>
      <w:r>
        <w:rPr>
          <w:rFonts w:eastAsia="Calibri" w:cstheme="minorHAnsi"/>
        </w:rPr>
        <w:t>GDH</w:t>
      </w:r>
      <w:r w:rsidRPr="00CE4DBC">
        <w:rPr>
          <w:rFonts w:eastAsia="Calibri" w:cstheme="minorHAnsi"/>
        </w:rPr>
        <w:t>.</w:t>
      </w:r>
      <w:r>
        <w:rPr>
          <w:rFonts w:eastAsia="Calibri" w:cstheme="minorHAnsi"/>
        </w:rPr>
        <w:t xml:space="preserve"> </w:t>
      </w:r>
      <w:r w:rsidRPr="00CE4DBC">
        <w:rPr>
          <w:rFonts w:eastAsia="Calibri" w:cstheme="minorHAnsi"/>
        </w:rPr>
        <w:t>Na podstawie zlecenia Wykonawca w ciągu 10 dni roboczych określi: szczegółowy zakres prac, harmonogram i ilość godzin roboczych niezbędną do wykonania prac.</w:t>
      </w:r>
      <w:r>
        <w:rPr>
          <w:rFonts w:eastAsia="Calibri" w:cstheme="minorHAnsi"/>
        </w:rPr>
        <w:t xml:space="preserve"> </w:t>
      </w:r>
      <w:r w:rsidRPr="00CE4DBC">
        <w:rPr>
          <w:rFonts w:eastAsia="Calibri" w:cstheme="minorHAnsi"/>
        </w:rPr>
        <w:t xml:space="preserve">Po zaakceptowaniu </w:t>
      </w:r>
      <w:r>
        <w:rPr>
          <w:rFonts w:eastAsia="Calibri" w:cstheme="minorHAnsi"/>
        </w:rPr>
        <w:t xml:space="preserve">przez Zamawiającego </w:t>
      </w:r>
      <w:r w:rsidRPr="00CE4DBC">
        <w:rPr>
          <w:rFonts w:eastAsia="Calibri" w:cstheme="minorHAnsi"/>
        </w:rPr>
        <w:t xml:space="preserve">zakresu prac, harmonogramu i ilości godzin roboczych, Wykonawca rozpocznie realizację zlecenia na prace rozwojowe </w:t>
      </w:r>
      <w:r>
        <w:rPr>
          <w:rFonts w:eastAsia="Calibri" w:cstheme="minorHAnsi"/>
        </w:rPr>
        <w:t>GDH</w:t>
      </w:r>
      <w:r w:rsidRPr="00CE4DBC">
        <w:rPr>
          <w:rFonts w:eastAsia="Calibri" w:cstheme="minorHAnsi"/>
        </w:rPr>
        <w:t>.</w:t>
      </w:r>
    </w:p>
    <w:p w14:paraId="2059FCBE" w14:textId="1CE14075" w:rsidR="00A06A55" w:rsidRPr="00CE4DBC" w:rsidRDefault="00A06A55" w:rsidP="00A06A55">
      <w:pPr>
        <w:spacing w:after="120"/>
        <w:rPr>
          <w:rFonts w:eastAsia="Calibri" w:cstheme="minorHAnsi"/>
        </w:rPr>
      </w:pPr>
      <w:r w:rsidRPr="00CE4DBC">
        <w:rPr>
          <w:rFonts w:eastAsia="Calibri" w:cstheme="minorHAnsi"/>
        </w:rPr>
        <w:t xml:space="preserve">Zmiany wprowadzone w </w:t>
      </w:r>
      <w:r>
        <w:rPr>
          <w:rFonts w:eastAsia="Calibri" w:cstheme="minorHAnsi"/>
        </w:rPr>
        <w:t>GDH</w:t>
      </w:r>
      <w:r w:rsidRPr="00CE4DBC">
        <w:rPr>
          <w:rFonts w:eastAsia="Calibri" w:cstheme="minorHAnsi"/>
        </w:rPr>
        <w:t xml:space="preserve"> będą podlegały testom realizowanym przez Wykonawcę, przy czym testy akceptacyjne będą realizowane przez Zamawiającego (zakres testów będ</w:t>
      </w:r>
      <w:r>
        <w:rPr>
          <w:rFonts w:eastAsia="Calibri" w:cstheme="minorHAnsi"/>
        </w:rPr>
        <w:t xml:space="preserve">zie zależny od zakresu zmiany). </w:t>
      </w:r>
      <w:r w:rsidRPr="00CE4DBC">
        <w:rPr>
          <w:rFonts w:eastAsia="Calibri" w:cstheme="minorHAnsi"/>
        </w:rPr>
        <w:t>Po potwierdzeniu przez Zamawiającego pozytywnych wyników testów akceptacyjnych Wykonawca przygotuje paczkę migracyjną, która następnie, za zgodą Zamawiającego, zostanie wgrana na środowisko produkcyjne.</w:t>
      </w:r>
    </w:p>
    <w:p w14:paraId="3741D3A0" w14:textId="77777777" w:rsidR="00A06A55" w:rsidRPr="00CE4DBC" w:rsidRDefault="00A06A55" w:rsidP="00A06A55">
      <w:pPr>
        <w:spacing w:after="120"/>
        <w:rPr>
          <w:rFonts w:eastAsia="Calibri" w:cstheme="minorHAnsi"/>
        </w:rPr>
      </w:pPr>
      <w:r w:rsidRPr="00CE4DBC">
        <w:rPr>
          <w:rFonts w:eastAsia="Calibri" w:cstheme="minorHAnsi"/>
        </w:rPr>
        <w:t xml:space="preserve">Wykonawca </w:t>
      </w:r>
      <w:r>
        <w:rPr>
          <w:rFonts w:eastAsia="Calibri" w:cstheme="minorHAnsi"/>
        </w:rPr>
        <w:t>będzie</w:t>
      </w:r>
      <w:r w:rsidRPr="00CE4DBC">
        <w:rPr>
          <w:rFonts w:eastAsia="Calibri" w:cstheme="minorHAnsi"/>
        </w:rPr>
        <w:t xml:space="preserve"> zobowiązany do prowadzenia rejestru zmian w systemie zgłoszeniowym, zawierający informacje o zawartości wprowadzanej zmiany, czasie wdrożenia, ścieżce dostępowej do zasobów, na którym składowane będą kody źródłowe.</w:t>
      </w:r>
    </w:p>
    <w:p w14:paraId="7360695A" w14:textId="4A94FDDB" w:rsidR="00A06A55" w:rsidRDefault="00A06A55" w:rsidP="00A06A55">
      <w:pPr>
        <w:spacing w:after="120"/>
        <w:rPr>
          <w:rFonts w:eastAsia="Calibri" w:cstheme="minorHAnsi"/>
        </w:rPr>
      </w:pPr>
      <w:r w:rsidRPr="00CE4DBC">
        <w:rPr>
          <w:rFonts w:eastAsia="Calibri" w:cstheme="minorHAnsi"/>
        </w:rPr>
        <w:t xml:space="preserve">Po wyczerpaniu określonego </w:t>
      </w:r>
      <w:r>
        <w:rPr>
          <w:rFonts w:eastAsia="Calibri" w:cstheme="minorHAnsi"/>
        </w:rPr>
        <w:t>powyżej</w:t>
      </w:r>
      <w:r w:rsidRPr="00CE4DBC">
        <w:rPr>
          <w:rFonts w:eastAsia="Calibri" w:cstheme="minorHAnsi"/>
        </w:rPr>
        <w:t xml:space="preserve"> pakietu </w:t>
      </w:r>
      <w:r>
        <w:rPr>
          <w:rFonts w:eastAsia="Calibri" w:cstheme="minorHAnsi"/>
        </w:rPr>
        <w:t>godzin</w:t>
      </w:r>
      <w:r w:rsidRPr="00CE4DBC">
        <w:rPr>
          <w:rFonts w:eastAsia="Calibri" w:cstheme="minorHAnsi"/>
        </w:rPr>
        <w:t xml:space="preserve"> roboczych w okresie obowiązywania Umowy, Zamawiający zastrzega sobie możliwość złożenia zamówienia </w:t>
      </w:r>
      <w:r>
        <w:rPr>
          <w:rFonts w:eastAsia="Calibri" w:cstheme="minorHAnsi"/>
        </w:rPr>
        <w:t xml:space="preserve">na podstawie </w:t>
      </w:r>
      <w:r w:rsidRPr="000814D8">
        <w:rPr>
          <w:rFonts w:eastAsia="Calibri" w:cstheme="minorHAnsi"/>
        </w:rPr>
        <w:t>art. 144 ust. 1 pkt</w:t>
      </w:r>
      <w:r>
        <w:rPr>
          <w:rFonts w:eastAsia="Calibri" w:cstheme="minorHAnsi"/>
        </w:rPr>
        <w:t>.</w:t>
      </w:r>
      <w:r w:rsidRPr="000814D8">
        <w:rPr>
          <w:rFonts w:eastAsia="Calibri" w:cstheme="minorHAnsi"/>
        </w:rPr>
        <w:t xml:space="preserve"> 6 </w:t>
      </w:r>
      <w:r>
        <w:rPr>
          <w:rFonts w:eastAsia="Calibri" w:cstheme="minorHAnsi"/>
        </w:rPr>
        <w:t xml:space="preserve">Ustawy PZP </w:t>
      </w:r>
      <w:r w:rsidRPr="00CE4DBC">
        <w:rPr>
          <w:rFonts w:eastAsia="Calibri" w:cstheme="minorHAnsi"/>
        </w:rPr>
        <w:t>na dodatkowe prace rozwojowe</w:t>
      </w:r>
      <w:r>
        <w:rPr>
          <w:rFonts w:eastAsia="Calibri" w:cstheme="minorHAnsi"/>
        </w:rPr>
        <w:t>, a Wykonawca wykona je</w:t>
      </w:r>
      <w:r w:rsidRPr="00CE4DBC">
        <w:rPr>
          <w:rFonts w:eastAsia="Calibri" w:cstheme="minorHAnsi"/>
        </w:rPr>
        <w:t xml:space="preserve"> po cenie </w:t>
      </w:r>
      <w:r>
        <w:rPr>
          <w:rFonts w:eastAsia="Calibri" w:cstheme="minorHAnsi"/>
        </w:rPr>
        <w:t>zgodnie z Umową</w:t>
      </w:r>
      <w:r w:rsidRPr="00CE4DBC">
        <w:rPr>
          <w:rFonts w:eastAsia="Calibri" w:cstheme="minorHAnsi"/>
        </w:rPr>
        <w:t>.</w:t>
      </w:r>
      <w:r w:rsidRPr="00CE4DBC" w:rsidDel="001725A4">
        <w:rPr>
          <w:rFonts w:eastAsia="Calibri" w:cstheme="minorHAnsi"/>
        </w:rPr>
        <w:t xml:space="preserve"> </w:t>
      </w:r>
    </w:p>
    <w:p w14:paraId="0450ED95" w14:textId="2AD22223" w:rsidR="000E08C7" w:rsidRPr="003D1045" w:rsidRDefault="000E08C7" w:rsidP="00A06A55"/>
    <w:sectPr w:rsidR="000E08C7" w:rsidRPr="003D104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5128" w14:textId="77777777" w:rsidR="004A5029" w:rsidRDefault="004A5029" w:rsidP="00D974E5">
      <w:pPr>
        <w:spacing w:after="0" w:line="240" w:lineRule="auto"/>
      </w:pPr>
      <w:r>
        <w:separator/>
      </w:r>
    </w:p>
  </w:endnote>
  <w:endnote w:type="continuationSeparator" w:id="0">
    <w:p w14:paraId="3827B77F" w14:textId="77777777" w:rsidR="004A5029" w:rsidRDefault="004A5029" w:rsidP="00D9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578943"/>
      <w:docPartObj>
        <w:docPartGallery w:val="Page Numbers (Bottom of Page)"/>
        <w:docPartUnique/>
      </w:docPartObj>
    </w:sdtPr>
    <w:sdtContent>
      <w:p w14:paraId="7A336A47" w14:textId="77777777" w:rsidR="00E22EF9" w:rsidRDefault="00E22E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5A">
          <w:rPr>
            <w:noProof/>
          </w:rPr>
          <w:t>1</w:t>
        </w:r>
        <w:r>
          <w:fldChar w:fldCharType="end"/>
        </w:r>
      </w:p>
    </w:sdtContent>
  </w:sdt>
  <w:p w14:paraId="21810CE5" w14:textId="77777777" w:rsidR="00E22EF9" w:rsidRDefault="00E22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F86C" w14:textId="77777777" w:rsidR="004A5029" w:rsidRDefault="004A5029" w:rsidP="00D974E5">
      <w:pPr>
        <w:spacing w:after="0" w:line="240" w:lineRule="auto"/>
      </w:pPr>
      <w:r>
        <w:separator/>
      </w:r>
    </w:p>
  </w:footnote>
  <w:footnote w:type="continuationSeparator" w:id="0">
    <w:p w14:paraId="3A10E9CA" w14:textId="77777777" w:rsidR="004A5029" w:rsidRDefault="004A5029" w:rsidP="00D97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BF5"/>
    <w:multiLevelType w:val="hybridMultilevel"/>
    <w:tmpl w:val="7E56447A"/>
    <w:lvl w:ilvl="0" w:tplc="2E8CF8C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C8F"/>
    <w:multiLevelType w:val="hybridMultilevel"/>
    <w:tmpl w:val="018E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312B"/>
    <w:multiLevelType w:val="hybridMultilevel"/>
    <w:tmpl w:val="0B74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01979"/>
    <w:multiLevelType w:val="multilevel"/>
    <w:tmpl w:val="F9282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4C5897"/>
    <w:multiLevelType w:val="hybridMultilevel"/>
    <w:tmpl w:val="2660745A"/>
    <w:lvl w:ilvl="0" w:tplc="3A202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22FAE"/>
    <w:multiLevelType w:val="multilevel"/>
    <w:tmpl w:val="B8B6A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7B66A4"/>
    <w:multiLevelType w:val="multilevel"/>
    <w:tmpl w:val="C04EF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954297"/>
    <w:multiLevelType w:val="hybridMultilevel"/>
    <w:tmpl w:val="9F2E3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FB6"/>
    <w:multiLevelType w:val="hybridMultilevel"/>
    <w:tmpl w:val="AF2CC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42891"/>
    <w:multiLevelType w:val="hybridMultilevel"/>
    <w:tmpl w:val="D8303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C4AD6"/>
    <w:multiLevelType w:val="hybridMultilevel"/>
    <w:tmpl w:val="8F30B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588"/>
    <w:multiLevelType w:val="hybridMultilevel"/>
    <w:tmpl w:val="844A9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723E4"/>
    <w:multiLevelType w:val="multilevel"/>
    <w:tmpl w:val="47748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F06E95"/>
    <w:multiLevelType w:val="hybridMultilevel"/>
    <w:tmpl w:val="8AAC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358EA"/>
    <w:multiLevelType w:val="hybridMultilevel"/>
    <w:tmpl w:val="899490B6"/>
    <w:lvl w:ilvl="0" w:tplc="4E5ED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72E41"/>
    <w:multiLevelType w:val="hybridMultilevel"/>
    <w:tmpl w:val="440A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74DB0"/>
    <w:multiLevelType w:val="hybridMultilevel"/>
    <w:tmpl w:val="5686D7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EE79DF"/>
    <w:multiLevelType w:val="hybridMultilevel"/>
    <w:tmpl w:val="7E90C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1228140">
    <w:abstractNumId w:val="5"/>
  </w:num>
  <w:num w:numId="2" w16cid:durableId="2097047020">
    <w:abstractNumId w:val="2"/>
  </w:num>
  <w:num w:numId="3" w16cid:durableId="1630890490">
    <w:abstractNumId w:val="4"/>
  </w:num>
  <w:num w:numId="4" w16cid:durableId="857474136">
    <w:abstractNumId w:val="14"/>
  </w:num>
  <w:num w:numId="5" w16cid:durableId="315687381">
    <w:abstractNumId w:val="8"/>
  </w:num>
  <w:num w:numId="6" w16cid:durableId="1932079180">
    <w:abstractNumId w:val="1"/>
  </w:num>
  <w:num w:numId="7" w16cid:durableId="899099890">
    <w:abstractNumId w:val="15"/>
  </w:num>
  <w:num w:numId="8" w16cid:durableId="672415710">
    <w:abstractNumId w:val="13"/>
  </w:num>
  <w:num w:numId="9" w16cid:durableId="2075466853">
    <w:abstractNumId w:val="17"/>
  </w:num>
  <w:num w:numId="10" w16cid:durableId="1593661491">
    <w:abstractNumId w:val="16"/>
  </w:num>
  <w:num w:numId="11" w16cid:durableId="802577205">
    <w:abstractNumId w:val="11"/>
  </w:num>
  <w:num w:numId="12" w16cid:durableId="1404527137">
    <w:abstractNumId w:val="6"/>
  </w:num>
  <w:num w:numId="13" w16cid:durableId="1510440744">
    <w:abstractNumId w:val="3"/>
  </w:num>
  <w:num w:numId="14" w16cid:durableId="690301326">
    <w:abstractNumId w:val="12"/>
  </w:num>
  <w:num w:numId="15" w16cid:durableId="852572291">
    <w:abstractNumId w:val="9"/>
  </w:num>
  <w:num w:numId="16" w16cid:durableId="1026757720">
    <w:abstractNumId w:val="10"/>
  </w:num>
  <w:num w:numId="17" w16cid:durableId="637225963">
    <w:abstractNumId w:val="7"/>
  </w:num>
  <w:num w:numId="18" w16cid:durableId="204748806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5"/>
    <w:rsid w:val="000014AA"/>
    <w:rsid w:val="0000152F"/>
    <w:rsid w:val="00001686"/>
    <w:rsid w:val="00002203"/>
    <w:rsid w:val="000034A4"/>
    <w:rsid w:val="00003DD6"/>
    <w:rsid w:val="000053EC"/>
    <w:rsid w:val="0000576C"/>
    <w:rsid w:val="00006050"/>
    <w:rsid w:val="00006325"/>
    <w:rsid w:val="000063B4"/>
    <w:rsid w:val="00006417"/>
    <w:rsid w:val="00007BE0"/>
    <w:rsid w:val="00011884"/>
    <w:rsid w:val="0001487A"/>
    <w:rsid w:val="00015FF8"/>
    <w:rsid w:val="00016446"/>
    <w:rsid w:val="00016A51"/>
    <w:rsid w:val="00016BB2"/>
    <w:rsid w:val="000170F1"/>
    <w:rsid w:val="00017782"/>
    <w:rsid w:val="00020C4B"/>
    <w:rsid w:val="00022B83"/>
    <w:rsid w:val="000262CE"/>
    <w:rsid w:val="00027113"/>
    <w:rsid w:val="00037C2C"/>
    <w:rsid w:val="000403F1"/>
    <w:rsid w:val="000413EB"/>
    <w:rsid w:val="00041DC9"/>
    <w:rsid w:val="00042714"/>
    <w:rsid w:val="000445C5"/>
    <w:rsid w:val="000449ED"/>
    <w:rsid w:val="00046A27"/>
    <w:rsid w:val="00050C64"/>
    <w:rsid w:val="00051626"/>
    <w:rsid w:val="00052B68"/>
    <w:rsid w:val="000531A8"/>
    <w:rsid w:val="000560A5"/>
    <w:rsid w:val="00060748"/>
    <w:rsid w:val="0006131B"/>
    <w:rsid w:val="000618EF"/>
    <w:rsid w:val="000649E7"/>
    <w:rsid w:val="00064D52"/>
    <w:rsid w:val="0006594B"/>
    <w:rsid w:val="000659CB"/>
    <w:rsid w:val="00070763"/>
    <w:rsid w:val="00073CE9"/>
    <w:rsid w:val="000753E0"/>
    <w:rsid w:val="000805C9"/>
    <w:rsid w:val="00084594"/>
    <w:rsid w:val="00090F55"/>
    <w:rsid w:val="00092BF4"/>
    <w:rsid w:val="00092E0A"/>
    <w:rsid w:val="0009451C"/>
    <w:rsid w:val="0009673A"/>
    <w:rsid w:val="000A243D"/>
    <w:rsid w:val="000A39DB"/>
    <w:rsid w:val="000A62FC"/>
    <w:rsid w:val="000A71C0"/>
    <w:rsid w:val="000B0BF6"/>
    <w:rsid w:val="000B1AC6"/>
    <w:rsid w:val="000B41B9"/>
    <w:rsid w:val="000B4221"/>
    <w:rsid w:val="000B5B5F"/>
    <w:rsid w:val="000B74B3"/>
    <w:rsid w:val="000C3CD1"/>
    <w:rsid w:val="000C6357"/>
    <w:rsid w:val="000C6A17"/>
    <w:rsid w:val="000C784D"/>
    <w:rsid w:val="000D03D6"/>
    <w:rsid w:val="000D351B"/>
    <w:rsid w:val="000D4B3C"/>
    <w:rsid w:val="000D65C3"/>
    <w:rsid w:val="000E08C7"/>
    <w:rsid w:val="000E29B1"/>
    <w:rsid w:val="000E2F51"/>
    <w:rsid w:val="000E63E3"/>
    <w:rsid w:val="000F0FB4"/>
    <w:rsid w:val="000F62AE"/>
    <w:rsid w:val="000F7DBC"/>
    <w:rsid w:val="001116AF"/>
    <w:rsid w:val="00112829"/>
    <w:rsid w:val="00116572"/>
    <w:rsid w:val="0012111C"/>
    <w:rsid w:val="00122C32"/>
    <w:rsid w:val="00123319"/>
    <w:rsid w:val="0012440F"/>
    <w:rsid w:val="00124BB7"/>
    <w:rsid w:val="001265E9"/>
    <w:rsid w:val="00131124"/>
    <w:rsid w:val="00136BCB"/>
    <w:rsid w:val="00141117"/>
    <w:rsid w:val="001421BB"/>
    <w:rsid w:val="00142C7D"/>
    <w:rsid w:val="00143409"/>
    <w:rsid w:val="00144600"/>
    <w:rsid w:val="001467C6"/>
    <w:rsid w:val="001529D1"/>
    <w:rsid w:val="00156CC2"/>
    <w:rsid w:val="00157EE7"/>
    <w:rsid w:val="001617C5"/>
    <w:rsid w:val="00162C0B"/>
    <w:rsid w:val="001646B1"/>
    <w:rsid w:val="00167E6A"/>
    <w:rsid w:val="001706E6"/>
    <w:rsid w:val="00182C86"/>
    <w:rsid w:val="001855FA"/>
    <w:rsid w:val="00187D8F"/>
    <w:rsid w:val="00192A0C"/>
    <w:rsid w:val="00193A71"/>
    <w:rsid w:val="0019526E"/>
    <w:rsid w:val="00196140"/>
    <w:rsid w:val="00196876"/>
    <w:rsid w:val="001974F1"/>
    <w:rsid w:val="001A0C41"/>
    <w:rsid w:val="001A71BD"/>
    <w:rsid w:val="001B01F2"/>
    <w:rsid w:val="001B4295"/>
    <w:rsid w:val="001B65B6"/>
    <w:rsid w:val="001B7376"/>
    <w:rsid w:val="001B7C17"/>
    <w:rsid w:val="001C1AE1"/>
    <w:rsid w:val="001C2275"/>
    <w:rsid w:val="001C2AC7"/>
    <w:rsid w:val="001C5014"/>
    <w:rsid w:val="001D1D59"/>
    <w:rsid w:val="001D509A"/>
    <w:rsid w:val="001D5B08"/>
    <w:rsid w:val="001D5CF1"/>
    <w:rsid w:val="001D5DFC"/>
    <w:rsid w:val="001D5FFD"/>
    <w:rsid w:val="001D6458"/>
    <w:rsid w:val="001D668C"/>
    <w:rsid w:val="001D69B7"/>
    <w:rsid w:val="001E0F83"/>
    <w:rsid w:val="001E51D4"/>
    <w:rsid w:val="001E6C79"/>
    <w:rsid w:val="001E72EF"/>
    <w:rsid w:val="001F6DC6"/>
    <w:rsid w:val="002050D8"/>
    <w:rsid w:val="0020657D"/>
    <w:rsid w:val="0020760A"/>
    <w:rsid w:val="00207A98"/>
    <w:rsid w:val="0021016F"/>
    <w:rsid w:val="00210E17"/>
    <w:rsid w:val="0021182A"/>
    <w:rsid w:val="00212445"/>
    <w:rsid w:val="00212743"/>
    <w:rsid w:val="00212D20"/>
    <w:rsid w:val="00212D7A"/>
    <w:rsid w:val="00213720"/>
    <w:rsid w:val="0021396D"/>
    <w:rsid w:val="002169C8"/>
    <w:rsid w:val="0021756F"/>
    <w:rsid w:val="00221AEF"/>
    <w:rsid w:val="00224F4E"/>
    <w:rsid w:val="0023082D"/>
    <w:rsid w:val="00234037"/>
    <w:rsid w:val="002422A3"/>
    <w:rsid w:val="002471A1"/>
    <w:rsid w:val="00247DF0"/>
    <w:rsid w:val="00250724"/>
    <w:rsid w:val="00253FAF"/>
    <w:rsid w:val="002561D2"/>
    <w:rsid w:val="002603E0"/>
    <w:rsid w:val="00260AAE"/>
    <w:rsid w:val="00265BD5"/>
    <w:rsid w:val="00266AD7"/>
    <w:rsid w:val="00267124"/>
    <w:rsid w:val="00267D21"/>
    <w:rsid w:val="002748E5"/>
    <w:rsid w:val="00275DF9"/>
    <w:rsid w:val="002760A3"/>
    <w:rsid w:val="002778AA"/>
    <w:rsid w:val="002849D5"/>
    <w:rsid w:val="00284F67"/>
    <w:rsid w:val="00286625"/>
    <w:rsid w:val="00290AF3"/>
    <w:rsid w:val="00290B7D"/>
    <w:rsid w:val="00290EF5"/>
    <w:rsid w:val="00291A24"/>
    <w:rsid w:val="00294489"/>
    <w:rsid w:val="002971FF"/>
    <w:rsid w:val="002976C5"/>
    <w:rsid w:val="002A0FED"/>
    <w:rsid w:val="002A3803"/>
    <w:rsid w:val="002A41F9"/>
    <w:rsid w:val="002B4031"/>
    <w:rsid w:val="002B50C2"/>
    <w:rsid w:val="002B685F"/>
    <w:rsid w:val="002C0B61"/>
    <w:rsid w:val="002C2870"/>
    <w:rsid w:val="002C49D3"/>
    <w:rsid w:val="002D0B78"/>
    <w:rsid w:val="002D1AA0"/>
    <w:rsid w:val="002D5BA5"/>
    <w:rsid w:val="002D5F7E"/>
    <w:rsid w:val="002D7CFF"/>
    <w:rsid w:val="002E09EC"/>
    <w:rsid w:val="002E2EAA"/>
    <w:rsid w:val="002E3995"/>
    <w:rsid w:val="002E5C2B"/>
    <w:rsid w:val="002F1D04"/>
    <w:rsid w:val="002F7214"/>
    <w:rsid w:val="00300C72"/>
    <w:rsid w:val="00301560"/>
    <w:rsid w:val="00301AA3"/>
    <w:rsid w:val="0030241F"/>
    <w:rsid w:val="00302478"/>
    <w:rsid w:val="00303749"/>
    <w:rsid w:val="00305CE4"/>
    <w:rsid w:val="00306747"/>
    <w:rsid w:val="00306EC9"/>
    <w:rsid w:val="00311100"/>
    <w:rsid w:val="0031208D"/>
    <w:rsid w:val="003133B2"/>
    <w:rsid w:val="00315E12"/>
    <w:rsid w:val="003167D9"/>
    <w:rsid w:val="00316892"/>
    <w:rsid w:val="003177D6"/>
    <w:rsid w:val="00320257"/>
    <w:rsid w:val="00320787"/>
    <w:rsid w:val="00321A11"/>
    <w:rsid w:val="003234E0"/>
    <w:rsid w:val="00324B91"/>
    <w:rsid w:val="00325D4A"/>
    <w:rsid w:val="00326F24"/>
    <w:rsid w:val="003279EB"/>
    <w:rsid w:val="0033184B"/>
    <w:rsid w:val="003339EB"/>
    <w:rsid w:val="00334CD2"/>
    <w:rsid w:val="00335AF7"/>
    <w:rsid w:val="0033620F"/>
    <w:rsid w:val="00341E9B"/>
    <w:rsid w:val="00343742"/>
    <w:rsid w:val="003442BD"/>
    <w:rsid w:val="00345A9A"/>
    <w:rsid w:val="00346E30"/>
    <w:rsid w:val="0034732A"/>
    <w:rsid w:val="00355231"/>
    <w:rsid w:val="0035709D"/>
    <w:rsid w:val="00357F7D"/>
    <w:rsid w:val="003621D2"/>
    <w:rsid w:val="003667DA"/>
    <w:rsid w:val="003670C9"/>
    <w:rsid w:val="003720A9"/>
    <w:rsid w:val="00374539"/>
    <w:rsid w:val="00374DBB"/>
    <w:rsid w:val="003771FF"/>
    <w:rsid w:val="00382845"/>
    <w:rsid w:val="00383D2E"/>
    <w:rsid w:val="00383EB5"/>
    <w:rsid w:val="00386BF7"/>
    <w:rsid w:val="00392F75"/>
    <w:rsid w:val="0039382D"/>
    <w:rsid w:val="0039433A"/>
    <w:rsid w:val="00394F05"/>
    <w:rsid w:val="003957EB"/>
    <w:rsid w:val="003A233C"/>
    <w:rsid w:val="003A689F"/>
    <w:rsid w:val="003B084E"/>
    <w:rsid w:val="003B1562"/>
    <w:rsid w:val="003B4E1D"/>
    <w:rsid w:val="003B708F"/>
    <w:rsid w:val="003C0349"/>
    <w:rsid w:val="003C0680"/>
    <w:rsid w:val="003C1E04"/>
    <w:rsid w:val="003C2D57"/>
    <w:rsid w:val="003C2EC7"/>
    <w:rsid w:val="003D1045"/>
    <w:rsid w:val="003D1BC2"/>
    <w:rsid w:val="003D35B8"/>
    <w:rsid w:val="003D41D8"/>
    <w:rsid w:val="003D473C"/>
    <w:rsid w:val="003D66EE"/>
    <w:rsid w:val="003E37FB"/>
    <w:rsid w:val="003E4DEE"/>
    <w:rsid w:val="003E5BA9"/>
    <w:rsid w:val="003E7A57"/>
    <w:rsid w:val="003F3524"/>
    <w:rsid w:val="003F476A"/>
    <w:rsid w:val="003F68CE"/>
    <w:rsid w:val="003F731C"/>
    <w:rsid w:val="00401C7A"/>
    <w:rsid w:val="004026BC"/>
    <w:rsid w:val="00403B7E"/>
    <w:rsid w:val="004046D3"/>
    <w:rsid w:val="00406625"/>
    <w:rsid w:val="004078CC"/>
    <w:rsid w:val="004105F6"/>
    <w:rsid w:val="00411600"/>
    <w:rsid w:val="00413E70"/>
    <w:rsid w:val="00420A90"/>
    <w:rsid w:val="00420E21"/>
    <w:rsid w:val="00422C9E"/>
    <w:rsid w:val="00423D5C"/>
    <w:rsid w:val="00425B03"/>
    <w:rsid w:val="00425B83"/>
    <w:rsid w:val="00434F18"/>
    <w:rsid w:val="004352AA"/>
    <w:rsid w:val="00436957"/>
    <w:rsid w:val="00442D47"/>
    <w:rsid w:val="0044434C"/>
    <w:rsid w:val="00444939"/>
    <w:rsid w:val="00451170"/>
    <w:rsid w:val="004540D2"/>
    <w:rsid w:val="00454F52"/>
    <w:rsid w:val="00457A96"/>
    <w:rsid w:val="00466A53"/>
    <w:rsid w:val="00467BF8"/>
    <w:rsid w:val="00467DE6"/>
    <w:rsid w:val="0047004A"/>
    <w:rsid w:val="0047519F"/>
    <w:rsid w:val="0047534C"/>
    <w:rsid w:val="0048166F"/>
    <w:rsid w:val="00481932"/>
    <w:rsid w:val="00481F5A"/>
    <w:rsid w:val="004828F8"/>
    <w:rsid w:val="0048364A"/>
    <w:rsid w:val="00492255"/>
    <w:rsid w:val="00492721"/>
    <w:rsid w:val="00493716"/>
    <w:rsid w:val="00495E32"/>
    <w:rsid w:val="00496F03"/>
    <w:rsid w:val="00497144"/>
    <w:rsid w:val="004A0C31"/>
    <w:rsid w:val="004A13B2"/>
    <w:rsid w:val="004A2C1B"/>
    <w:rsid w:val="004A46FE"/>
    <w:rsid w:val="004A4B4E"/>
    <w:rsid w:val="004A5029"/>
    <w:rsid w:val="004A570A"/>
    <w:rsid w:val="004B4DC0"/>
    <w:rsid w:val="004B7073"/>
    <w:rsid w:val="004B78EA"/>
    <w:rsid w:val="004C045D"/>
    <w:rsid w:val="004C20E4"/>
    <w:rsid w:val="004C4E2B"/>
    <w:rsid w:val="004C5217"/>
    <w:rsid w:val="004D26E4"/>
    <w:rsid w:val="004D50C7"/>
    <w:rsid w:val="004D561C"/>
    <w:rsid w:val="004D6A25"/>
    <w:rsid w:val="004D7D16"/>
    <w:rsid w:val="004E0C0E"/>
    <w:rsid w:val="004E4474"/>
    <w:rsid w:val="004F10F2"/>
    <w:rsid w:val="004F219C"/>
    <w:rsid w:val="004F3F16"/>
    <w:rsid w:val="004F42ED"/>
    <w:rsid w:val="004F52AA"/>
    <w:rsid w:val="004F59A7"/>
    <w:rsid w:val="004F5A3F"/>
    <w:rsid w:val="004F5FE1"/>
    <w:rsid w:val="004F6C06"/>
    <w:rsid w:val="004F6EA3"/>
    <w:rsid w:val="005025DD"/>
    <w:rsid w:val="00506AAF"/>
    <w:rsid w:val="005103BA"/>
    <w:rsid w:val="005108CA"/>
    <w:rsid w:val="0051105A"/>
    <w:rsid w:val="00511AEC"/>
    <w:rsid w:val="00511C9C"/>
    <w:rsid w:val="00513206"/>
    <w:rsid w:val="00513534"/>
    <w:rsid w:val="00513B2E"/>
    <w:rsid w:val="0052193B"/>
    <w:rsid w:val="00523130"/>
    <w:rsid w:val="00530703"/>
    <w:rsid w:val="005316BA"/>
    <w:rsid w:val="005321C9"/>
    <w:rsid w:val="005329BB"/>
    <w:rsid w:val="0053529A"/>
    <w:rsid w:val="005354F6"/>
    <w:rsid w:val="00540D33"/>
    <w:rsid w:val="00541335"/>
    <w:rsid w:val="005413C1"/>
    <w:rsid w:val="0054162F"/>
    <w:rsid w:val="005416F5"/>
    <w:rsid w:val="00543745"/>
    <w:rsid w:val="0054469E"/>
    <w:rsid w:val="00547348"/>
    <w:rsid w:val="005476D3"/>
    <w:rsid w:val="00550923"/>
    <w:rsid w:val="0056058E"/>
    <w:rsid w:val="00561DA2"/>
    <w:rsid w:val="0056329C"/>
    <w:rsid w:val="0057194D"/>
    <w:rsid w:val="005726E6"/>
    <w:rsid w:val="00580293"/>
    <w:rsid w:val="005812A2"/>
    <w:rsid w:val="00593874"/>
    <w:rsid w:val="005A32A5"/>
    <w:rsid w:val="005A4FCD"/>
    <w:rsid w:val="005A7C1A"/>
    <w:rsid w:val="005B01F1"/>
    <w:rsid w:val="005B105B"/>
    <w:rsid w:val="005B41E0"/>
    <w:rsid w:val="005B4352"/>
    <w:rsid w:val="005B5832"/>
    <w:rsid w:val="005B7325"/>
    <w:rsid w:val="005C022F"/>
    <w:rsid w:val="005C086E"/>
    <w:rsid w:val="005C7C6A"/>
    <w:rsid w:val="005D0AF8"/>
    <w:rsid w:val="005D3C03"/>
    <w:rsid w:val="005D3C4C"/>
    <w:rsid w:val="005D49DB"/>
    <w:rsid w:val="005D72CD"/>
    <w:rsid w:val="005F43FE"/>
    <w:rsid w:val="005F5190"/>
    <w:rsid w:val="005F5F79"/>
    <w:rsid w:val="005F7AF1"/>
    <w:rsid w:val="0060227E"/>
    <w:rsid w:val="006110E3"/>
    <w:rsid w:val="006112A5"/>
    <w:rsid w:val="00615803"/>
    <w:rsid w:val="00630A4D"/>
    <w:rsid w:val="006322DC"/>
    <w:rsid w:val="006325AB"/>
    <w:rsid w:val="006343F2"/>
    <w:rsid w:val="00635559"/>
    <w:rsid w:val="006366D5"/>
    <w:rsid w:val="00641FFD"/>
    <w:rsid w:val="0064307D"/>
    <w:rsid w:val="00643DC9"/>
    <w:rsid w:val="006520B9"/>
    <w:rsid w:val="00655FE3"/>
    <w:rsid w:val="00660434"/>
    <w:rsid w:val="006629BA"/>
    <w:rsid w:val="00665AC2"/>
    <w:rsid w:val="00670836"/>
    <w:rsid w:val="00670F84"/>
    <w:rsid w:val="0067239D"/>
    <w:rsid w:val="00672D7D"/>
    <w:rsid w:val="00674DCD"/>
    <w:rsid w:val="00677679"/>
    <w:rsid w:val="00677889"/>
    <w:rsid w:val="00677FA2"/>
    <w:rsid w:val="006812B9"/>
    <w:rsid w:val="006813F5"/>
    <w:rsid w:val="0068770E"/>
    <w:rsid w:val="006919D5"/>
    <w:rsid w:val="00691FB5"/>
    <w:rsid w:val="00692346"/>
    <w:rsid w:val="006928D6"/>
    <w:rsid w:val="006960A1"/>
    <w:rsid w:val="006A3BB0"/>
    <w:rsid w:val="006A51C0"/>
    <w:rsid w:val="006B0310"/>
    <w:rsid w:val="006B0F88"/>
    <w:rsid w:val="006B15E4"/>
    <w:rsid w:val="006B3B93"/>
    <w:rsid w:val="006B65B2"/>
    <w:rsid w:val="006B7623"/>
    <w:rsid w:val="006C3984"/>
    <w:rsid w:val="006C5EE8"/>
    <w:rsid w:val="006D3CD5"/>
    <w:rsid w:val="006D7210"/>
    <w:rsid w:val="006D7DD4"/>
    <w:rsid w:val="006E49AC"/>
    <w:rsid w:val="006E4CBE"/>
    <w:rsid w:val="006E54AE"/>
    <w:rsid w:val="006F183E"/>
    <w:rsid w:val="006F381B"/>
    <w:rsid w:val="006F4CBA"/>
    <w:rsid w:val="006F7226"/>
    <w:rsid w:val="0070141D"/>
    <w:rsid w:val="007048C0"/>
    <w:rsid w:val="00711D20"/>
    <w:rsid w:val="007130E4"/>
    <w:rsid w:val="0071382C"/>
    <w:rsid w:val="00713F39"/>
    <w:rsid w:val="0071449A"/>
    <w:rsid w:val="007175D6"/>
    <w:rsid w:val="00720237"/>
    <w:rsid w:val="007210D8"/>
    <w:rsid w:val="00721F24"/>
    <w:rsid w:val="007221C1"/>
    <w:rsid w:val="00723360"/>
    <w:rsid w:val="00723596"/>
    <w:rsid w:val="00723956"/>
    <w:rsid w:val="00725A54"/>
    <w:rsid w:val="007306C4"/>
    <w:rsid w:val="00735206"/>
    <w:rsid w:val="007376E2"/>
    <w:rsid w:val="007406AF"/>
    <w:rsid w:val="0074130E"/>
    <w:rsid w:val="0075040F"/>
    <w:rsid w:val="00753064"/>
    <w:rsid w:val="007530AD"/>
    <w:rsid w:val="007560FB"/>
    <w:rsid w:val="00756D4D"/>
    <w:rsid w:val="0075773A"/>
    <w:rsid w:val="0075785A"/>
    <w:rsid w:val="00760FC6"/>
    <w:rsid w:val="00761EE4"/>
    <w:rsid w:val="0076280D"/>
    <w:rsid w:val="00764C7E"/>
    <w:rsid w:val="007664D6"/>
    <w:rsid w:val="00766E33"/>
    <w:rsid w:val="00767F03"/>
    <w:rsid w:val="00771824"/>
    <w:rsid w:val="00775057"/>
    <w:rsid w:val="007758BA"/>
    <w:rsid w:val="007765D1"/>
    <w:rsid w:val="00777EF5"/>
    <w:rsid w:val="00781F7B"/>
    <w:rsid w:val="00784608"/>
    <w:rsid w:val="00787118"/>
    <w:rsid w:val="00787BFB"/>
    <w:rsid w:val="0079254D"/>
    <w:rsid w:val="00792ECC"/>
    <w:rsid w:val="007954A4"/>
    <w:rsid w:val="00795D30"/>
    <w:rsid w:val="00797977"/>
    <w:rsid w:val="007A1589"/>
    <w:rsid w:val="007A227A"/>
    <w:rsid w:val="007A4755"/>
    <w:rsid w:val="007B356A"/>
    <w:rsid w:val="007B4BB0"/>
    <w:rsid w:val="007B61E5"/>
    <w:rsid w:val="007C0F35"/>
    <w:rsid w:val="007C13E0"/>
    <w:rsid w:val="007C3EA6"/>
    <w:rsid w:val="007C55D2"/>
    <w:rsid w:val="007C60CB"/>
    <w:rsid w:val="007C6452"/>
    <w:rsid w:val="007D0956"/>
    <w:rsid w:val="007D112D"/>
    <w:rsid w:val="007D234A"/>
    <w:rsid w:val="007E0D57"/>
    <w:rsid w:val="007E4929"/>
    <w:rsid w:val="007E4FE2"/>
    <w:rsid w:val="007E5B6A"/>
    <w:rsid w:val="007F2DC5"/>
    <w:rsid w:val="007F33D9"/>
    <w:rsid w:val="007F3EF0"/>
    <w:rsid w:val="007F64CC"/>
    <w:rsid w:val="007F713D"/>
    <w:rsid w:val="007F7C78"/>
    <w:rsid w:val="00800B90"/>
    <w:rsid w:val="00801D0D"/>
    <w:rsid w:val="00804D04"/>
    <w:rsid w:val="00805D03"/>
    <w:rsid w:val="008103E9"/>
    <w:rsid w:val="00820788"/>
    <w:rsid w:val="00822187"/>
    <w:rsid w:val="00823F55"/>
    <w:rsid w:val="00823FCB"/>
    <w:rsid w:val="00825F47"/>
    <w:rsid w:val="00832027"/>
    <w:rsid w:val="0083262F"/>
    <w:rsid w:val="00832CF2"/>
    <w:rsid w:val="008333AD"/>
    <w:rsid w:val="00833ED8"/>
    <w:rsid w:val="00834712"/>
    <w:rsid w:val="0084085B"/>
    <w:rsid w:val="00844B4B"/>
    <w:rsid w:val="00846027"/>
    <w:rsid w:val="0084709B"/>
    <w:rsid w:val="00850BC3"/>
    <w:rsid w:val="00860168"/>
    <w:rsid w:val="00864F1A"/>
    <w:rsid w:val="00876345"/>
    <w:rsid w:val="00880F75"/>
    <w:rsid w:val="00886436"/>
    <w:rsid w:val="008909BF"/>
    <w:rsid w:val="00890DF9"/>
    <w:rsid w:val="008967F5"/>
    <w:rsid w:val="00896E43"/>
    <w:rsid w:val="00897029"/>
    <w:rsid w:val="008A11B5"/>
    <w:rsid w:val="008A49AC"/>
    <w:rsid w:val="008A49F2"/>
    <w:rsid w:val="008A50C4"/>
    <w:rsid w:val="008A78F7"/>
    <w:rsid w:val="008B2B9B"/>
    <w:rsid w:val="008B3C33"/>
    <w:rsid w:val="008B3C8C"/>
    <w:rsid w:val="008B7312"/>
    <w:rsid w:val="008C0FE1"/>
    <w:rsid w:val="008C1951"/>
    <w:rsid w:val="008C322A"/>
    <w:rsid w:val="008C7B37"/>
    <w:rsid w:val="008D3773"/>
    <w:rsid w:val="008D5E6D"/>
    <w:rsid w:val="008D6387"/>
    <w:rsid w:val="008D6A02"/>
    <w:rsid w:val="008D7AF8"/>
    <w:rsid w:val="008D7E07"/>
    <w:rsid w:val="008E0CC0"/>
    <w:rsid w:val="008E11FB"/>
    <w:rsid w:val="008E1E9D"/>
    <w:rsid w:val="008E6670"/>
    <w:rsid w:val="008F343B"/>
    <w:rsid w:val="008F46CA"/>
    <w:rsid w:val="008F5432"/>
    <w:rsid w:val="008F6997"/>
    <w:rsid w:val="008F7451"/>
    <w:rsid w:val="009023BB"/>
    <w:rsid w:val="00905450"/>
    <w:rsid w:val="009065C4"/>
    <w:rsid w:val="0091519B"/>
    <w:rsid w:val="00920AD2"/>
    <w:rsid w:val="00920EF9"/>
    <w:rsid w:val="0092161D"/>
    <w:rsid w:val="00925140"/>
    <w:rsid w:val="0092627B"/>
    <w:rsid w:val="0093262C"/>
    <w:rsid w:val="009357C2"/>
    <w:rsid w:val="0094029D"/>
    <w:rsid w:val="009404AC"/>
    <w:rsid w:val="009418A4"/>
    <w:rsid w:val="00941AE0"/>
    <w:rsid w:val="00944CB7"/>
    <w:rsid w:val="0094628D"/>
    <w:rsid w:val="009471BB"/>
    <w:rsid w:val="00947F21"/>
    <w:rsid w:val="009526A6"/>
    <w:rsid w:val="009550B4"/>
    <w:rsid w:val="00955481"/>
    <w:rsid w:val="00956ACE"/>
    <w:rsid w:val="0096501B"/>
    <w:rsid w:val="009664FD"/>
    <w:rsid w:val="00967BB3"/>
    <w:rsid w:val="009708D2"/>
    <w:rsid w:val="009739FB"/>
    <w:rsid w:val="00974793"/>
    <w:rsid w:val="00980ED9"/>
    <w:rsid w:val="0098222B"/>
    <w:rsid w:val="00983199"/>
    <w:rsid w:val="009854A1"/>
    <w:rsid w:val="009862BA"/>
    <w:rsid w:val="009877AF"/>
    <w:rsid w:val="009907FF"/>
    <w:rsid w:val="00990E44"/>
    <w:rsid w:val="0099227E"/>
    <w:rsid w:val="00992F55"/>
    <w:rsid w:val="00993ECE"/>
    <w:rsid w:val="009955ED"/>
    <w:rsid w:val="009A1198"/>
    <w:rsid w:val="009A4201"/>
    <w:rsid w:val="009A5B37"/>
    <w:rsid w:val="009B0999"/>
    <w:rsid w:val="009B0F2F"/>
    <w:rsid w:val="009B3258"/>
    <w:rsid w:val="009B4A6D"/>
    <w:rsid w:val="009B5C45"/>
    <w:rsid w:val="009B696C"/>
    <w:rsid w:val="009C1B27"/>
    <w:rsid w:val="009C2448"/>
    <w:rsid w:val="009C3A39"/>
    <w:rsid w:val="009D531B"/>
    <w:rsid w:val="009E1573"/>
    <w:rsid w:val="009E503E"/>
    <w:rsid w:val="009E504B"/>
    <w:rsid w:val="009E5496"/>
    <w:rsid w:val="009F218E"/>
    <w:rsid w:val="009F4B44"/>
    <w:rsid w:val="009F4DFE"/>
    <w:rsid w:val="00A005BE"/>
    <w:rsid w:val="00A009DD"/>
    <w:rsid w:val="00A02B9C"/>
    <w:rsid w:val="00A03524"/>
    <w:rsid w:val="00A05321"/>
    <w:rsid w:val="00A058BF"/>
    <w:rsid w:val="00A063D6"/>
    <w:rsid w:val="00A06A55"/>
    <w:rsid w:val="00A077E2"/>
    <w:rsid w:val="00A07ACD"/>
    <w:rsid w:val="00A11E3D"/>
    <w:rsid w:val="00A153BB"/>
    <w:rsid w:val="00A15927"/>
    <w:rsid w:val="00A20216"/>
    <w:rsid w:val="00A22D8B"/>
    <w:rsid w:val="00A24987"/>
    <w:rsid w:val="00A25492"/>
    <w:rsid w:val="00A30E22"/>
    <w:rsid w:val="00A31464"/>
    <w:rsid w:val="00A316F4"/>
    <w:rsid w:val="00A31801"/>
    <w:rsid w:val="00A31D06"/>
    <w:rsid w:val="00A409DD"/>
    <w:rsid w:val="00A41F45"/>
    <w:rsid w:val="00A458BE"/>
    <w:rsid w:val="00A47332"/>
    <w:rsid w:val="00A47BC9"/>
    <w:rsid w:val="00A50008"/>
    <w:rsid w:val="00A50384"/>
    <w:rsid w:val="00A537A5"/>
    <w:rsid w:val="00A54AD5"/>
    <w:rsid w:val="00A573E1"/>
    <w:rsid w:val="00A57B85"/>
    <w:rsid w:val="00A6002A"/>
    <w:rsid w:val="00A65231"/>
    <w:rsid w:val="00A66AD1"/>
    <w:rsid w:val="00A70E14"/>
    <w:rsid w:val="00A749FC"/>
    <w:rsid w:val="00A816C4"/>
    <w:rsid w:val="00A824B6"/>
    <w:rsid w:val="00A83F37"/>
    <w:rsid w:val="00A842D1"/>
    <w:rsid w:val="00A84FF5"/>
    <w:rsid w:val="00A85836"/>
    <w:rsid w:val="00A85C6D"/>
    <w:rsid w:val="00A91A6D"/>
    <w:rsid w:val="00A92AAD"/>
    <w:rsid w:val="00AA2BB9"/>
    <w:rsid w:val="00AA3656"/>
    <w:rsid w:val="00AA7539"/>
    <w:rsid w:val="00AA75B2"/>
    <w:rsid w:val="00AB1B0C"/>
    <w:rsid w:val="00AC11A2"/>
    <w:rsid w:val="00AC1C3F"/>
    <w:rsid w:val="00AC4BCE"/>
    <w:rsid w:val="00AC4D15"/>
    <w:rsid w:val="00AC547F"/>
    <w:rsid w:val="00AD51F3"/>
    <w:rsid w:val="00AE17A1"/>
    <w:rsid w:val="00AE4EC7"/>
    <w:rsid w:val="00AF079F"/>
    <w:rsid w:val="00AF5643"/>
    <w:rsid w:val="00B02658"/>
    <w:rsid w:val="00B02B13"/>
    <w:rsid w:val="00B10408"/>
    <w:rsid w:val="00B115C8"/>
    <w:rsid w:val="00B129C3"/>
    <w:rsid w:val="00B16B95"/>
    <w:rsid w:val="00B17782"/>
    <w:rsid w:val="00B2154A"/>
    <w:rsid w:val="00B302D1"/>
    <w:rsid w:val="00B3167B"/>
    <w:rsid w:val="00B33333"/>
    <w:rsid w:val="00B33817"/>
    <w:rsid w:val="00B3527F"/>
    <w:rsid w:val="00B356F9"/>
    <w:rsid w:val="00B35733"/>
    <w:rsid w:val="00B41B4C"/>
    <w:rsid w:val="00B46564"/>
    <w:rsid w:val="00B46C30"/>
    <w:rsid w:val="00B46E5E"/>
    <w:rsid w:val="00B50BC4"/>
    <w:rsid w:val="00B50D45"/>
    <w:rsid w:val="00B53AE0"/>
    <w:rsid w:val="00B562B9"/>
    <w:rsid w:val="00B56A67"/>
    <w:rsid w:val="00B57DAE"/>
    <w:rsid w:val="00B611A5"/>
    <w:rsid w:val="00B6165F"/>
    <w:rsid w:val="00B6606B"/>
    <w:rsid w:val="00B7173C"/>
    <w:rsid w:val="00B7269B"/>
    <w:rsid w:val="00B72750"/>
    <w:rsid w:val="00B746F7"/>
    <w:rsid w:val="00B74F00"/>
    <w:rsid w:val="00B75021"/>
    <w:rsid w:val="00B81C27"/>
    <w:rsid w:val="00B87180"/>
    <w:rsid w:val="00B8752D"/>
    <w:rsid w:val="00B90940"/>
    <w:rsid w:val="00B93DCF"/>
    <w:rsid w:val="00B9439C"/>
    <w:rsid w:val="00B945FD"/>
    <w:rsid w:val="00B948DA"/>
    <w:rsid w:val="00B968C4"/>
    <w:rsid w:val="00BA309D"/>
    <w:rsid w:val="00BA60B3"/>
    <w:rsid w:val="00BA6E87"/>
    <w:rsid w:val="00BB0057"/>
    <w:rsid w:val="00BB0BBE"/>
    <w:rsid w:val="00BB0FB4"/>
    <w:rsid w:val="00BB109C"/>
    <w:rsid w:val="00BB1AFA"/>
    <w:rsid w:val="00BB32A8"/>
    <w:rsid w:val="00BB412B"/>
    <w:rsid w:val="00BB5077"/>
    <w:rsid w:val="00BB5226"/>
    <w:rsid w:val="00BC1D52"/>
    <w:rsid w:val="00BC4A4A"/>
    <w:rsid w:val="00BC6AEB"/>
    <w:rsid w:val="00BC7ACF"/>
    <w:rsid w:val="00BE0942"/>
    <w:rsid w:val="00BE0FCE"/>
    <w:rsid w:val="00BE3BDB"/>
    <w:rsid w:val="00BE435A"/>
    <w:rsid w:val="00BE51D7"/>
    <w:rsid w:val="00BE53B1"/>
    <w:rsid w:val="00BE5F7E"/>
    <w:rsid w:val="00BE7827"/>
    <w:rsid w:val="00BF0C2C"/>
    <w:rsid w:val="00C00DBA"/>
    <w:rsid w:val="00C03FD0"/>
    <w:rsid w:val="00C07F0D"/>
    <w:rsid w:val="00C10451"/>
    <w:rsid w:val="00C11BBD"/>
    <w:rsid w:val="00C11D84"/>
    <w:rsid w:val="00C15A8A"/>
    <w:rsid w:val="00C1704C"/>
    <w:rsid w:val="00C172D7"/>
    <w:rsid w:val="00C2094A"/>
    <w:rsid w:val="00C215CA"/>
    <w:rsid w:val="00C23395"/>
    <w:rsid w:val="00C248BF"/>
    <w:rsid w:val="00C30574"/>
    <w:rsid w:val="00C33470"/>
    <w:rsid w:val="00C339DC"/>
    <w:rsid w:val="00C36202"/>
    <w:rsid w:val="00C367B5"/>
    <w:rsid w:val="00C36879"/>
    <w:rsid w:val="00C3796D"/>
    <w:rsid w:val="00C40D1E"/>
    <w:rsid w:val="00C41F32"/>
    <w:rsid w:val="00C43651"/>
    <w:rsid w:val="00C47280"/>
    <w:rsid w:val="00C50A3B"/>
    <w:rsid w:val="00C51FEF"/>
    <w:rsid w:val="00C52469"/>
    <w:rsid w:val="00C52CED"/>
    <w:rsid w:val="00C62DCE"/>
    <w:rsid w:val="00C65367"/>
    <w:rsid w:val="00C6576B"/>
    <w:rsid w:val="00C6589A"/>
    <w:rsid w:val="00C65A72"/>
    <w:rsid w:val="00C6738C"/>
    <w:rsid w:val="00C67903"/>
    <w:rsid w:val="00C701E0"/>
    <w:rsid w:val="00C70536"/>
    <w:rsid w:val="00C71C95"/>
    <w:rsid w:val="00C73166"/>
    <w:rsid w:val="00C800E4"/>
    <w:rsid w:val="00C80830"/>
    <w:rsid w:val="00C80DB9"/>
    <w:rsid w:val="00C83956"/>
    <w:rsid w:val="00C85203"/>
    <w:rsid w:val="00C870BC"/>
    <w:rsid w:val="00C9081D"/>
    <w:rsid w:val="00C91E6D"/>
    <w:rsid w:val="00C9465B"/>
    <w:rsid w:val="00CA0EF7"/>
    <w:rsid w:val="00CA5628"/>
    <w:rsid w:val="00CA5F9E"/>
    <w:rsid w:val="00CA7A74"/>
    <w:rsid w:val="00CB2E2D"/>
    <w:rsid w:val="00CB5AC3"/>
    <w:rsid w:val="00CB7335"/>
    <w:rsid w:val="00CB7FBC"/>
    <w:rsid w:val="00CC2EF4"/>
    <w:rsid w:val="00CD29AD"/>
    <w:rsid w:val="00CD2B78"/>
    <w:rsid w:val="00CD31AA"/>
    <w:rsid w:val="00CD7057"/>
    <w:rsid w:val="00CE1049"/>
    <w:rsid w:val="00CE3C25"/>
    <w:rsid w:val="00CE3D13"/>
    <w:rsid w:val="00CE743D"/>
    <w:rsid w:val="00CF185A"/>
    <w:rsid w:val="00CF70EF"/>
    <w:rsid w:val="00CF76D4"/>
    <w:rsid w:val="00D006A3"/>
    <w:rsid w:val="00D0096F"/>
    <w:rsid w:val="00D012A7"/>
    <w:rsid w:val="00D01B98"/>
    <w:rsid w:val="00D02C38"/>
    <w:rsid w:val="00D054C5"/>
    <w:rsid w:val="00D079E5"/>
    <w:rsid w:val="00D119E7"/>
    <w:rsid w:val="00D12D92"/>
    <w:rsid w:val="00D14B70"/>
    <w:rsid w:val="00D16E5B"/>
    <w:rsid w:val="00D24A94"/>
    <w:rsid w:val="00D2725B"/>
    <w:rsid w:val="00D30D3D"/>
    <w:rsid w:val="00D30DF2"/>
    <w:rsid w:val="00D3135E"/>
    <w:rsid w:val="00D36610"/>
    <w:rsid w:val="00D36671"/>
    <w:rsid w:val="00D37815"/>
    <w:rsid w:val="00D438F9"/>
    <w:rsid w:val="00D4448F"/>
    <w:rsid w:val="00D452C9"/>
    <w:rsid w:val="00D52FA5"/>
    <w:rsid w:val="00D5677A"/>
    <w:rsid w:val="00D568D3"/>
    <w:rsid w:val="00D569E0"/>
    <w:rsid w:val="00D61A08"/>
    <w:rsid w:val="00D61A7E"/>
    <w:rsid w:val="00D63ABD"/>
    <w:rsid w:val="00D6674A"/>
    <w:rsid w:val="00D75C0C"/>
    <w:rsid w:val="00D76C0D"/>
    <w:rsid w:val="00D80069"/>
    <w:rsid w:val="00D80FB0"/>
    <w:rsid w:val="00D832BA"/>
    <w:rsid w:val="00D85E1C"/>
    <w:rsid w:val="00D864CE"/>
    <w:rsid w:val="00D8705F"/>
    <w:rsid w:val="00D948C9"/>
    <w:rsid w:val="00D94C42"/>
    <w:rsid w:val="00D94E80"/>
    <w:rsid w:val="00D96C87"/>
    <w:rsid w:val="00D974E5"/>
    <w:rsid w:val="00D978D7"/>
    <w:rsid w:val="00DA07A4"/>
    <w:rsid w:val="00DA11B4"/>
    <w:rsid w:val="00DA1E1D"/>
    <w:rsid w:val="00DA1E38"/>
    <w:rsid w:val="00DA2F38"/>
    <w:rsid w:val="00DA3578"/>
    <w:rsid w:val="00DB1021"/>
    <w:rsid w:val="00DB17F7"/>
    <w:rsid w:val="00DB29A9"/>
    <w:rsid w:val="00DB6887"/>
    <w:rsid w:val="00DB6A8C"/>
    <w:rsid w:val="00DC0E87"/>
    <w:rsid w:val="00DC180E"/>
    <w:rsid w:val="00DD0113"/>
    <w:rsid w:val="00DD22E5"/>
    <w:rsid w:val="00DD39CF"/>
    <w:rsid w:val="00DD4690"/>
    <w:rsid w:val="00DD5356"/>
    <w:rsid w:val="00DD6BF2"/>
    <w:rsid w:val="00DD79C9"/>
    <w:rsid w:val="00DE4211"/>
    <w:rsid w:val="00DE479D"/>
    <w:rsid w:val="00DE61DE"/>
    <w:rsid w:val="00DE7AB5"/>
    <w:rsid w:val="00DF028F"/>
    <w:rsid w:val="00DF4793"/>
    <w:rsid w:val="00DF4BC2"/>
    <w:rsid w:val="00E02909"/>
    <w:rsid w:val="00E0488B"/>
    <w:rsid w:val="00E05BC6"/>
    <w:rsid w:val="00E1288C"/>
    <w:rsid w:val="00E13963"/>
    <w:rsid w:val="00E14AA8"/>
    <w:rsid w:val="00E16A46"/>
    <w:rsid w:val="00E21F01"/>
    <w:rsid w:val="00E22EF9"/>
    <w:rsid w:val="00E2498C"/>
    <w:rsid w:val="00E272AA"/>
    <w:rsid w:val="00E311E5"/>
    <w:rsid w:val="00E361FE"/>
    <w:rsid w:val="00E40A3A"/>
    <w:rsid w:val="00E46254"/>
    <w:rsid w:val="00E46F12"/>
    <w:rsid w:val="00E475D4"/>
    <w:rsid w:val="00E500E5"/>
    <w:rsid w:val="00E50CDF"/>
    <w:rsid w:val="00E514FF"/>
    <w:rsid w:val="00E628BB"/>
    <w:rsid w:val="00E6668B"/>
    <w:rsid w:val="00E70256"/>
    <w:rsid w:val="00E72959"/>
    <w:rsid w:val="00E77D09"/>
    <w:rsid w:val="00E815D2"/>
    <w:rsid w:val="00E91373"/>
    <w:rsid w:val="00E921A2"/>
    <w:rsid w:val="00E92C77"/>
    <w:rsid w:val="00E93178"/>
    <w:rsid w:val="00E935AF"/>
    <w:rsid w:val="00E9391F"/>
    <w:rsid w:val="00EA00B2"/>
    <w:rsid w:val="00EA02AD"/>
    <w:rsid w:val="00EA07EF"/>
    <w:rsid w:val="00EA0EA5"/>
    <w:rsid w:val="00EA22ED"/>
    <w:rsid w:val="00EA597F"/>
    <w:rsid w:val="00EA5EAE"/>
    <w:rsid w:val="00EB187E"/>
    <w:rsid w:val="00EB6DD5"/>
    <w:rsid w:val="00EC1D06"/>
    <w:rsid w:val="00EC2360"/>
    <w:rsid w:val="00EC2E2A"/>
    <w:rsid w:val="00EC2F08"/>
    <w:rsid w:val="00EC3E8C"/>
    <w:rsid w:val="00EC48DA"/>
    <w:rsid w:val="00EC4937"/>
    <w:rsid w:val="00EC7A24"/>
    <w:rsid w:val="00ED043B"/>
    <w:rsid w:val="00ED0CDE"/>
    <w:rsid w:val="00ED0DF5"/>
    <w:rsid w:val="00ED15F5"/>
    <w:rsid w:val="00ED1EEA"/>
    <w:rsid w:val="00ED2303"/>
    <w:rsid w:val="00ED3263"/>
    <w:rsid w:val="00ED3623"/>
    <w:rsid w:val="00ED47F1"/>
    <w:rsid w:val="00ED56C0"/>
    <w:rsid w:val="00ED64AF"/>
    <w:rsid w:val="00EE45AF"/>
    <w:rsid w:val="00EF08D2"/>
    <w:rsid w:val="00EF1CC3"/>
    <w:rsid w:val="00EF2A41"/>
    <w:rsid w:val="00EF74CE"/>
    <w:rsid w:val="00F05496"/>
    <w:rsid w:val="00F11CDC"/>
    <w:rsid w:val="00F16EA3"/>
    <w:rsid w:val="00F17E8E"/>
    <w:rsid w:val="00F2124D"/>
    <w:rsid w:val="00F227E5"/>
    <w:rsid w:val="00F31721"/>
    <w:rsid w:val="00F40773"/>
    <w:rsid w:val="00F40CF3"/>
    <w:rsid w:val="00F4121F"/>
    <w:rsid w:val="00F41D80"/>
    <w:rsid w:val="00F46B03"/>
    <w:rsid w:val="00F46D4C"/>
    <w:rsid w:val="00F526DC"/>
    <w:rsid w:val="00F52FAC"/>
    <w:rsid w:val="00F541B0"/>
    <w:rsid w:val="00F5613B"/>
    <w:rsid w:val="00F578CF"/>
    <w:rsid w:val="00F621F8"/>
    <w:rsid w:val="00F635A2"/>
    <w:rsid w:val="00F64D3E"/>
    <w:rsid w:val="00F65A5D"/>
    <w:rsid w:val="00F66749"/>
    <w:rsid w:val="00F67E9B"/>
    <w:rsid w:val="00F7000F"/>
    <w:rsid w:val="00F7526C"/>
    <w:rsid w:val="00F82296"/>
    <w:rsid w:val="00F83E95"/>
    <w:rsid w:val="00F859D1"/>
    <w:rsid w:val="00F865F9"/>
    <w:rsid w:val="00F87DC3"/>
    <w:rsid w:val="00F914F6"/>
    <w:rsid w:val="00F91E7B"/>
    <w:rsid w:val="00F93167"/>
    <w:rsid w:val="00FA2449"/>
    <w:rsid w:val="00FA2FDF"/>
    <w:rsid w:val="00FA32FC"/>
    <w:rsid w:val="00FA7217"/>
    <w:rsid w:val="00FB0DC1"/>
    <w:rsid w:val="00FB4267"/>
    <w:rsid w:val="00FC059C"/>
    <w:rsid w:val="00FC1E0F"/>
    <w:rsid w:val="00FC6138"/>
    <w:rsid w:val="00FC7175"/>
    <w:rsid w:val="00FC7C3E"/>
    <w:rsid w:val="00FD04DE"/>
    <w:rsid w:val="00FD1E21"/>
    <w:rsid w:val="00FD2397"/>
    <w:rsid w:val="00FD3855"/>
    <w:rsid w:val="00FD6B01"/>
    <w:rsid w:val="00FD7F91"/>
    <w:rsid w:val="00FE0DAB"/>
    <w:rsid w:val="00FE0EF7"/>
    <w:rsid w:val="00FE4A53"/>
    <w:rsid w:val="00FE4F6B"/>
    <w:rsid w:val="00FE5DDD"/>
    <w:rsid w:val="00FE5FC0"/>
    <w:rsid w:val="00FF2005"/>
    <w:rsid w:val="00FF5F00"/>
    <w:rsid w:val="00FF6DDC"/>
    <w:rsid w:val="00FF71F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BE15F"/>
  <w15:docId w15:val="{67134E63-5902-4620-BDA9-881AB1D9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4A"/>
  </w:style>
  <w:style w:type="paragraph" w:styleId="Nagwek1">
    <w:name w:val="heading 1"/>
    <w:basedOn w:val="Normalny"/>
    <w:next w:val="Normalny"/>
    <w:link w:val="Nagwek1Znak"/>
    <w:uiPriority w:val="9"/>
    <w:qFormat/>
    <w:rsid w:val="00920AD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E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E5"/>
  </w:style>
  <w:style w:type="paragraph" w:styleId="Stopka">
    <w:name w:val="footer"/>
    <w:basedOn w:val="Normalny"/>
    <w:link w:val="Stopka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E5"/>
  </w:style>
  <w:style w:type="paragraph" w:styleId="Tekstdymka">
    <w:name w:val="Balloon Text"/>
    <w:basedOn w:val="Normalny"/>
    <w:link w:val="TekstdymkaZnak"/>
    <w:uiPriority w:val="99"/>
    <w:semiHidden/>
    <w:unhideWhenUsed/>
    <w:rsid w:val="00D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7BF8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1E6C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3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9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0EF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4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4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4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A721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2D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31689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316892"/>
  </w:style>
  <w:style w:type="character" w:styleId="Pogrubienie">
    <w:name w:val="Strong"/>
    <w:basedOn w:val="Domylnaczcionkaakapitu"/>
    <w:uiPriority w:val="22"/>
    <w:qFormat/>
    <w:rsid w:val="00FF71F9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9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4F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0AD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rsid w:val="00920A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7A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7A4"/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table" w:customStyle="1" w:styleId="Zwykatabela51">
    <w:name w:val="Zwykła tabela 51"/>
    <w:basedOn w:val="Standardowy"/>
    <w:uiPriority w:val="45"/>
    <w:rsid w:val="00DA07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0">
    <w:name w:val="Default"/>
    <w:link w:val="DefaultZnak"/>
    <w:rsid w:val="00897029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E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nakZnak">
    <w:name w:val="Znak Znak"/>
    <w:basedOn w:val="Normalny"/>
    <w:uiPriority w:val="99"/>
    <w:rsid w:val="00290EF5"/>
    <w:pPr>
      <w:tabs>
        <w:tab w:val="left" w:pos="5040"/>
      </w:tabs>
      <w:spacing w:after="0" w:line="360" w:lineRule="auto"/>
      <w:jc w:val="both"/>
    </w:pPr>
    <w:rPr>
      <w:rFonts w:ascii="Verdana" w:eastAsia="Arial" w:hAnsi="Verdana" w:cs="Times New Roman"/>
      <w:sz w:val="20"/>
      <w:szCs w:val="20"/>
    </w:rPr>
  </w:style>
  <w:style w:type="character" w:customStyle="1" w:styleId="DefaultZnak">
    <w:name w:val="Default Znak"/>
    <w:link w:val="Default0"/>
    <w:rsid w:val="00290EF5"/>
    <w:rPr>
      <w:rFonts w:ascii="Tahoma" w:eastAsia="Times New Roman" w:hAnsi="Tahoma" w:cs="Tahoma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F33F-98FD-4D1F-8B51-A26755EC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8049</Words>
  <Characters>48298</Characters>
  <Application>Microsoft Office Word</Application>
  <DocSecurity>0</DocSecurity>
  <Lines>402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PANPLAN</dc:creator>
  <cp:lastModifiedBy>Klus Szymon</cp:lastModifiedBy>
  <cp:revision>12</cp:revision>
  <cp:lastPrinted>2018-10-25T08:34:00Z</cp:lastPrinted>
  <dcterms:created xsi:type="dcterms:W3CDTF">2024-01-04T14:02:00Z</dcterms:created>
  <dcterms:modified xsi:type="dcterms:W3CDTF">2024-01-22T10:50:00Z</dcterms:modified>
</cp:coreProperties>
</file>