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A135" w14:textId="31AD03E5" w:rsidR="00300C6B" w:rsidRPr="005C073F" w:rsidRDefault="00000000" w:rsidP="005C073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5C073F">
        <w:rPr>
          <w:rFonts w:ascii="Arial" w:eastAsia="Times New Roman" w:hAnsi="Arial" w:cs="Arial"/>
          <w:b/>
          <w:smallCaps/>
          <w:kern w:val="0"/>
          <w:sz w:val="28"/>
          <w:szCs w:val="28"/>
          <w:lang w:eastAsia="pl-PL"/>
          <w14:ligatures w14:val="none"/>
        </w:rPr>
        <w:tab/>
      </w:r>
    </w:p>
    <w:p w14:paraId="402E5BCD" w14:textId="77777777" w:rsidR="00300C6B" w:rsidRPr="005C073F" w:rsidRDefault="00000000" w:rsidP="00844C28">
      <w:pPr>
        <w:tabs>
          <w:tab w:val="right" w:pos="9356"/>
        </w:tabs>
        <w:spacing w:after="0" w:line="360" w:lineRule="auto"/>
        <w:ind w:right="-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Katowice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7023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bookmarkStart w:id="0" w:name="EZDDataPodpisu_2"/>
      <w:r w:rsidRPr="00702354">
        <w:rPr>
          <w:rFonts w:ascii="Arial" w:eastAsia="Times New Roman" w:hAnsi="Arial" w:cs="Arial"/>
          <w:kern w:val="0"/>
          <w:lang w:eastAsia="pl-PL"/>
          <w14:ligatures w14:val="none"/>
        </w:rPr>
        <w:t>26 stycznia 2024</w:t>
      </w:r>
      <w:bookmarkEnd w:id="0"/>
      <w:r w:rsidRPr="007023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D849061" w14:textId="77777777" w:rsidR="00300C6B" w:rsidRPr="005C073F" w:rsidRDefault="00000000" w:rsidP="00844C28">
      <w:pPr>
        <w:spacing w:before="120" w:after="0" w:line="360" w:lineRule="auto"/>
        <w:ind w:left="5398" w:right="68" w:hanging="539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WOOŚ.420.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MP1.2</w:t>
      </w:r>
    </w:p>
    <w:p w14:paraId="71A3A8F6" w14:textId="77777777" w:rsidR="00300C6B" w:rsidRPr="00660EEA" w:rsidRDefault="00000000" w:rsidP="00844C28">
      <w:pPr>
        <w:spacing w:before="240" w:after="24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0EE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ZAWIADOMIENIE</w:t>
      </w:r>
    </w:p>
    <w:p w14:paraId="2E95C966" w14:textId="77777777" w:rsidR="00300C6B" w:rsidRPr="005C073F" w:rsidRDefault="00000000" w:rsidP="00844C28">
      <w:pPr>
        <w:spacing w:after="12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Zgodnie z art. 10 § 1 oraz art. 49 ustawy z dnia 14 czerwca 1960 r. - Kodeks postępowania administracyjnego (</w:t>
      </w:r>
      <w:r w:rsidRPr="005C073F">
        <w:rPr>
          <w:rFonts w:ascii="Arial" w:eastAsia="Arial" w:hAnsi="Arial" w:cs="Arial"/>
          <w:kern w:val="0"/>
          <w:lang w:eastAsia="pl-PL"/>
          <w14:ligatures w14:val="none"/>
        </w:rPr>
        <w:t xml:space="preserve">t. j. Dz. U. z 2023 r., poz. 775 ze zm. 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- cyt. dalej jako „k.p.a.”) w związku z art. 74 ust. 3 ustawy z dnia 3 października 2008 r. o udostępnianiu informacji o środowisku i jego ochronie, udziale społeczeństwa w ochronie środowiska oraz o ocenach oddziaływania na środowisko (tj. Dz. U. 2023, poz. 1094 - cyt dalej jako „UUOŚ”), oraz zgodnie z art. 79a § 2 k.p.a.</w:t>
      </w:r>
    </w:p>
    <w:p w14:paraId="435C146A" w14:textId="77777777" w:rsidR="00300C6B" w:rsidRPr="00660EEA" w:rsidRDefault="00000000" w:rsidP="00844C28">
      <w:pPr>
        <w:spacing w:after="12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0EE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zawiadamiam strony postępowania</w:t>
      </w:r>
    </w:p>
    <w:p w14:paraId="3E87EF7D" w14:textId="77777777" w:rsidR="00300C6B" w:rsidRPr="005C073F" w:rsidRDefault="00000000" w:rsidP="00844C28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Arial" w:eastAsia="Calibri" w:hAnsi="Arial" w:cs="Arial"/>
          <w:kern w:val="0"/>
          <w14:ligatures w14:val="none"/>
        </w:rPr>
      </w:pPr>
      <w:r w:rsidRPr="005C073F">
        <w:rPr>
          <w:rFonts w:ascii="Arial" w:eastAsia="Calibri" w:hAnsi="Arial" w:cs="Arial"/>
          <w:kern w:val="0"/>
          <w14:ligatures w14:val="none"/>
        </w:rPr>
        <w:t xml:space="preserve">o zakończeniu postępowania dowodowego w sprawie wydania decyzji o środowiskowych uwarunkowaniach </w:t>
      </w:r>
      <w:r w:rsidRPr="005C073F">
        <w:rPr>
          <w:rFonts w:ascii="Arial" w:eastAsia="Calibri" w:hAnsi="Arial" w:cs="Arial"/>
          <w:iCs/>
          <w:kern w:val="0"/>
          <w14:ligatures w14:val="none"/>
        </w:rPr>
        <w:t xml:space="preserve">dla </w:t>
      </w:r>
      <w:r>
        <w:rPr>
          <w:rFonts w:ascii="Arial" w:eastAsia="Calibri" w:hAnsi="Arial" w:cs="Arial"/>
          <w:iCs/>
          <w:kern w:val="0"/>
          <w14:ligatures w14:val="none"/>
        </w:rPr>
        <w:t>zamierzenia</w:t>
      </w:r>
      <w:r w:rsidRPr="005C073F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E91DC1">
        <w:rPr>
          <w:rFonts w:ascii="Arial" w:hAnsi="Arial" w:cs="Arial"/>
        </w:rPr>
        <w:t>polegającego na rozbiórce istniejącego liniowego zespołu zaporowo-upustowego KZ1102 i budowie nowego liniowego zespołu zaporowo-upustowego DN500 wraz z infrastrukturą towarzyszącą realizowanego w ramach zadania pn.: „Wymiana ZZU KZ 1102 na gazociągu w/c DN500 relacji Tworzeń – Tworóg I”</w:t>
      </w:r>
      <w:r>
        <w:rPr>
          <w:rFonts w:ascii="Arial" w:hAnsi="Arial" w:cs="Arial"/>
        </w:rPr>
        <w:t xml:space="preserve"> </w:t>
      </w:r>
      <w:r w:rsidRPr="005C073F">
        <w:rPr>
          <w:rFonts w:ascii="Arial" w:eastAsia="Calibri" w:hAnsi="Arial" w:cs="Arial"/>
          <w:kern w:val="0"/>
          <w14:ligatures w14:val="none"/>
        </w:rPr>
        <w:t>oraz o możliwości zapoznania się i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5C073F">
        <w:rPr>
          <w:rFonts w:ascii="Arial" w:eastAsia="Calibri" w:hAnsi="Arial" w:cs="Arial"/>
          <w:kern w:val="0"/>
          <w14:ligatures w14:val="none"/>
        </w:rPr>
        <w:t>wypowiedzenia co do zebranych dowodów i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5C073F">
        <w:rPr>
          <w:rFonts w:ascii="Arial" w:eastAsia="Calibri" w:hAnsi="Arial" w:cs="Arial"/>
          <w:kern w:val="0"/>
          <w14:ligatures w14:val="none"/>
        </w:rPr>
        <w:t>materiałów oraz zgłoszonych żądań;</w:t>
      </w:r>
    </w:p>
    <w:p w14:paraId="7FFB6519" w14:textId="77777777" w:rsidR="00300C6B" w:rsidRPr="005C073F" w:rsidRDefault="00000000" w:rsidP="00844C28">
      <w:pPr>
        <w:numPr>
          <w:ilvl w:val="0"/>
          <w:numId w:val="2"/>
        </w:numPr>
        <w:spacing w:before="120" w:after="0" w:line="360" w:lineRule="auto"/>
        <w:ind w:left="283" w:hanging="357"/>
        <w:rPr>
          <w:rFonts w:ascii="Arial" w:eastAsia="Times New Roman" w:hAnsi="Arial" w:cs="Arial"/>
          <w:bCs/>
          <w:kern w:val="1"/>
          <w14:ligatures w14:val="none"/>
        </w:rPr>
      </w:pPr>
      <w:r w:rsidRPr="005C073F">
        <w:rPr>
          <w:rFonts w:ascii="Arial" w:eastAsia="Times New Roman" w:hAnsi="Arial" w:cs="Arial"/>
          <w:kern w:val="1"/>
          <w14:ligatures w14:val="none"/>
        </w:rPr>
        <w:t>po przeanalizowaniu zebranego materiału dowodowego stwierdza się, że przedsięwzięcie nie zalicza się do katalogu przedsięwzięć ujętych w rozporządzeniu Rady Ministrów z dnia 10 września 2019 r. w sprawie przedsięwzięć mogących znacząco oddziaływać na</w:t>
      </w:r>
      <w:r>
        <w:rPr>
          <w:rFonts w:ascii="Arial" w:eastAsia="Times New Roman" w:hAnsi="Arial" w:cs="Arial"/>
          <w:kern w:val="1"/>
          <w14:ligatures w14:val="none"/>
        </w:rPr>
        <w:t> </w:t>
      </w:r>
      <w:r w:rsidRPr="005C073F">
        <w:rPr>
          <w:rFonts w:ascii="Arial" w:eastAsia="Times New Roman" w:hAnsi="Arial" w:cs="Arial"/>
          <w:kern w:val="1"/>
          <w14:ligatures w14:val="none"/>
        </w:rPr>
        <w:t xml:space="preserve">środowisko (Dz. U. z 2019 r., poz. 1839 ze zm.), zatem zgodnie z </w:t>
      </w:r>
      <w:r w:rsidRPr="005C073F">
        <w:rPr>
          <w:rFonts w:ascii="Arial" w:eastAsia="Times New Roman" w:hAnsi="Arial" w:cs="Arial"/>
          <w:bCs/>
          <w:kern w:val="1"/>
          <w14:ligatures w14:val="none"/>
        </w:rPr>
        <w:t xml:space="preserve">art. 71 ust. 2 UUOŚ </w:t>
      </w:r>
      <w:r w:rsidRPr="005C073F">
        <w:rPr>
          <w:rFonts w:ascii="Arial" w:eastAsia="Times New Roman" w:hAnsi="Arial" w:cs="Arial"/>
          <w:kern w:val="1"/>
          <w14:ligatures w14:val="none"/>
        </w:rPr>
        <w:t>nie wymaga</w:t>
      </w:r>
      <w:r w:rsidRPr="005C073F">
        <w:rPr>
          <w:rFonts w:ascii="Arial" w:eastAsia="Times New Roman" w:hAnsi="Arial" w:cs="Arial"/>
          <w:bCs/>
          <w:kern w:val="1"/>
          <w14:ligatures w14:val="none"/>
        </w:rPr>
        <w:t xml:space="preserve"> uzyskania decyzji o środowiskowych uwarunkowaniach;</w:t>
      </w:r>
    </w:p>
    <w:p w14:paraId="6A62765A" w14:textId="77777777" w:rsidR="00300C6B" w:rsidRPr="005C073F" w:rsidRDefault="00000000" w:rsidP="00844C28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eastAsia="Times New Roman" w:hAnsi="Arial" w:cs="Arial"/>
          <w:bCs/>
          <w:kern w:val="1"/>
          <w14:ligatures w14:val="none"/>
        </w:rPr>
      </w:pPr>
      <w:r w:rsidRPr="005C073F">
        <w:rPr>
          <w:rFonts w:ascii="Arial" w:eastAsia="Times New Roman" w:hAnsi="Arial" w:cs="Arial"/>
          <w:kern w:val="1"/>
          <w14:ligatures w14:val="none"/>
        </w:rPr>
        <w:t>w terminie wyznaczonym na wypowiedzenie się co do zebranych dowodów i</w:t>
      </w:r>
      <w:r>
        <w:rPr>
          <w:rFonts w:ascii="Arial" w:eastAsia="Times New Roman" w:hAnsi="Arial" w:cs="Arial"/>
          <w:kern w:val="1"/>
          <w14:ligatures w14:val="none"/>
        </w:rPr>
        <w:t xml:space="preserve"> </w:t>
      </w:r>
      <w:r w:rsidRPr="005C073F">
        <w:rPr>
          <w:rFonts w:ascii="Arial" w:eastAsia="Times New Roman" w:hAnsi="Arial" w:cs="Arial"/>
          <w:kern w:val="1"/>
          <w14:ligatures w14:val="none"/>
        </w:rPr>
        <w:t>materiałów oraz zgłoszonych żądań, strona może przedłożyć dodatkowe dowody, które wskazywałyby na możliwość zakwalifikowania przedmiotowej inwestycji do przedsięwzięć wymienionych w ww. rozporządzeniu.</w:t>
      </w:r>
    </w:p>
    <w:p w14:paraId="5E6347B7" w14:textId="77777777" w:rsidR="00300C6B" w:rsidRPr="005C073F" w:rsidRDefault="00000000" w:rsidP="00844C28">
      <w:pPr>
        <w:spacing w:before="12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Decyzja kończąca postępowanie zostanie wydana nie wcześniej niż po upływie 7 dni od dnia doręczenia niniejszego zawiadomienia.</w:t>
      </w:r>
    </w:p>
    <w:p w14:paraId="21C31C56" w14:textId="77777777" w:rsidR="00300C6B" w:rsidRPr="005C073F" w:rsidRDefault="00000000" w:rsidP="00844C28">
      <w:pPr>
        <w:spacing w:before="120" w:after="12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Z aktami sprawy można zapoznać się w pokoju nr 3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15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Wydziale Ocen Oddziaływania 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Środowisko Regionalnej Dyrekcji Ochrony Środowiska w Katowicach, po uprzednim umówieniu się z pracownikiem tutejszej Dyrekcji (nr telefonu do kontaktu</w:t>
      </w:r>
      <w:r w:rsidRPr="005C073F">
        <w:rPr>
          <w:rFonts w:ascii="Arial" w:eastAsia="Times New Roman" w:hAnsi="Arial" w:cs="Arial"/>
          <w:iCs/>
          <w:kern w:val="0"/>
          <w:lang w:eastAsia="pl-PL"/>
          <w14:ligatures w14:val="none"/>
        </w:rPr>
        <w:t>: 32 42 06 8</w:t>
      </w: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03</w:t>
      </w: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5522D573" w14:textId="77777777" w:rsidR="00300C6B" w:rsidRPr="005C073F" w:rsidRDefault="00000000" w:rsidP="00844C28">
      <w:pPr>
        <w:spacing w:before="48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 up. Regionalnego Dyrektora Ochrony Środowiska w Katowicach</w:t>
      </w:r>
    </w:p>
    <w:p w14:paraId="34637E2F" w14:textId="77777777" w:rsidR="00300C6B" w:rsidRPr="005C073F" w:rsidRDefault="00000000" w:rsidP="00844C28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Anna Sopel</w:t>
      </w:r>
    </w:p>
    <w:p w14:paraId="67ECB002" w14:textId="77777777" w:rsidR="00300C6B" w:rsidRPr="005C073F" w:rsidRDefault="00000000" w:rsidP="00844C28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Naczelnik Wydziału Ocen Oddziaływania na Środowisko</w:t>
      </w:r>
    </w:p>
    <w:p w14:paraId="7E291BE2" w14:textId="77777777" w:rsidR="00300C6B" w:rsidRDefault="00000000" w:rsidP="00844C28">
      <w:pPr>
        <w:spacing w:after="36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073F">
        <w:rPr>
          <w:rFonts w:ascii="Arial" w:eastAsia="Times New Roman" w:hAnsi="Arial" w:cs="Arial"/>
          <w:kern w:val="0"/>
          <w:lang w:eastAsia="pl-PL"/>
          <w14:ligatures w14:val="none"/>
        </w:rPr>
        <w:t>podpisano elektronicznie</w:t>
      </w:r>
    </w:p>
    <w:p w14:paraId="6836857E" w14:textId="72F87AE8" w:rsidR="007B606C" w:rsidRPr="005C073F" w:rsidRDefault="007B606C" w:rsidP="00844C28">
      <w:pPr>
        <w:spacing w:after="36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MT" w:hAnsi="ArialMT" w:cs="ArialMT"/>
          <w:kern w:val="0"/>
        </w:rPr>
        <w:t xml:space="preserve">Obwieszczenie nastąpiło w dniach: od </w:t>
      </w:r>
      <w:r w:rsidR="00660EEA">
        <w:rPr>
          <w:rFonts w:ascii="ArialMT" w:hAnsi="ArialMT" w:cs="ArialMT"/>
          <w:kern w:val="0"/>
        </w:rPr>
        <w:t xml:space="preserve">26.01.2024 r. </w:t>
      </w:r>
      <w:r>
        <w:rPr>
          <w:rFonts w:ascii="ArialMT" w:hAnsi="ArialMT" w:cs="ArialMT"/>
          <w:kern w:val="0"/>
        </w:rPr>
        <w:t>do</w:t>
      </w:r>
      <w:r w:rsidR="00660EEA">
        <w:rPr>
          <w:rFonts w:ascii="ArialMT" w:hAnsi="ArialMT" w:cs="ArialMT"/>
          <w:kern w:val="0"/>
        </w:rPr>
        <w:t xml:space="preserve"> 9.02.2024 r.</w:t>
      </w:r>
    </w:p>
    <w:p w14:paraId="0A1FA12B" w14:textId="77777777" w:rsidR="00300C6B" w:rsidRPr="001C48B5" w:rsidRDefault="00000000" w:rsidP="00844C28">
      <w:pPr>
        <w:spacing w:before="1080"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C48B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Otrzymują: </w:t>
      </w:r>
    </w:p>
    <w:p w14:paraId="7A76B008" w14:textId="77777777" w:rsidR="00300C6B" w:rsidRDefault="00000000" w:rsidP="00844C28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Pełnomocnik Inwestora</w:t>
      </w:r>
    </w:p>
    <w:p w14:paraId="364C12B3" w14:textId="77777777" w:rsidR="00FB14CA" w:rsidRPr="00833212" w:rsidRDefault="00000000" w:rsidP="00844C28">
      <w:pPr>
        <w:pStyle w:val="Tekstpodstawowywcity2"/>
        <w:tabs>
          <w:tab w:val="left" w:pos="0"/>
        </w:tabs>
        <w:spacing w:after="0" w:line="360" w:lineRule="auto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Ul. Sobieskiego 497, 42-580 Wojkowice </w:t>
      </w:r>
    </w:p>
    <w:p w14:paraId="1F76372B" w14:textId="77777777" w:rsidR="00300C6B" w:rsidRPr="00702354" w:rsidRDefault="00000000" w:rsidP="00844C28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833212">
        <w:rPr>
          <w:rFonts w:ascii="Arial" w:eastAsia="Times New Roman" w:hAnsi="Arial" w:cs="Arial"/>
          <w:bCs/>
          <w:sz w:val="22"/>
          <w:szCs w:val="22"/>
          <w:lang w:eastAsia="pl-PL"/>
        </w:rPr>
        <w:t>WOOŚ a/a</w:t>
      </w:r>
    </w:p>
    <w:p w14:paraId="152F33CE" w14:textId="77777777" w:rsidR="00300C6B" w:rsidRPr="005C073F" w:rsidRDefault="00000000" w:rsidP="00844C28">
      <w:pPr>
        <w:spacing w:before="360" w:after="0" w:line="360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Art. 74 ust. 3 UUOŚ „</w:t>
      </w:r>
      <w:r w:rsidRPr="005C07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</w:p>
    <w:p w14:paraId="4EE32EBE" w14:textId="77777777" w:rsidR="00300C6B" w:rsidRPr="005C073F" w:rsidRDefault="00000000" w:rsidP="00844C28">
      <w:pPr>
        <w:spacing w:after="0" w:line="360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Art. 10 § 1 k.p.a. „Organy administracji publicznej obowiązane są zapewnić stronom czynny udział w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każdym stadium postępowania, a przed wydaniem decyzji umożliwić im wypowiedzenie się co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zebranych dowodów i materiałów oraz zgłoszonych żądań”. </w:t>
      </w:r>
    </w:p>
    <w:p w14:paraId="7C84FEBE" w14:textId="77777777" w:rsidR="00300C6B" w:rsidRPr="005C073F" w:rsidRDefault="00000000" w:rsidP="00844C28">
      <w:pPr>
        <w:spacing w:after="0" w:line="360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Art. 49 § 1 k.p.a. „</w:t>
      </w:r>
      <w:r w:rsidRPr="005C073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C073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</w:p>
    <w:p w14:paraId="152DC96B" w14:textId="77777777" w:rsidR="00300C6B" w:rsidRPr="00702354" w:rsidRDefault="00000000" w:rsidP="00844C28">
      <w:pPr>
        <w:spacing w:after="0" w:line="360" w:lineRule="auto"/>
        <w:rPr>
          <w:rFonts w:ascii="Arial" w:eastAsia="Times New Roman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5C073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00C6B" w:rsidRPr="00702354" w:rsidSect="00597AE8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5BE5" w14:textId="77777777" w:rsidR="00597AE8" w:rsidRDefault="00597AE8">
      <w:pPr>
        <w:spacing w:after="0" w:line="240" w:lineRule="auto"/>
      </w:pPr>
      <w:r>
        <w:separator/>
      </w:r>
    </w:p>
  </w:endnote>
  <w:endnote w:type="continuationSeparator" w:id="0">
    <w:p w14:paraId="3300824B" w14:textId="77777777" w:rsidR="00597AE8" w:rsidRDefault="0059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F755" w14:textId="77777777" w:rsidR="00300C6B" w:rsidRPr="00C243B2" w:rsidRDefault="00000000">
    <w:pPr>
      <w:pStyle w:val="Stopka"/>
      <w:jc w:val="center"/>
      <w:rPr>
        <w:rFonts w:ascii="Arial" w:hAnsi="Arial" w:cs="Arial"/>
        <w:sz w:val="20"/>
        <w:szCs w:val="20"/>
      </w:rPr>
    </w:pPr>
    <w:r w:rsidRPr="00C243B2">
      <w:rPr>
        <w:rFonts w:ascii="Arial" w:hAnsi="Arial" w:cs="Arial"/>
        <w:sz w:val="20"/>
        <w:szCs w:val="20"/>
      </w:rPr>
      <w:fldChar w:fldCharType="begin"/>
    </w:r>
    <w:r w:rsidRPr="00C243B2">
      <w:rPr>
        <w:rFonts w:ascii="Arial" w:hAnsi="Arial" w:cs="Arial"/>
        <w:sz w:val="20"/>
        <w:szCs w:val="20"/>
      </w:rPr>
      <w:instrText>PAGE</w:instrText>
    </w:r>
    <w:r w:rsidRPr="00C243B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C243B2">
      <w:rPr>
        <w:rFonts w:ascii="Arial" w:hAnsi="Arial" w:cs="Arial"/>
        <w:sz w:val="20"/>
        <w:szCs w:val="20"/>
      </w:rPr>
      <w:fldChar w:fldCharType="end"/>
    </w:r>
    <w:r w:rsidRPr="00C243B2">
      <w:rPr>
        <w:rFonts w:ascii="Arial" w:hAnsi="Arial" w:cs="Arial"/>
        <w:sz w:val="20"/>
        <w:szCs w:val="20"/>
      </w:rPr>
      <w:t>/</w:t>
    </w:r>
    <w:r w:rsidRPr="00C243B2">
      <w:rPr>
        <w:rFonts w:ascii="Arial" w:hAnsi="Arial" w:cs="Arial"/>
        <w:sz w:val="20"/>
        <w:szCs w:val="20"/>
      </w:rPr>
      <w:fldChar w:fldCharType="begin"/>
    </w:r>
    <w:r w:rsidRPr="00C243B2">
      <w:rPr>
        <w:rFonts w:ascii="Arial" w:hAnsi="Arial" w:cs="Arial"/>
        <w:sz w:val="20"/>
        <w:szCs w:val="20"/>
      </w:rPr>
      <w:instrText>NUMPAGES</w:instrText>
    </w:r>
    <w:r w:rsidRPr="00C243B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C243B2">
      <w:rPr>
        <w:rFonts w:ascii="Arial" w:hAnsi="Arial" w:cs="Arial"/>
        <w:sz w:val="20"/>
        <w:szCs w:val="20"/>
      </w:rPr>
      <w:fldChar w:fldCharType="end"/>
    </w:r>
  </w:p>
  <w:p w14:paraId="1C356DE5" w14:textId="77777777" w:rsidR="00300C6B" w:rsidRDefault="00300C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153B" w14:textId="77777777" w:rsidR="00300C6B" w:rsidRPr="001125F4" w:rsidRDefault="00300C6B" w:rsidP="004475A1">
    <w:pPr>
      <w:pStyle w:val="Stopka"/>
      <w:jc w:val="center"/>
      <w:rPr>
        <w:b/>
        <w:sz w:val="18"/>
      </w:rPr>
    </w:pPr>
  </w:p>
  <w:p w14:paraId="5DCD606F" w14:textId="77777777" w:rsidR="00300C6B" w:rsidRPr="00037978" w:rsidRDefault="00000000" w:rsidP="004475A1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 xml:space="preserve">42 06 801 </w:t>
    </w:r>
  </w:p>
  <w:p w14:paraId="2AF960A9" w14:textId="77777777" w:rsidR="00300C6B" w:rsidRPr="00037978" w:rsidRDefault="00000000" w:rsidP="004475A1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Pr="00037978">
      <w:rPr>
        <w:b/>
        <w:sz w:val="18"/>
        <w:szCs w:val="18"/>
        <w:lang w:val="en-US"/>
      </w:rPr>
      <w:t>@</w:t>
    </w:r>
    <w:r>
      <w:rPr>
        <w:b/>
        <w:sz w:val="18"/>
        <w:szCs w:val="18"/>
        <w:lang w:val="en-US"/>
      </w:rPr>
      <w:t>katowice.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14:paraId="3BFE012C" w14:textId="77777777" w:rsidR="00300C6B" w:rsidRPr="004475A1" w:rsidRDefault="00000000" w:rsidP="004475A1">
    <w:pPr>
      <w:pStyle w:val="Stopka"/>
      <w:tabs>
        <w:tab w:val="clear" w:pos="4536"/>
        <w:tab w:val="clear" w:pos="9072"/>
        <w:tab w:val="left" w:pos="6589"/>
      </w:tabs>
      <w:rPr>
        <w:sz w:val="18"/>
        <w:szCs w:val="18"/>
      </w:rPr>
    </w:pPr>
    <w:r w:rsidRPr="00037978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DACE" w14:textId="77777777" w:rsidR="00597AE8" w:rsidRDefault="00597AE8">
      <w:pPr>
        <w:spacing w:after="0" w:line="240" w:lineRule="auto"/>
      </w:pPr>
      <w:r>
        <w:separator/>
      </w:r>
    </w:p>
  </w:footnote>
  <w:footnote w:type="continuationSeparator" w:id="0">
    <w:p w14:paraId="163855D8" w14:textId="77777777" w:rsidR="00597AE8" w:rsidRDefault="00597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374A6"/>
    <w:multiLevelType w:val="hybridMultilevel"/>
    <w:tmpl w:val="919A6F0A"/>
    <w:lvl w:ilvl="0" w:tplc="911C77FE">
      <w:start w:val="1"/>
      <w:numFmt w:val="lowerLetter"/>
      <w:lvlText w:val="%1)"/>
      <w:lvlJc w:val="left"/>
      <w:pPr>
        <w:ind w:left="720" w:hanging="360"/>
      </w:pPr>
    </w:lvl>
    <w:lvl w:ilvl="1" w:tplc="B55E77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4E0A1AE" w:tentative="1">
      <w:start w:val="1"/>
      <w:numFmt w:val="lowerRoman"/>
      <w:lvlText w:val="%3."/>
      <w:lvlJc w:val="right"/>
      <w:pPr>
        <w:ind w:left="2160" w:hanging="180"/>
      </w:pPr>
    </w:lvl>
    <w:lvl w:ilvl="3" w:tplc="41E20A82" w:tentative="1">
      <w:start w:val="1"/>
      <w:numFmt w:val="decimal"/>
      <w:lvlText w:val="%4."/>
      <w:lvlJc w:val="left"/>
      <w:pPr>
        <w:ind w:left="2880" w:hanging="360"/>
      </w:pPr>
    </w:lvl>
    <w:lvl w:ilvl="4" w:tplc="8F9E38A0" w:tentative="1">
      <w:start w:val="1"/>
      <w:numFmt w:val="lowerLetter"/>
      <w:lvlText w:val="%5."/>
      <w:lvlJc w:val="left"/>
      <w:pPr>
        <w:ind w:left="3600" w:hanging="360"/>
      </w:pPr>
    </w:lvl>
    <w:lvl w:ilvl="5" w:tplc="CD3C07C0" w:tentative="1">
      <w:start w:val="1"/>
      <w:numFmt w:val="lowerRoman"/>
      <w:lvlText w:val="%6."/>
      <w:lvlJc w:val="right"/>
      <w:pPr>
        <w:ind w:left="4320" w:hanging="180"/>
      </w:pPr>
    </w:lvl>
    <w:lvl w:ilvl="6" w:tplc="B510C460" w:tentative="1">
      <w:start w:val="1"/>
      <w:numFmt w:val="decimal"/>
      <w:lvlText w:val="%7."/>
      <w:lvlJc w:val="left"/>
      <w:pPr>
        <w:ind w:left="5040" w:hanging="360"/>
      </w:pPr>
    </w:lvl>
    <w:lvl w:ilvl="7" w:tplc="41D28530" w:tentative="1">
      <w:start w:val="1"/>
      <w:numFmt w:val="lowerLetter"/>
      <w:lvlText w:val="%8."/>
      <w:lvlJc w:val="left"/>
      <w:pPr>
        <w:ind w:left="5760" w:hanging="360"/>
      </w:pPr>
    </w:lvl>
    <w:lvl w:ilvl="8" w:tplc="E4C62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808A9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B56D692" w:tentative="1">
      <w:start w:val="1"/>
      <w:numFmt w:val="lowerLetter"/>
      <w:lvlText w:val="%2."/>
      <w:lvlJc w:val="left"/>
      <w:pPr>
        <w:ind w:left="1440" w:hanging="360"/>
      </w:pPr>
    </w:lvl>
    <w:lvl w:ilvl="2" w:tplc="5AB2C7D2" w:tentative="1">
      <w:start w:val="1"/>
      <w:numFmt w:val="lowerRoman"/>
      <w:lvlText w:val="%3."/>
      <w:lvlJc w:val="right"/>
      <w:pPr>
        <w:ind w:left="2160" w:hanging="180"/>
      </w:pPr>
    </w:lvl>
    <w:lvl w:ilvl="3" w:tplc="38A8E61C" w:tentative="1">
      <w:start w:val="1"/>
      <w:numFmt w:val="decimal"/>
      <w:lvlText w:val="%4."/>
      <w:lvlJc w:val="left"/>
      <w:pPr>
        <w:ind w:left="2880" w:hanging="360"/>
      </w:pPr>
    </w:lvl>
    <w:lvl w:ilvl="4" w:tplc="3C28411E" w:tentative="1">
      <w:start w:val="1"/>
      <w:numFmt w:val="lowerLetter"/>
      <w:lvlText w:val="%5."/>
      <w:lvlJc w:val="left"/>
      <w:pPr>
        <w:ind w:left="3600" w:hanging="360"/>
      </w:pPr>
    </w:lvl>
    <w:lvl w:ilvl="5" w:tplc="65EC8228" w:tentative="1">
      <w:start w:val="1"/>
      <w:numFmt w:val="lowerRoman"/>
      <w:lvlText w:val="%6."/>
      <w:lvlJc w:val="right"/>
      <w:pPr>
        <w:ind w:left="4320" w:hanging="180"/>
      </w:pPr>
    </w:lvl>
    <w:lvl w:ilvl="6" w:tplc="9A622798" w:tentative="1">
      <w:start w:val="1"/>
      <w:numFmt w:val="decimal"/>
      <w:lvlText w:val="%7."/>
      <w:lvlJc w:val="left"/>
      <w:pPr>
        <w:ind w:left="5040" w:hanging="360"/>
      </w:pPr>
    </w:lvl>
    <w:lvl w:ilvl="7" w:tplc="57A4B2F0" w:tentative="1">
      <w:start w:val="1"/>
      <w:numFmt w:val="lowerLetter"/>
      <w:lvlText w:val="%8."/>
      <w:lvlJc w:val="left"/>
      <w:pPr>
        <w:ind w:left="5760" w:hanging="360"/>
      </w:pPr>
    </w:lvl>
    <w:lvl w:ilvl="8" w:tplc="53DA43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2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08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6B"/>
    <w:rsid w:val="001C48B5"/>
    <w:rsid w:val="001F1C7C"/>
    <w:rsid w:val="00300C6B"/>
    <w:rsid w:val="00597AE8"/>
    <w:rsid w:val="00660EEA"/>
    <w:rsid w:val="007B606C"/>
    <w:rsid w:val="00844C28"/>
    <w:rsid w:val="00C478BC"/>
    <w:rsid w:val="00DA4CEE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CE47"/>
  <w15:docId w15:val="{962C81DC-B820-4F34-A186-BF24D9A2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07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C07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5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0C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33212"/>
    <w:pPr>
      <w:spacing w:after="120" w:line="480" w:lineRule="auto"/>
      <w:ind w:left="283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33212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dcterms:created xsi:type="dcterms:W3CDTF">2024-01-26T10:32:00Z</dcterms:created>
  <dcterms:modified xsi:type="dcterms:W3CDTF">2024-01-26T10:56:00Z</dcterms:modified>
</cp:coreProperties>
</file>