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89EC0" w14:textId="77777777" w:rsidR="00192FA6" w:rsidRPr="00CE5EED" w:rsidRDefault="00192FA6" w:rsidP="00192FA6">
      <w:pPr>
        <w:pStyle w:val="Bezodstpw"/>
        <w:spacing w:line="360" w:lineRule="auto"/>
        <w:rPr>
          <w:rFonts w:ascii="Times New Roman" w:hAnsi="Times New Roman" w:cs="Times New Roman"/>
          <w:sz w:val="24"/>
          <w:szCs w:val="24"/>
        </w:rPr>
      </w:pPr>
      <w:r w:rsidRPr="00CE5EED">
        <w:rPr>
          <w:rFonts w:ascii="Times New Roman" w:hAnsi="Times New Roman" w:cs="Times New Roman"/>
          <w:b/>
          <w:bCs/>
          <w:sz w:val="24"/>
          <w:szCs w:val="24"/>
        </w:rPr>
        <w:t xml:space="preserve">1001 </w:t>
      </w:r>
      <w:r>
        <w:rPr>
          <w:rFonts w:ascii="Times New Roman" w:hAnsi="Times New Roman" w:cs="Times New Roman"/>
          <w:b/>
          <w:bCs/>
          <w:sz w:val="24"/>
          <w:szCs w:val="24"/>
        </w:rPr>
        <w:t xml:space="preserve">- </w:t>
      </w:r>
      <w:r w:rsidRPr="00CE5EED">
        <w:rPr>
          <w:rFonts w:ascii="Times New Roman" w:hAnsi="Times New Roman" w:cs="Times New Roman"/>
          <w:b/>
          <w:bCs/>
          <w:sz w:val="24"/>
          <w:szCs w:val="24"/>
        </w:rPr>
        <w:t>2.003. 1. 2024</w:t>
      </w:r>
      <w:r w:rsidRPr="00CE5E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E5EED">
        <w:rPr>
          <w:rFonts w:ascii="Times New Roman" w:hAnsi="Times New Roman" w:cs="Times New Roman"/>
          <w:sz w:val="24"/>
          <w:szCs w:val="24"/>
        </w:rPr>
        <w:t xml:space="preserve">Warszawa, dnia </w:t>
      </w:r>
      <w:r w:rsidR="00D56347">
        <w:rPr>
          <w:rFonts w:ascii="Times New Roman" w:hAnsi="Times New Roman" w:cs="Times New Roman"/>
          <w:sz w:val="24"/>
          <w:szCs w:val="24"/>
        </w:rPr>
        <w:t xml:space="preserve"> 29 lipca </w:t>
      </w:r>
      <w:r w:rsidRPr="00CE5EED">
        <w:rPr>
          <w:rFonts w:ascii="Times New Roman" w:hAnsi="Times New Roman" w:cs="Times New Roman"/>
          <w:sz w:val="24"/>
          <w:szCs w:val="24"/>
        </w:rPr>
        <w:t>2024r.</w:t>
      </w:r>
    </w:p>
    <w:p w14:paraId="196F1D7E" w14:textId="77777777" w:rsidR="00192FA6" w:rsidRDefault="00192FA6" w:rsidP="00192FA6">
      <w:pPr>
        <w:pStyle w:val="Bezodstpw"/>
        <w:spacing w:line="360" w:lineRule="auto"/>
        <w:rPr>
          <w:rFonts w:ascii="Times New Roman" w:hAnsi="Times New Roman" w:cs="Times New Roman"/>
          <w:sz w:val="24"/>
          <w:szCs w:val="24"/>
        </w:rPr>
      </w:pPr>
    </w:p>
    <w:p w14:paraId="56CB3A45" w14:textId="77777777" w:rsidR="00192FA6" w:rsidRPr="00D56347" w:rsidRDefault="00192FA6" w:rsidP="00192FA6">
      <w:pPr>
        <w:pStyle w:val="Bezodstpw"/>
        <w:spacing w:line="360" w:lineRule="auto"/>
        <w:rPr>
          <w:rFonts w:ascii="Times New Roman" w:hAnsi="Times New Roman" w:cs="Times New Roman"/>
          <w:b/>
          <w:bCs/>
          <w:sz w:val="24"/>
          <w:szCs w:val="24"/>
        </w:rPr>
      </w:pPr>
    </w:p>
    <w:p w14:paraId="4D875E8E" w14:textId="77777777" w:rsidR="00D56347" w:rsidRPr="00D56347" w:rsidRDefault="00D56347" w:rsidP="00A34DB5">
      <w:pPr>
        <w:pStyle w:val="Bezodstpw"/>
        <w:spacing w:line="360" w:lineRule="auto"/>
        <w:ind w:left="2832" w:firstLine="708"/>
        <w:jc w:val="both"/>
        <w:rPr>
          <w:rFonts w:ascii="Times New Roman" w:hAnsi="Times New Roman" w:cs="Times New Roman"/>
          <w:b/>
          <w:bCs/>
          <w:sz w:val="24"/>
          <w:szCs w:val="24"/>
          <w:u w:val="single"/>
        </w:rPr>
      </w:pPr>
      <w:r w:rsidRPr="00D56347">
        <w:rPr>
          <w:rFonts w:ascii="Times New Roman" w:hAnsi="Times New Roman" w:cs="Times New Roman"/>
          <w:b/>
          <w:bCs/>
          <w:sz w:val="24"/>
          <w:szCs w:val="24"/>
          <w:u w:val="single"/>
        </w:rPr>
        <w:t xml:space="preserve">WYCIĄG </w:t>
      </w:r>
    </w:p>
    <w:p w14:paraId="5D43403B" w14:textId="77777777" w:rsidR="00192FA6" w:rsidRPr="00D56347" w:rsidRDefault="00D56347" w:rsidP="00A34DB5">
      <w:pPr>
        <w:pStyle w:val="Bezodstpw"/>
        <w:spacing w:line="360" w:lineRule="auto"/>
        <w:ind w:left="2124" w:firstLine="708"/>
        <w:jc w:val="both"/>
        <w:rPr>
          <w:rFonts w:ascii="Times New Roman" w:hAnsi="Times New Roman" w:cs="Times New Roman"/>
          <w:b/>
          <w:bCs/>
          <w:sz w:val="24"/>
          <w:szCs w:val="24"/>
          <w:u w:val="single"/>
        </w:rPr>
      </w:pPr>
      <w:r w:rsidRPr="00D56347">
        <w:rPr>
          <w:rFonts w:ascii="Times New Roman" w:hAnsi="Times New Roman" w:cs="Times New Roman"/>
          <w:b/>
          <w:bCs/>
          <w:sz w:val="24"/>
          <w:szCs w:val="24"/>
        </w:rPr>
        <w:t>ZE SPRAWOZDANIA</w:t>
      </w:r>
    </w:p>
    <w:p w14:paraId="7803FEAF" w14:textId="77777777" w:rsidR="00192FA6" w:rsidRPr="00CE5EED" w:rsidRDefault="00192FA6" w:rsidP="00192FA6">
      <w:pPr>
        <w:pStyle w:val="Bezodstpw"/>
        <w:spacing w:line="360" w:lineRule="auto"/>
        <w:jc w:val="both"/>
        <w:rPr>
          <w:rFonts w:ascii="Times New Roman" w:hAnsi="Times New Roman" w:cs="Times New Roman"/>
          <w:b/>
          <w:bCs/>
          <w:sz w:val="24"/>
          <w:szCs w:val="24"/>
        </w:rPr>
      </w:pPr>
      <w:r w:rsidRPr="00CE5EED">
        <w:rPr>
          <w:rFonts w:ascii="Times New Roman" w:hAnsi="Times New Roman" w:cs="Times New Roman"/>
          <w:b/>
          <w:bCs/>
          <w:sz w:val="24"/>
          <w:szCs w:val="24"/>
        </w:rPr>
        <w:t xml:space="preserve">z badania aktowego postępowań przygotowawczych prowadzonych w latach 2016 - 2023 w sprawach odmowy udzielenia </w:t>
      </w:r>
      <w:r w:rsidR="00F36C94">
        <w:rPr>
          <w:rFonts w:ascii="Times New Roman" w:hAnsi="Times New Roman" w:cs="Times New Roman"/>
          <w:b/>
          <w:bCs/>
          <w:sz w:val="24"/>
          <w:szCs w:val="24"/>
        </w:rPr>
        <w:t xml:space="preserve">legalnego </w:t>
      </w:r>
      <w:r w:rsidRPr="00CE5EED">
        <w:rPr>
          <w:rFonts w:ascii="Times New Roman" w:hAnsi="Times New Roman" w:cs="Times New Roman"/>
          <w:b/>
          <w:bCs/>
          <w:sz w:val="24"/>
          <w:szCs w:val="24"/>
        </w:rPr>
        <w:t xml:space="preserve">przerwania ciąży i tzw. aborcji farmakologicznych kwalifikowanych z art. 152 § 2 i 3 kk i art. 154 § 1 i 2 kk, zakończonych decyzjami merytorycznymi. </w:t>
      </w:r>
    </w:p>
    <w:p w14:paraId="4C4E64F4" w14:textId="1DB900FD" w:rsidR="00192FA6" w:rsidRPr="00CE5EED" w:rsidRDefault="00192FA6" w:rsidP="00192FA6">
      <w:pPr>
        <w:pStyle w:val="Bezodstpw"/>
        <w:spacing w:line="360" w:lineRule="auto"/>
        <w:ind w:firstLine="708"/>
        <w:jc w:val="both"/>
        <w:rPr>
          <w:rFonts w:ascii="Times New Roman" w:hAnsi="Times New Roman" w:cs="Times New Roman"/>
          <w:sz w:val="24"/>
          <w:szCs w:val="24"/>
        </w:rPr>
      </w:pPr>
      <w:r w:rsidRPr="00CE5EED">
        <w:rPr>
          <w:rFonts w:ascii="Times New Roman" w:hAnsi="Times New Roman" w:cs="Times New Roman"/>
          <w:sz w:val="24"/>
          <w:szCs w:val="24"/>
        </w:rPr>
        <w:t xml:space="preserve"> Na podstawie polecenia Prokuratora Generalnego przeprowadzone zostało badanie aktowe postępowań przygotowawczych prowadzonych </w:t>
      </w:r>
      <w:r w:rsidR="00A11DFA">
        <w:rPr>
          <w:rFonts w:ascii="Times New Roman" w:hAnsi="Times New Roman" w:cs="Times New Roman"/>
          <w:sz w:val="24"/>
          <w:szCs w:val="24"/>
        </w:rPr>
        <w:t xml:space="preserve">w latach 2016 - 2023 </w:t>
      </w:r>
      <w:r w:rsidRPr="00CE5EED">
        <w:rPr>
          <w:rFonts w:ascii="Times New Roman" w:hAnsi="Times New Roman" w:cs="Times New Roman"/>
          <w:sz w:val="24"/>
          <w:szCs w:val="24"/>
        </w:rPr>
        <w:t>w prokuraturach rejonowych i okręgowych wszystkich okręgów prokuratur regionalnych w sprawach, dotyczących odmowy udzielenia przerwania ciąży i tzw. aborcji farmakologicznych</w:t>
      </w:r>
      <w:r w:rsidR="003A4D6C">
        <w:rPr>
          <w:rFonts w:ascii="Times New Roman" w:hAnsi="Times New Roman" w:cs="Times New Roman"/>
          <w:sz w:val="24"/>
          <w:szCs w:val="24"/>
        </w:rPr>
        <w:t>,</w:t>
      </w:r>
      <w:r w:rsidRPr="00CE5EED">
        <w:rPr>
          <w:rFonts w:ascii="Times New Roman" w:hAnsi="Times New Roman" w:cs="Times New Roman"/>
          <w:sz w:val="24"/>
          <w:szCs w:val="24"/>
        </w:rPr>
        <w:t xml:space="preserve"> kwalifikowanych z art. 152 § 2 i 3 kk</w:t>
      </w:r>
      <w:r w:rsidR="00581481">
        <w:rPr>
          <w:rFonts w:ascii="Times New Roman" w:hAnsi="Times New Roman" w:cs="Times New Roman"/>
          <w:sz w:val="24"/>
          <w:szCs w:val="24"/>
        </w:rPr>
        <w:t xml:space="preserve"> i inne</w:t>
      </w:r>
      <w:r>
        <w:rPr>
          <w:rFonts w:ascii="Times New Roman" w:hAnsi="Times New Roman" w:cs="Times New Roman"/>
          <w:sz w:val="24"/>
          <w:szCs w:val="24"/>
        </w:rPr>
        <w:t xml:space="preserve">, </w:t>
      </w:r>
      <w:r w:rsidRPr="00CE5EED">
        <w:rPr>
          <w:rFonts w:ascii="Times New Roman" w:hAnsi="Times New Roman" w:cs="Times New Roman"/>
          <w:sz w:val="24"/>
          <w:szCs w:val="24"/>
        </w:rPr>
        <w:t xml:space="preserve">w których wydano decyzje merytoryczne. </w:t>
      </w:r>
    </w:p>
    <w:p w14:paraId="7683B556" w14:textId="77777777" w:rsidR="00192FA6" w:rsidRPr="00CE5EED" w:rsidRDefault="00192FA6" w:rsidP="00192FA6">
      <w:pPr>
        <w:spacing w:line="360" w:lineRule="auto"/>
        <w:ind w:firstLine="708"/>
        <w:jc w:val="both"/>
      </w:pPr>
      <w:r w:rsidRPr="00CE5EED">
        <w:t>Celem niniejszej analizy było zapoznanie się z praktyką prokuratorską w zakresie prowadzenia te</w:t>
      </w:r>
      <w:r>
        <w:t xml:space="preserve">j kategorii </w:t>
      </w:r>
      <w:r w:rsidRPr="00CE5EED">
        <w:t>spraw, w tym poprawnoś</w:t>
      </w:r>
      <w:r>
        <w:t>cią</w:t>
      </w:r>
      <w:r w:rsidRPr="00CE5EED">
        <w:t xml:space="preserve"> przyjętej kwalifikacji prawnej czynów, prawidłowoś</w:t>
      </w:r>
      <w:r>
        <w:t>cią</w:t>
      </w:r>
      <w:r w:rsidRPr="00CE5EED">
        <w:t xml:space="preserve"> i terminowoś</w:t>
      </w:r>
      <w:r>
        <w:t>cią</w:t>
      </w:r>
      <w:r w:rsidRPr="00CE5EED">
        <w:t xml:space="preserve"> prowadzenia postępowa</w:t>
      </w:r>
      <w:r>
        <w:t>ń</w:t>
      </w:r>
      <w:r w:rsidRPr="00CE5EED">
        <w:t>, dynamik</w:t>
      </w:r>
      <w:r>
        <w:t>ą</w:t>
      </w:r>
      <w:r w:rsidRPr="00CE5EED">
        <w:t xml:space="preserve"> podejmowanych czynności, zasadnoś</w:t>
      </w:r>
      <w:r>
        <w:t>cią</w:t>
      </w:r>
      <w:r w:rsidRPr="00CE5EED">
        <w:t xml:space="preserve"> podjętych decyzji merytorycznych oraz prawidłowoś</w:t>
      </w:r>
      <w:r>
        <w:t xml:space="preserve">cią </w:t>
      </w:r>
      <w:r w:rsidRPr="00CE5EED">
        <w:t>oceny zapadłych orzeczeń sądowych.</w:t>
      </w:r>
    </w:p>
    <w:p w14:paraId="35D09622" w14:textId="77777777" w:rsidR="00192FA6" w:rsidRDefault="00192FA6" w:rsidP="00192FA6">
      <w:pPr>
        <w:spacing w:line="360" w:lineRule="auto"/>
        <w:ind w:firstLine="708"/>
        <w:jc w:val="both"/>
      </w:pPr>
      <w:r w:rsidRPr="00CE5EED">
        <w:t>Badania aktowe zostały przeprowadzone przez zespoły prokuratorów powołane na szczeblu wszystkich prokuratur regionalnych i prokuratorów wykonujących obowiązki służbowe w Departamencie Postępowania Przygotowawczego Prokuratury Krajowej.</w:t>
      </w:r>
    </w:p>
    <w:p w14:paraId="1E1C73CA" w14:textId="77777777" w:rsidR="00192FA6" w:rsidRPr="00CE5EED" w:rsidRDefault="00192FA6" w:rsidP="00192FA6">
      <w:pPr>
        <w:jc w:val="both"/>
      </w:pPr>
    </w:p>
    <w:p w14:paraId="4492D344" w14:textId="5D67A9AC" w:rsidR="00192FA6" w:rsidRPr="00CE5EED" w:rsidRDefault="00192FA6" w:rsidP="00192FA6">
      <w:pPr>
        <w:jc w:val="both"/>
        <w:rPr>
          <w:u w:val="single"/>
        </w:rPr>
      </w:pPr>
      <w:r>
        <w:tab/>
      </w:r>
      <w:r w:rsidR="00A11DFA" w:rsidRPr="00A11DFA">
        <w:rPr>
          <w:u w:val="single"/>
        </w:rPr>
        <w:t>U</w:t>
      </w:r>
      <w:r w:rsidRPr="00CE5EED">
        <w:rPr>
          <w:u w:val="single"/>
        </w:rPr>
        <w:t xml:space="preserve">stalenia wynikające z </w:t>
      </w:r>
      <w:r>
        <w:rPr>
          <w:u w:val="single"/>
        </w:rPr>
        <w:t xml:space="preserve">badania aktowego </w:t>
      </w:r>
      <w:r w:rsidRPr="00CE5EED">
        <w:rPr>
          <w:u w:val="single"/>
        </w:rPr>
        <w:t>przedstawiają się następująco:</w:t>
      </w:r>
    </w:p>
    <w:p w14:paraId="4FBFAB19" w14:textId="77777777" w:rsidR="00192FA6" w:rsidRPr="00CE5EED" w:rsidRDefault="00192FA6" w:rsidP="00192FA6">
      <w:pPr>
        <w:pStyle w:val="Tekstpodstawowywcity"/>
        <w:ind w:left="0"/>
        <w:rPr>
          <w:sz w:val="24"/>
          <w:szCs w:val="24"/>
        </w:rPr>
      </w:pPr>
    </w:p>
    <w:p w14:paraId="0713BE4B" w14:textId="6CE51B6D" w:rsidR="00192FA6" w:rsidRPr="00A11DFA" w:rsidRDefault="00A11DFA" w:rsidP="00192FA6">
      <w:pPr>
        <w:jc w:val="both"/>
        <w:rPr>
          <w:b/>
          <w:bCs/>
          <w:u w:val="single"/>
        </w:rPr>
      </w:pPr>
      <w:r w:rsidRPr="00A11DFA">
        <w:rPr>
          <w:b/>
          <w:bCs/>
          <w:u w:val="single"/>
        </w:rPr>
        <w:t>1.ABORCJA FARMAKOLOGICZNA</w:t>
      </w:r>
    </w:p>
    <w:p w14:paraId="1B77FF6B" w14:textId="77777777" w:rsidR="00A11DFA" w:rsidRPr="00CE5EED" w:rsidRDefault="00A11DFA" w:rsidP="00192FA6">
      <w:pPr>
        <w:jc w:val="both"/>
      </w:pPr>
    </w:p>
    <w:p w14:paraId="658E59E0" w14:textId="15A507DE" w:rsidR="00192FA6" w:rsidRPr="00F50846" w:rsidRDefault="00192FA6" w:rsidP="00192FA6">
      <w:pPr>
        <w:spacing w:line="360" w:lineRule="auto"/>
        <w:jc w:val="both"/>
      </w:pPr>
      <w:r w:rsidRPr="00CE5EED">
        <w:t xml:space="preserve"> </w:t>
      </w:r>
      <w:r w:rsidR="00DB0B16">
        <w:tab/>
      </w:r>
      <w:r w:rsidRPr="00CE5EED">
        <w:t xml:space="preserve">Badaniom aktowym poddano </w:t>
      </w:r>
      <w:r w:rsidRPr="00B35CFA">
        <w:rPr>
          <w:b/>
          <w:bCs/>
          <w:u w:val="single"/>
        </w:rPr>
        <w:t>590</w:t>
      </w:r>
      <w:r>
        <w:t xml:space="preserve"> </w:t>
      </w:r>
      <w:r w:rsidRPr="00362B18">
        <w:t xml:space="preserve">postępowań przygotowawczych prowadzonych </w:t>
      </w:r>
      <w:r>
        <w:t xml:space="preserve">w okresie </w:t>
      </w:r>
      <w:r w:rsidRPr="00362B18">
        <w:t>od 01 stycznia 2016r. do 31 grudnia 2023r. w prokuraturach rejonowych i okręgowych</w:t>
      </w:r>
      <w:r>
        <w:t xml:space="preserve">, zakończonych różnymi decyzjami merytorycznymi. Z poczynionych ustaleń wynika, że w </w:t>
      </w:r>
      <w:r w:rsidRPr="00B35CFA">
        <w:rPr>
          <w:b/>
          <w:bCs/>
          <w:u w:val="single"/>
        </w:rPr>
        <w:t xml:space="preserve">462 </w:t>
      </w:r>
      <w:r>
        <w:t>sprawach wydano decyzje o o</w:t>
      </w:r>
      <w:r w:rsidR="003A4D6C">
        <w:t>dmowie lub umorzeniu śledztwa,</w:t>
      </w:r>
      <w:r>
        <w:t xml:space="preserve"> </w:t>
      </w:r>
      <w:r w:rsidRPr="00F50846">
        <w:rPr>
          <w:b/>
          <w:bCs/>
          <w:u w:val="single"/>
        </w:rPr>
        <w:t>99</w:t>
      </w:r>
      <w:r>
        <w:t xml:space="preserve"> spraw zakończono aktami oskarżenia, w 14 sprawach skierowano do sądu wnioski o konsensualne zakończenie postępowania przygotowawczego w trybie art. 335 </w:t>
      </w:r>
      <w:proofErr w:type="spellStart"/>
      <w:r>
        <w:t>kpk</w:t>
      </w:r>
      <w:proofErr w:type="spellEnd"/>
      <w:r>
        <w:t xml:space="preserve">, a w 11 </w:t>
      </w:r>
      <w:r w:rsidR="00A11DFA">
        <w:t>-</w:t>
      </w:r>
      <w:r>
        <w:t xml:space="preserve"> wnioski o warunkowe umorzenie śledztw. </w:t>
      </w:r>
      <w:r>
        <w:rPr>
          <w:b/>
          <w:bCs/>
        </w:rPr>
        <w:t xml:space="preserve"> </w:t>
      </w:r>
      <w:r w:rsidRPr="00F50846">
        <w:t>W 4 sprawach wydano postanowienia o zawieszeniu postępowania.</w:t>
      </w:r>
    </w:p>
    <w:p w14:paraId="211AD472" w14:textId="77777777" w:rsidR="00192FA6" w:rsidRPr="00044332" w:rsidRDefault="00192FA6" w:rsidP="00DB0B16">
      <w:pPr>
        <w:pStyle w:val="Bezodstpw"/>
        <w:spacing w:line="360" w:lineRule="auto"/>
        <w:jc w:val="both"/>
        <w:rPr>
          <w:rFonts w:ascii="Times New Roman" w:hAnsi="Times New Roman" w:cs="Times New Roman"/>
          <w:sz w:val="24"/>
          <w:szCs w:val="24"/>
        </w:rPr>
      </w:pPr>
      <w:r w:rsidRPr="00044332">
        <w:rPr>
          <w:rFonts w:ascii="Times New Roman" w:hAnsi="Times New Roman" w:cs="Times New Roman"/>
          <w:sz w:val="24"/>
          <w:szCs w:val="24"/>
        </w:rPr>
        <w:lastRenderedPageBreak/>
        <w:t xml:space="preserve">Z powyższego zestawienia wynika, że na 590 zbadanych spraw, dominującą formą zakończenia postępowań przygotowawczych były decyzje o odmowie lub umorzeniu postępowania (462 sprawy). W 99 sprawach skierowano </w:t>
      </w:r>
      <w:r w:rsidR="00A11DFA" w:rsidRPr="00044332">
        <w:rPr>
          <w:rFonts w:ascii="Times New Roman" w:hAnsi="Times New Roman" w:cs="Times New Roman"/>
          <w:sz w:val="24"/>
          <w:szCs w:val="24"/>
        </w:rPr>
        <w:t xml:space="preserve">do sądu </w:t>
      </w:r>
      <w:r w:rsidRPr="00044332">
        <w:rPr>
          <w:rFonts w:ascii="Times New Roman" w:hAnsi="Times New Roman" w:cs="Times New Roman"/>
          <w:sz w:val="24"/>
          <w:szCs w:val="24"/>
        </w:rPr>
        <w:t>akty oskarżenia</w:t>
      </w:r>
      <w:r w:rsidR="00A11DFA" w:rsidRPr="00044332">
        <w:rPr>
          <w:rFonts w:ascii="Times New Roman" w:hAnsi="Times New Roman" w:cs="Times New Roman"/>
          <w:sz w:val="24"/>
          <w:szCs w:val="24"/>
        </w:rPr>
        <w:t xml:space="preserve">. </w:t>
      </w:r>
    </w:p>
    <w:p w14:paraId="1D54ECBD" w14:textId="7FD84085" w:rsidR="00192FA6" w:rsidRDefault="00192FA6" w:rsidP="00DB0B16">
      <w:pPr>
        <w:pStyle w:val="Bezodstpw"/>
        <w:spacing w:line="360" w:lineRule="auto"/>
        <w:ind w:firstLine="360"/>
        <w:jc w:val="both"/>
        <w:rPr>
          <w:rFonts w:ascii="Times New Roman" w:hAnsi="Times New Roman" w:cs="Times New Roman"/>
          <w:sz w:val="24"/>
          <w:szCs w:val="24"/>
        </w:rPr>
      </w:pPr>
      <w:r w:rsidRPr="00286B0F">
        <w:rPr>
          <w:rFonts w:ascii="Times New Roman" w:hAnsi="Times New Roman" w:cs="Times New Roman"/>
          <w:bCs/>
          <w:sz w:val="24"/>
          <w:szCs w:val="24"/>
        </w:rPr>
        <w:t xml:space="preserve">W zbadanych postępowaniach czyny zostały zakwalifikowane </w:t>
      </w:r>
      <w:r w:rsidR="003A4D6C">
        <w:rPr>
          <w:rFonts w:ascii="Times New Roman" w:hAnsi="Times New Roman" w:cs="Times New Roman"/>
          <w:sz w:val="24"/>
          <w:szCs w:val="24"/>
        </w:rPr>
        <w:t xml:space="preserve">z art. 152 § 1, 2, 3 </w:t>
      </w:r>
      <w:r w:rsidRPr="00286B0F">
        <w:rPr>
          <w:rFonts w:ascii="Times New Roman" w:hAnsi="Times New Roman" w:cs="Times New Roman"/>
          <w:sz w:val="24"/>
          <w:szCs w:val="24"/>
        </w:rPr>
        <w:t>kk, w części spraw stwierdzono kumulatywną kwalifikację prawną z art. 124, art. 125, art. 127 ust. 2 ustawy z dnia 06 września 2001r. prawo farmaceutyczne</w:t>
      </w:r>
      <w:r>
        <w:rPr>
          <w:rFonts w:ascii="Times New Roman" w:hAnsi="Times New Roman" w:cs="Times New Roman"/>
          <w:sz w:val="24"/>
          <w:szCs w:val="24"/>
        </w:rPr>
        <w:t>.</w:t>
      </w:r>
    </w:p>
    <w:p w14:paraId="5E0AC189" w14:textId="26302228" w:rsidR="00A34DB5" w:rsidRDefault="00A11DFA" w:rsidP="00D56347">
      <w:pPr>
        <w:spacing w:line="360" w:lineRule="auto"/>
        <w:ind w:firstLine="360"/>
        <w:jc w:val="both"/>
        <w:rPr>
          <w:bCs/>
        </w:rPr>
      </w:pPr>
      <w:r>
        <w:t xml:space="preserve">Poddane analizie sprawy </w:t>
      </w:r>
      <w:r w:rsidR="003C6398">
        <w:t xml:space="preserve">zostały zainicjowane w zdecydowanej większości zawiadomieniami o podejrzeniu popełnienia przestępstwa </w:t>
      </w:r>
      <w:r w:rsidR="003C6398" w:rsidRPr="00A11DFA">
        <w:rPr>
          <w:i/>
          <w:iCs/>
        </w:rPr>
        <w:t xml:space="preserve">złożonymi </w:t>
      </w:r>
      <w:r w:rsidR="00D56347" w:rsidRPr="00A11DFA">
        <w:rPr>
          <w:bCs/>
          <w:i/>
          <w:iCs/>
        </w:rPr>
        <w:t xml:space="preserve">przez kobiety, które  nakłaniano lub którym udzielono pomocy w </w:t>
      </w:r>
      <w:proofErr w:type="spellStart"/>
      <w:r w:rsidR="00D56347" w:rsidRPr="00A11DFA">
        <w:rPr>
          <w:bCs/>
          <w:i/>
          <w:iCs/>
        </w:rPr>
        <w:t>terminacji</w:t>
      </w:r>
      <w:proofErr w:type="spellEnd"/>
      <w:r w:rsidR="00D56347" w:rsidRPr="00A11DFA">
        <w:rPr>
          <w:bCs/>
          <w:i/>
          <w:iCs/>
        </w:rPr>
        <w:t xml:space="preserve"> ciąży oraz osoby pozostające z nimi w szczególnie bliskich stosunkach osobistych lub relacjach rodzinnych</w:t>
      </w:r>
      <w:r w:rsidR="00D56347" w:rsidRPr="003C6398">
        <w:rPr>
          <w:bCs/>
        </w:rPr>
        <w:t xml:space="preserve"> </w:t>
      </w:r>
      <w:r w:rsidR="00D56347" w:rsidRPr="00A11DFA">
        <w:rPr>
          <w:b/>
          <w:u w:val="single"/>
        </w:rPr>
        <w:t>(170 spraw</w:t>
      </w:r>
      <w:r w:rsidR="00D56347" w:rsidRPr="00A11DFA">
        <w:rPr>
          <w:b/>
        </w:rPr>
        <w:t>).</w:t>
      </w:r>
      <w:r w:rsidR="00D56347" w:rsidRPr="003C6398">
        <w:rPr>
          <w:bCs/>
        </w:rPr>
        <w:t xml:space="preserve"> </w:t>
      </w:r>
      <w:r w:rsidR="003C6398">
        <w:rPr>
          <w:bCs/>
        </w:rPr>
        <w:t xml:space="preserve">W dalszej kolejności </w:t>
      </w:r>
      <w:r>
        <w:rPr>
          <w:bCs/>
        </w:rPr>
        <w:t xml:space="preserve">podstawę do prowadzenia postępowań przygotowawczych stanowiły: </w:t>
      </w:r>
      <w:r w:rsidR="003C6398">
        <w:rPr>
          <w:bCs/>
        </w:rPr>
        <w:t xml:space="preserve">materiały wyłączone z innych </w:t>
      </w:r>
      <w:r>
        <w:rPr>
          <w:bCs/>
        </w:rPr>
        <w:t>spraw,</w:t>
      </w:r>
      <w:r w:rsidR="003C6398" w:rsidRPr="003C6398">
        <w:t xml:space="preserve"> </w:t>
      </w:r>
      <w:r w:rsidR="003C6398">
        <w:t>które dotyczyły zorganizowanych grup przestępczych, zajmujących się m.in. handlem środkami wczesnoporonnymi</w:t>
      </w:r>
      <w:r>
        <w:t xml:space="preserve"> (</w:t>
      </w:r>
      <w:r w:rsidR="003C6398">
        <w:rPr>
          <w:bCs/>
        </w:rPr>
        <w:t>102 sprawy</w:t>
      </w:r>
      <w:r>
        <w:rPr>
          <w:bCs/>
        </w:rPr>
        <w:t>)</w:t>
      </w:r>
      <w:r w:rsidR="003C6398">
        <w:rPr>
          <w:bCs/>
        </w:rPr>
        <w:t>, personel medyczny</w:t>
      </w:r>
      <w:r>
        <w:rPr>
          <w:bCs/>
        </w:rPr>
        <w:t xml:space="preserve"> (</w:t>
      </w:r>
      <w:r w:rsidR="003C6398">
        <w:rPr>
          <w:bCs/>
        </w:rPr>
        <w:t>74 sprawy</w:t>
      </w:r>
      <w:r>
        <w:rPr>
          <w:bCs/>
        </w:rPr>
        <w:t xml:space="preserve">), </w:t>
      </w:r>
      <w:r w:rsidR="00A34DB5">
        <w:rPr>
          <w:bCs/>
        </w:rPr>
        <w:t>fundacje i stowarzyszenia</w:t>
      </w:r>
      <w:r>
        <w:rPr>
          <w:bCs/>
        </w:rPr>
        <w:t xml:space="preserve"> (</w:t>
      </w:r>
      <w:r w:rsidR="00A34DB5">
        <w:rPr>
          <w:bCs/>
        </w:rPr>
        <w:t>46 spraw</w:t>
      </w:r>
      <w:r>
        <w:rPr>
          <w:bCs/>
        </w:rPr>
        <w:t>)</w:t>
      </w:r>
      <w:r w:rsidR="00A34DB5">
        <w:rPr>
          <w:bCs/>
        </w:rPr>
        <w:t xml:space="preserve">, anonimowe osoby </w:t>
      </w:r>
      <w:r w:rsidR="00DB0B16">
        <w:rPr>
          <w:bCs/>
        </w:rPr>
        <w:t>(</w:t>
      </w:r>
      <w:r w:rsidR="00A34DB5">
        <w:rPr>
          <w:bCs/>
        </w:rPr>
        <w:t>20 spraw</w:t>
      </w:r>
      <w:r w:rsidR="00DB0B16">
        <w:rPr>
          <w:bCs/>
        </w:rPr>
        <w:t>)</w:t>
      </w:r>
      <w:r w:rsidR="00A34DB5">
        <w:rPr>
          <w:bCs/>
        </w:rPr>
        <w:t xml:space="preserve"> i inne.</w:t>
      </w:r>
    </w:p>
    <w:p w14:paraId="5DAF8B6B" w14:textId="77777777" w:rsidR="00192FA6" w:rsidRDefault="00192FA6" w:rsidP="00DB0B16">
      <w:pPr>
        <w:spacing w:line="360" w:lineRule="auto"/>
        <w:ind w:firstLine="360"/>
        <w:jc w:val="both"/>
        <w:rPr>
          <w:bCs/>
          <w:i/>
          <w:iCs/>
        </w:rPr>
      </w:pPr>
      <w:r>
        <w:rPr>
          <w:bCs/>
        </w:rPr>
        <w:t xml:space="preserve">Z badań aktowych wynika, że w zdecydowanej większości spraw prokuratorzy referenci prawidłowo analizowali złożone zawiadomienia o podejrzeniu popełnienia </w:t>
      </w:r>
      <w:r w:rsidR="00DB0B16">
        <w:rPr>
          <w:bCs/>
        </w:rPr>
        <w:t>przestępstwa</w:t>
      </w:r>
      <w:r>
        <w:rPr>
          <w:bCs/>
        </w:rPr>
        <w:t xml:space="preserve"> w kontekście art. 303 </w:t>
      </w:r>
      <w:proofErr w:type="spellStart"/>
      <w:r>
        <w:rPr>
          <w:bCs/>
        </w:rPr>
        <w:t>kpk</w:t>
      </w:r>
      <w:proofErr w:type="spellEnd"/>
      <w:r>
        <w:rPr>
          <w:bCs/>
        </w:rPr>
        <w:t xml:space="preserve">. </w:t>
      </w:r>
      <w:bookmarkStart w:id="0" w:name="_Hlk166296184"/>
      <w:r>
        <w:rPr>
          <w:bCs/>
        </w:rPr>
        <w:t xml:space="preserve">Zgodnie z treścią tego przepisu, wszczęcie postępowania przygotowawczego następuje, gdy zachodzi uzasadnione podejrzenie popełnienie przestępstwa. Sformułowanie </w:t>
      </w:r>
      <w:r w:rsidRPr="006D4FE2">
        <w:rPr>
          <w:bCs/>
          <w:i/>
          <w:iCs/>
        </w:rPr>
        <w:t>„uzasadnione podejrzenie</w:t>
      </w:r>
      <w:r>
        <w:rPr>
          <w:bCs/>
        </w:rPr>
        <w:t xml:space="preserve">” zawarte w art. 303 </w:t>
      </w:r>
      <w:proofErr w:type="spellStart"/>
      <w:r>
        <w:rPr>
          <w:bCs/>
        </w:rPr>
        <w:t>kpk</w:t>
      </w:r>
      <w:proofErr w:type="spellEnd"/>
      <w:r>
        <w:rPr>
          <w:bCs/>
        </w:rPr>
        <w:t xml:space="preserve"> oznacza konieczność oparcia się przez organ procesowy </w:t>
      </w:r>
      <w:r w:rsidRPr="006D4FE2">
        <w:rPr>
          <w:b/>
          <w:i/>
          <w:iCs/>
        </w:rPr>
        <w:t xml:space="preserve">na konkretnych informacjach - dowodach, wynikających z konkretnych okoliczności, </w:t>
      </w:r>
      <w:r>
        <w:rPr>
          <w:bCs/>
        </w:rPr>
        <w:t>a nie przeczuciach pogłoskach, czy przypuszczeniach  (</w:t>
      </w:r>
      <w:r>
        <w:rPr>
          <w:bCs/>
          <w:i/>
          <w:iCs/>
        </w:rPr>
        <w:t>pr. D. Świecki(red), Kodeks postępowania karnego. Tom I, komentarz aktualizowany do art. 303, LEX 2023; K. Dudka (red), Kodeks postępowania karnego, komentarz do art. 303, wyd. III, Warszawa 2023).</w:t>
      </w:r>
      <w:r>
        <w:rPr>
          <w:bCs/>
        </w:rPr>
        <w:t xml:space="preserve"> Wszczęcie postępowania jest więc dopuszczalne jedynie wtedy, gdy istnieje taki zespół danych, który w sposób obiektywny uprawdopodobni fakt popełnienia przestępstwa i subiektywnie wywoła co do tego faktu wysoki stopień podejrzenia. Dlatego też w pierwszej kolejności </w:t>
      </w:r>
      <w:r w:rsidR="00DB0B16">
        <w:rPr>
          <w:bCs/>
        </w:rPr>
        <w:t xml:space="preserve">niezbędnym jest ustalenie, </w:t>
      </w:r>
      <w:r>
        <w:rPr>
          <w:bCs/>
        </w:rPr>
        <w:t xml:space="preserve">czy określony czyn może być uznany za przestępstwo. Jeżeli istnieje przekonanie, że czyn wskazany w zawiadomieniu nie posiada choćby jednego z elementów istotnych do uznania, że ma on cechy przestępstwa, organ jest zobowiązany do wydania decyzji o odmowie wszczęcia śledztwa </w:t>
      </w:r>
      <w:r w:rsidRPr="00BA28C8">
        <w:rPr>
          <w:bCs/>
          <w:i/>
          <w:iCs/>
        </w:rPr>
        <w:t>(K. Dudka (red), Kodeks postępowania karnego, komentarz do art. 303, wyd. III, Warszawa 2023).</w:t>
      </w:r>
      <w:r>
        <w:rPr>
          <w:bCs/>
          <w:i/>
          <w:iCs/>
        </w:rPr>
        <w:t xml:space="preserve"> </w:t>
      </w:r>
    </w:p>
    <w:bookmarkEnd w:id="0"/>
    <w:p w14:paraId="3284823B" w14:textId="275C5A22" w:rsidR="00581481" w:rsidRDefault="00192FA6" w:rsidP="00581481">
      <w:pPr>
        <w:spacing w:line="360" w:lineRule="auto"/>
        <w:ind w:firstLine="708"/>
        <w:jc w:val="both"/>
        <w:rPr>
          <w:bCs/>
        </w:rPr>
      </w:pPr>
      <w:r w:rsidRPr="002A5142">
        <w:rPr>
          <w:bCs/>
        </w:rPr>
        <w:t>W tym kontekście za zasadne</w:t>
      </w:r>
      <w:r w:rsidR="00DB0B16">
        <w:rPr>
          <w:bCs/>
        </w:rPr>
        <w:t xml:space="preserve"> uznano </w:t>
      </w:r>
      <w:r w:rsidRPr="002A5142">
        <w:rPr>
          <w:bCs/>
        </w:rPr>
        <w:t>decyzje o odmowie wszczęcia śledztwa</w:t>
      </w:r>
      <w:r>
        <w:rPr>
          <w:bCs/>
        </w:rPr>
        <w:t xml:space="preserve"> w sprawach zainicjowanych zawiadomieniami o podejrzeniu popełnienia przestępstw, które </w:t>
      </w:r>
      <w:r>
        <w:rPr>
          <w:bCs/>
        </w:rPr>
        <w:lastRenderedPageBreak/>
        <w:t xml:space="preserve">dotyczyły m.in. wpisów na </w:t>
      </w:r>
      <w:r w:rsidR="003A4D6C">
        <w:rPr>
          <w:bCs/>
        </w:rPr>
        <w:t>Facebooku</w:t>
      </w:r>
      <w:r>
        <w:rPr>
          <w:bCs/>
        </w:rPr>
        <w:t>, czy wypowiedzi zawierających informacje o złożeniu przez nieustaloną osobę zamówienia na preparaty o działaniu wczesnoporonnym dla nieustalonych kobiet, czy artykułów prasowych, zawierających dane „</w:t>
      </w:r>
      <w:r w:rsidRPr="00B7129C">
        <w:rPr>
          <w:bCs/>
          <w:i/>
          <w:iCs/>
        </w:rPr>
        <w:t>o rekordowej liczbie aborcji w Polsce</w:t>
      </w:r>
      <w:r>
        <w:rPr>
          <w:bCs/>
        </w:rPr>
        <w:t>”, wpisach na Instagramie „A</w:t>
      </w:r>
      <w:r w:rsidR="003A4D6C">
        <w:rPr>
          <w:bCs/>
        </w:rPr>
        <w:t xml:space="preserve">borcyjnego </w:t>
      </w:r>
      <w:proofErr w:type="spellStart"/>
      <w:r w:rsidR="003A4D6C">
        <w:rPr>
          <w:bCs/>
        </w:rPr>
        <w:t>Dream</w:t>
      </w:r>
      <w:proofErr w:type="spellEnd"/>
      <w:r w:rsidR="003A4D6C">
        <w:rPr>
          <w:bCs/>
        </w:rPr>
        <w:t xml:space="preserve"> Teamu” i inne.</w:t>
      </w:r>
      <w:r>
        <w:rPr>
          <w:bCs/>
        </w:rPr>
        <w:t xml:space="preserve"> Należy podkreślić, że zgodnie z art. 152 § 2 kk określona czynność sprawcza polega na udzieleniu kobiecie ciężarnej pomocy w przerwaniu ciąży z naruszeniem przepisów ustawy lub nakłanianiu jej do tego. </w:t>
      </w:r>
      <w:r w:rsidR="00581481">
        <w:rPr>
          <w:bCs/>
        </w:rPr>
        <w:t xml:space="preserve">Pomoc w przerwaniu ciąży musi mieć charakter konkretny i zostać udzielona kobiecie ciężarnej, co do której istnieją dane co ustalenia tożsamości. Zgodnie z orzecznictwem sądów powszechnych (por. </w:t>
      </w:r>
      <w:r w:rsidR="00581481" w:rsidRPr="00581481">
        <w:rPr>
          <w:bCs/>
          <w:i/>
          <w:iCs/>
        </w:rPr>
        <w:t xml:space="preserve">postanowienie Sądu Okręgowego w Warszawie z dnia 27 marca 2024r., sygn. akt XII </w:t>
      </w:r>
      <w:proofErr w:type="spellStart"/>
      <w:r w:rsidR="00581481" w:rsidRPr="00581481">
        <w:rPr>
          <w:bCs/>
          <w:i/>
          <w:iCs/>
        </w:rPr>
        <w:t>Kp</w:t>
      </w:r>
      <w:proofErr w:type="spellEnd"/>
      <w:r w:rsidR="00581481" w:rsidRPr="00581481">
        <w:rPr>
          <w:bCs/>
          <w:i/>
          <w:iCs/>
        </w:rPr>
        <w:t xml:space="preserve"> 322/24)</w:t>
      </w:r>
      <w:r w:rsidR="00581481">
        <w:rPr>
          <w:bCs/>
        </w:rPr>
        <w:t xml:space="preserve"> upublicznienie abstrakcyjnych informacji dotyczących możliwości przerywania ciąży nie rodzi po stronie organów ścigania obowiązku podjęcia czynności procesowych.</w:t>
      </w:r>
    </w:p>
    <w:p w14:paraId="2084DCAA" w14:textId="62C7CEBD" w:rsidR="00192FA6" w:rsidRPr="00773C36" w:rsidRDefault="00192FA6" w:rsidP="00DB0B16">
      <w:pPr>
        <w:spacing w:line="360" w:lineRule="auto"/>
        <w:jc w:val="both"/>
        <w:rPr>
          <w:bCs/>
        </w:rPr>
      </w:pPr>
      <w:r>
        <w:rPr>
          <w:bCs/>
        </w:rPr>
        <w:tab/>
        <w:t>Badania aktowe wykazały</w:t>
      </w:r>
      <w:r w:rsidR="00DB0B16">
        <w:rPr>
          <w:bCs/>
        </w:rPr>
        <w:t xml:space="preserve"> również na </w:t>
      </w:r>
      <w:r>
        <w:rPr>
          <w:bCs/>
        </w:rPr>
        <w:t>generalnie prawidłowe ukierunkowanie postępowań, a sporządzane wytyczne w formie pisemnej były adekwatne do wagi i zawiłości nadzorowanych postępowań, etapu na którym znajdowało się śledztwo. Formułowane były szczegółowo, w sposób jasny i wyczerpujący, zmierzający do wyjaśnienia okoliczności sprawy i realizacji pozostałych celów postępowania przygotowawcz</w:t>
      </w:r>
      <w:r w:rsidR="003A4D6C">
        <w:rPr>
          <w:bCs/>
        </w:rPr>
        <w:t xml:space="preserve">ego określonych w art. 297 </w:t>
      </w:r>
      <w:proofErr w:type="spellStart"/>
      <w:r w:rsidR="003A4D6C">
        <w:rPr>
          <w:bCs/>
        </w:rPr>
        <w:t>kpk</w:t>
      </w:r>
      <w:proofErr w:type="spellEnd"/>
      <w:r w:rsidR="003A4D6C">
        <w:rPr>
          <w:bCs/>
        </w:rPr>
        <w:t>.</w:t>
      </w:r>
      <w:r>
        <w:rPr>
          <w:bCs/>
        </w:rPr>
        <w:tab/>
      </w:r>
      <w:r w:rsidRPr="00773C36">
        <w:rPr>
          <w:bCs/>
        </w:rPr>
        <w:t xml:space="preserve">W badanych sprawach nie stwierdzono naruszenia gwarancji procesowych uczestników postępowań. Zarówno zawiadamiający, jak i inni świadkowie byli pouczani o przysługujących im prawach i obowiązkach. </w:t>
      </w:r>
      <w:r w:rsidRPr="00280152">
        <w:rPr>
          <w:bCs/>
        </w:rPr>
        <w:t>Dostrzeżono pewną nieprawidłowość polegającą na przyznawaniu statusu pokrzywdzonego kobietom, które dokonały aborcji farmakologicznej w sytuacji, gdy przedmiotem ochrony, w wypadku typów czynów zabronionych określonych w art. 152 kk jest życie dziecka poczętego.</w:t>
      </w:r>
      <w:r w:rsidRPr="00773C36">
        <w:rPr>
          <w:bCs/>
        </w:rPr>
        <w:t xml:space="preserve">  </w:t>
      </w:r>
    </w:p>
    <w:p w14:paraId="24122752" w14:textId="0B83231C" w:rsidR="00192FA6" w:rsidRDefault="003A4D6C" w:rsidP="00280152">
      <w:pPr>
        <w:tabs>
          <w:tab w:val="left" w:pos="1340"/>
        </w:tabs>
        <w:spacing w:line="360" w:lineRule="auto"/>
        <w:jc w:val="both"/>
        <w:rPr>
          <w:bCs/>
        </w:rPr>
      </w:pPr>
      <w:r>
        <w:rPr>
          <w:bCs/>
        </w:rPr>
        <w:tab/>
      </w:r>
      <w:r w:rsidR="00192FA6">
        <w:rPr>
          <w:bCs/>
        </w:rPr>
        <w:t>Wskazać należy, że p</w:t>
      </w:r>
      <w:r w:rsidR="00192FA6" w:rsidRPr="007348AE">
        <w:rPr>
          <w:bCs/>
        </w:rPr>
        <w:t xml:space="preserve">rzepis art. 152 kk nie przewiduje możliwości ochrony dla kobiety ciężarnej. Ustawodawca  zdecydował się na takie ukształtowanie modelu ochrony życia w fazie przed, jak i po urodzeniu dziecka, który ochroną prawną obejmuje życie dziecka poczętego - art. 152 kk, art. 153 kk, art. 157 a kk, jak i jego matki w okresie ciąży - art. 148 kk, art. 153 kk, art. 154 kk (uchwała Sądu Najwyższego z dnia 26 października 2006r., I KZP 18/06, postanowienie Sądu Najwyższego z dnia 30 października 2008r., I KZP 13/08, postanowienie Sądu Najwyższego z dnia 26 marca 2009r., sygn. I KZP 2/09). W modelu tym kobieta ciężarna z jednej strony nie ponosi odpowiedzialności karnej za jakiekolwiek zachowania podjęte na szkodę dziecka poczętego. Z drugiej zaś - co do zasady nie może być uznana za podmiot, którego dobro będące przedmiotem ochrony prawnokarnej zostało bezpośrednio naruszone lub zagrożone. </w:t>
      </w:r>
      <w:r w:rsidR="00192FA6" w:rsidRPr="00581481">
        <w:rPr>
          <w:bCs/>
        </w:rPr>
        <w:t>Dlatego też matka dziecka, która dobrowolnie,</w:t>
      </w:r>
      <w:r w:rsidR="00192FA6" w:rsidRPr="00630031">
        <w:rPr>
          <w:b/>
        </w:rPr>
        <w:t xml:space="preserve"> </w:t>
      </w:r>
      <w:r w:rsidR="00192FA6" w:rsidRPr="00581481">
        <w:rPr>
          <w:bCs/>
        </w:rPr>
        <w:t>wbrew</w:t>
      </w:r>
      <w:r w:rsidR="00192FA6" w:rsidRPr="00630031">
        <w:rPr>
          <w:b/>
        </w:rPr>
        <w:t xml:space="preserve"> </w:t>
      </w:r>
      <w:r w:rsidR="00192FA6" w:rsidRPr="00581481">
        <w:rPr>
          <w:bCs/>
        </w:rPr>
        <w:lastRenderedPageBreak/>
        <w:t xml:space="preserve">przepisom ustawy, dopuściła się przerwania ciąży nie jest pokrzywdzoną w rozumieniu art. 49 § 1 </w:t>
      </w:r>
      <w:proofErr w:type="spellStart"/>
      <w:r w:rsidR="00192FA6" w:rsidRPr="00581481">
        <w:rPr>
          <w:bCs/>
        </w:rPr>
        <w:t>kpk</w:t>
      </w:r>
      <w:proofErr w:type="spellEnd"/>
      <w:r w:rsidR="00192FA6" w:rsidRPr="00581481">
        <w:rPr>
          <w:bCs/>
        </w:rPr>
        <w:t>.</w:t>
      </w:r>
      <w:r>
        <w:rPr>
          <w:bCs/>
        </w:rPr>
        <w:t xml:space="preserve"> </w:t>
      </w:r>
      <w:r w:rsidR="00192FA6" w:rsidRPr="007348AE">
        <w:rPr>
          <w:bCs/>
        </w:rPr>
        <w:t>Powyższe nie wyklucza możliwości przyznania w konkretnej sprawie takiej kobiecie statusu pokrzywdzonego. Będzie to możliwe np. w takiej sytuacji, gdy czyn zarzucony sprawcy wyczerp</w:t>
      </w:r>
      <w:r w:rsidR="00192FA6">
        <w:rPr>
          <w:bCs/>
        </w:rPr>
        <w:t>ywać będzie</w:t>
      </w:r>
      <w:r w:rsidR="00192FA6" w:rsidRPr="007348AE">
        <w:rPr>
          <w:bCs/>
        </w:rPr>
        <w:t xml:space="preserve"> znamiona określone w innym przepisie ustawy karnej, którym jej dobro prawne zostanie bezpośrednio naruszone lub zagrożone</w:t>
      </w:r>
      <w:r w:rsidR="00192FA6">
        <w:rPr>
          <w:bCs/>
        </w:rPr>
        <w:t xml:space="preserve"> (</w:t>
      </w:r>
      <w:r w:rsidR="00581481" w:rsidRPr="001A1208">
        <w:rPr>
          <w:bCs/>
          <w:i/>
          <w:iCs/>
        </w:rPr>
        <w:t xml:space="preserve">por. </w:t>
      </w:r>
      <w:r w:rsidR="00192FA6" w:rsidRPr="001A1208">
        <w:rPr>
          <w:bCs/>
          <w:i/>
          <w:iCs/>
        </w:rPr>
        <w:t xml:space="preserve">postanowienie Sądu Najwyższego z dnia 26 marca 2009r., sygn. akt I KZP 2/09, wyrok Sądu Apelacyjnego w Gdańsku z dnia 07 lipca 2020r., sygn. akt II </w:t>
      </w:r>
      <w:proofErr w:type="spellStart"/>
      <w:r w:rsidR="00192FA6" w:rsidRPr="001A1208">
        <w:rPr>
          <w:bCs/>
          <w:i/>
          <w:iCs/>
        </w:rPr>
        <w:t>AKa</w:t>
      </w:r>
      <w:proofErr w:type="spellEnd"/>
      <w:r w:rsidR="00192FA6" w:rsidRPr="001A1208">
        <w:rPr>
          <w:bCs/>
          <w:i/>
          <w:iCs/>
        </w:rPr>
        <w:t xml:space="preserve"> 436/19</w:t>
      </w:r>
      <w:r w:rsidR="00192FA6">
        <w:rPr>
          <w:bCs/>
        </w:rPr>
        <w:t>)</w:t>
      </w:r>
      <w:r w:rsidR="00192FA6" w:rsidRPr="007348AE">
        <w:rPr>
          <w:bCs/>
        </w:rPr>
        <w:t>.</w:t>
      </w:r>
    </w:p>
    <w:p w14:paraId="677B4C27" w14:textId="69DAE090" w:rsidR="00264EAB" w:rsidRDefault="00192FA6" w:rsidP="00264EAB">
      <w:pPr>
        <w:spacing w:line="360" w:lineRule="auto"/>
        <w:jc w:val="both"/>
      </w:pPr>
      <w:r>
        <w:rPr>
          <w:bCs/>
        </w:rPr>
        <w:t xml:space="preserve">  </w:t>
      </w:r>
      <w:r w:rsidR="00280152">
        <w:rPr>
          <w:bCs/>
        </w:rPr>
        <w:tab/>
      </w:r>
      <w:r w:rsidR="00280152" w:rsidRPr="00613CEE">
        <w:t xml:space="preserve">W przypadku spraw </w:t>
      </w:r>
      <w:r w:rsidR="00280152">
        <w:t>zakończonych skierowaniem aktów oskarżenia</w:t>
      </w:r>
      <w:r w:rsidR="00264EAB">
        <w:t xml:space="preserve"> należy wyodrębnić trzy grupy</w:t>
      </w:r>
      <w:r w:rsidR="00264EAB" w:rsidRPr="00264EAB">
        <w:t xml:space="preserve"> </w:t>
      </w:r>
      <w:r w:rsidR="00264EAB">
        <w:t>spraw, które charakteryzują się różnym stopniem społecznej szkodliwości. Do pierwszej z nich zaliczyć należy postępowania dotyczące dystrybuowania środków poronnych dokonywane w celu osiągnięcia korzyści majątkowej. Drugą grupę stanowią sprawy, w których na kobietę będącą w ciąży wywierana jest presja psychiczna w ce</w:t>
      </w:r>
      <w:r w:rsidR="003A4D6C">
        <w:t xml:space="preserve">lu dokonania aborcji, mimo, że </w:t>
      </w:r>
      <w:r w:rsidR="00264EAB">
        <w:t xml:space="preserve">są zdecydowane, aby utrzymać ciążę i urodzić dziecko. Ostatnią grupę spraw stanowiły postępowania, w których kobiety same dobrowolnie decydują o przerwaniu ciąży, a inna osoba, zwykle ich partner, pomagał im w nabyciu środków poronnych, czy w transporcie za granicą. </w:t>
      </w:r>
    </w:p>
    <w:p w14:paraId="00256C6F" w14:textId="77777777" w:rsidR="00264EAB" w:rsidRDefault="00264EAB" w:rsidP="00264EAB">
      <w:pPr>
        <w:pStyle w:val="Bezodstpw"/>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Każda z tych grup powinna być traktowana odrębnie.</w:t>
      </w:r>
    </w:p>
    <w:p w14:paraId="36BD7FE5" w14:textId="4B05B9D7" w:rsidR="00264EAB" w:rsidRDefault="00264EAB" w:rsidP="00DB0B16">
      <w:pPr>
        <w:pStyle w:val="Bezodstpw"/>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Z badań aktowych wynika, że w </w:t>
      </w:r>
      <w:r w:rsidR="00DB0B16">
        <w:rPr>
          <w:rFonts w:ascii="Times New Roman" w:hAnsi="Times New Roman" w:cs="Times New Roman"/>
          <w:sz w:val="24"/>
          <w:szCs w:val="24"/>
        </w:rPr>
        <w:t>sprawach</w:t>
      </w:r>
      <w:r w:rsidR="00044332">
        <w:rPr>
          <w:rFonts w:ascii="Times New Roman" w:hAnsi="Times New Roman" w:cs="Times New Roman"/>
          <w:sz w:val="24"/>
          <w:szCs w:val="24"/>
        </w:rPr>
        <w:t xml:space="preserve"> w których skierowano do sądu akty oskarżenia,</w:t>
      </w:r>
      <w:r w:rsidR="00DB0B16">
        <w:rPr>
          <w:rFonts w:ascii="Times New Roman" w:hAnsi="Times New Roman" w:cs="Times New Roman"/>
          <w:sz w:val="24"/>
          <w:szCs w:val="24"/>
        </w:rPr>
        <w:t xml:space="preserve"> </w:t>
      </w:r>
      <w:r w:rsidR="00044332">
        <w:rPr>
          <w:rFonts w:ascii="Times New Roman" w:hAnsi="Times New Roman" w:cs="Times New Roman"/>
          <w:sz w:val="24"/>
          <w:szCs w:val="24"/>
        </w:rPr>
        <w:t xml:space="preserve">co do zasady </w:t>
      </w:r>
      <w:r w:rsidR="00DB0B16" w:rsidRPr="00DB0B16">
        <w:rPr>
          <w:rFonts w:ascii="Times New Roman" w:hAnsi="Times New Roman" w:cs="Times New Roman"/>
          <w:sz w:val="24"/>
          <w:szCs w:val="24"/>
        </w:rPr>
        <w:t xml:space="preserve">zapadały </w:t>
      </w:r>
      <w:r w:rsidRPr="00DB0B16">
        <w:rPr>
          <w:rFonts w:ascii="Times New Roman" w:hAnsi="Times New Roman" w:cs="Times New Roman"/>
          <w:sz w:val="24"/>
          <w:szCs w:val="24"/>
        </w:rPr>
        <w:t>wyroki skazujące</w:t>
      </w:r>
      <w:r>
        <w:rPr>
          <w:rFonts w:ascii="Times New Roman" w:hAnsi="Times New Roman" w:cs="Times New Roman"/>
          <w:sz w:val="24"/>
          <w:szCs w:val="24"/>
        </w:rPr>
        <w:t xml:space="preserve"> po przeprowadzeniu postępowania sądowego, bądź uwzględnieniu wniosków o warunkowe umorzenie lub konsensualne zakończenie sprawy w trybie art. 335 </w:t>
      </w:r>
      <w:proofErr w:type="spellStart"/>
      <w:r>
        <w:rPr>
          <w:rFonts w:ascii="Times New Roman" w:hAnsi="Times New Roman" w:cs="Times New Roman"/>
          <w:sz w:val="24"/>
          <w:szCs w:val="24"/>
        </w:rPr>
        <w:t>kpk</w:t>
      </w:r>
      <w:proofErr w:type="spellEnd"/>
      <w:r>
        <w:rPr>
          <w:rFonts w:ascii="Times New Roman" w:hAnsi="Times New Roman" w:cs="Times New Roman"/>
          <w:sz w:val="24"/>
          <w:szCs w:val="24"/>
        </w:rPr>
        <w:t xml:space="preserve">. </w:t>
      </w:r>
    </w:p>
    <w:p w14:paraId="1EE0360F" w14:textId="77777777" w:rsidR="00280152" w:rsidRDefault="00264EAB" w:rsidP="00DB0B16">
      <w:pPr>
        <w:pStyle w:val="Bezodstpw"/>
        <w:spacing w:line="360" w:lineRule="auto"/>
        <w:jc w:val="both"/>
        <w:rPr>
          <w:bCs/>
        </w:rPr>
      </w:pPr>
      <w:r w:rsidRPr="007D2178">
        <w:rPr>
          <w:rFonts w:ascii="Times New Roman" w:hAnsi="Times New Roman" w:cs="Times New Roman"/>
          <w:sz w:val="24"/>
          <w:szCs w:val="24"/>
        </w:rPr>
        <w:t>Stwierdzono, że dominującym rodzajem kary wymierz</w:t>
      </w:r>
      <w:r>
        <w:rPr>
          <w:rFonts w:ascii="Times New Roman" w:hAnsi="Times New Roman" w:cs="Times New Roman"/>
          <w:sz w:val="24"/>
          <w:szCs w:val="24"/>
        </w:rPr>
        <w:t xml:space="preserve">anym przez sądy </w:t>
      </w:r>
      <w:r w:rsidRPr="007D2178">
        <w:rPr>
          <w:rFonts w:ascii="Times New Roman" w:hAnsi="Times New Roman" w:cs="Times New Roman"/>
          <w:sz w:val="24"/>
          <w:szCs w:val="24"/>
        </w:rPr>
        <w:t>osobom najbliższym, które pomogły kobiecie</w:t>
      </w:r>
      <w:r>
        <w:rPr>
          <w:rFonts w:ascii="Times New Roman" w:hAnsi="Times New Roman" w:cs="Times New Roman"/>
          <w:sz w:val="24"/>
          <w:szCs w:val="24"/>
        </w:rPr>
        <w:t xml:space="preserve"> ciężarnej w </w:t>
      </w:r>
      <w:proofErr w:type="spellStart"/>
      <w:r>
        <w:rPr>
          <w:rFonts w:ascii="Times New Roman" w:hAnsi="Times New Roman" w:cs="Times New Roman"/>
          <w:sz w:val="24"/>
          <w:szCs w:val="24"/>
        </w:rPr>
        <w:t>terminacji</w:t>
      </w:r>
      <w:proofErr w:type="spellEnd"/>
      <w:r>
        <w:rPr>
          <w:rFonts w:ascii="Times New Roman" w:hAnsi="Times New Roman" w:cs="Times New Roman"/>
          <w:sz w:val="24"/>
          <w:szCs w:val="24"/>
        </w:rPr>
        <w:t xml:space="preserve"> ciąży,</w:t>
      </w:r>
      <w:r w:rsidRPr="007D2178">
        <w:rPr>
          <w:rFonts w:ascii="Times New Roman" w:hAnsi="Times New Roman" w:cs="Times New Roman"/>
          <w:sz w:val="24"/>
          <w:szCs w:val="24"/>
        </w:rPr>
        <w:t xml:space="preserve"> </w:t>
      </w:r>
      <w:r>
        <w:rPr>
          <w:rFonts w:ascii="Times New Roman" w:hAnsi="Times New Roman" w:cs="Times New Roman"/>
          <w:sz w:val="24"/>
          <w:szCs w:val="24"/>
        </w:rPr>
        <w:t>były</w:t>
      </w:r>
      <w:r w:rsidRPr="007D2178">
        <w:rPr>
          <w:rFonts w:ascii="Times New Roman" w:hAnsi="Times New Roman" w:cs="Times New Roman"/>
          <w:sz w:val="24"/>
          <w:szCs w:val="24"/>
        </w:rPr>
        <w:t xml:space="preserve"> </w:t>
      </w:r>
      <w:r w:rsidRPr="007E423E">
        <w:rPr>
          <w:rFonts w:ascii="Times New Roman" w:hAnsi="Times New Roman" w:cs="Times New Roman"/>
          <w:b/>
          <w:bCs/>
          <w:sz w:val="24"/>
          <w:szCs w:val="24"/>
        </w:rPr>
        <w:t xml:space="preserve">kary ograniczenie wolności polegające na wykonywaniu nieodpłatnie kontrolowanej pracy na cele społeczne w określonym czasowym wymiarze w stosunku miesięcznym lub </w:t>
      </w:r>
      <w:r>
        <w:rPr>
          <w:rFonts w:ascii="Times New Roman" w:hAnsi="Times New Roman" w:cs="Times New Roman"/>
          <w:b/>
          <w:bCs/>
          <w:sz w:val="24"/>
          <w:szCs w:val="24"/>
        </w:rPr>
        <w:t xml:space="preserve">sądy </w:t>
      </w:r>
      <w:r w:rsidRPr="007E423E">
        <w:rPr>
          <w:rFonts w:ascii="Times New Roman" w:hAnsi="Times New Roman" w:cs="Times New Roman"/>
          <w:b/>
          <w:bCs/>
          <w:sz w:val="24"/>
          <w:szCs w:val="24"/>
        </w:rPr>
        <w:t>warunkowo umarzały postępowanie</w:t>
      </w:r>
      <w:r>
        <w:rPr>
          <w:rFonts w:ascii="Times New Roman" w:hAnsi="Times New Roman" w:cs="Times New Roman"/>
          <w:b/>
          <w:bCs/>
          <w:sz w:val="24"/>
          <w:szCs w:val="24"/>
        </w:rPr>
        <w:t xml:space="preserve">. </w:t>
      </w:r>
      <w:r>
        <w:rPr>
          <w:rFonts w:ascii="Times New Roman" w:hAnsi="Times New Roman" w:cs="Times New Roman"/>
          <w:sz w:val="24"/>
          <w:szCs w:val="24"/>
        </w:rPr>
        <w:t xml:space="preserve">Surowsze kary wymierzane były natomiast grupom przestępczym lub osobom, które zajmowały się sprzedażą środków </w:t>
      </w:r>
      <w:proofErr w:type="spellStart"/>
      <w:r>
        <w:rPr>
          <w:rFonts w:ascii="Times New Roman" w:hAnsi="Times New Roman" w:cs="Times New Roman"/>
          <w:sz w:val="24"/>
          <w:szCs w:val="24"/>
        </w:rPr>
        <w:t>wczesporonnych</w:t>
      </w:r>
      <w:proofErr w:type="spellEnd"/>
      <w:r>
        <w:rPr>
          <w:rFonts w:ascii="Times New Roman" w:hAnsi="Times New Roman" w:cs="Times New Roman"/>
          <w:sz w:val="24"/>
          <w:szCs w:val="24"/>
        </w:rPr>
        <w:t xml:space="preserve"> czyniąc sobie z tego procederu stałe źródło dochodu. Wówczas sądy wymierzały bezwzględne kary pozbawienia wolności lub kary pozbawienia wolności z warunkowym jej zawieszeniem z orzeczonym przepadkiem korzyści majątkowych uzyskanych z przestępstwa, czy dodatkowo karą grzywny.</w:t>
      </w:r>
    </w:p>
    <w:p w14:paraId="1A86925A" w14:textId="516AA855" w:rsidR="00280152" w:rsidRPr="007348AE" w:rsidRDefault="00DB0B16" w:rsidP="00DB0B16">
      <w:pPr>
        <w:spacing w:line="360" w:lineRule="auto"/>
        <w:ind w:firstLine="708"/>
        <w:jc w:val="both"/>
        <w:rPr>
          <w:bCs/>
        </w:rPr>
      </w:pPr>
      <w:r>
        <w:rPr>
          <w:bCs/>
        </w:rPr>
        <w:t>Podczas badania aktowego analizie poddano</w:t>
      </w:r>
      <w:r w:rsidR="00044332">
        <w:rPr>
          <w:bCs/>
        </w:rPr>
        <w:t xml:space="preserve"> także </w:t>
      </w:r>
      <w:r w:rsidRPr="00272640">
        <w:rPr>
          <w:b/>
        </w:rPr>
        <w:t>zagadnienie związane z tzw. turystyką aborcyjną</w:t>
      </w:r>
      <w:r>
        <w:rPr>
          <w:bCs/>
        </w:rPr>
        <w:t>, polegającą na wykonaniu zabiegu przerwania ciąży w krajach, w których jest on legalny.</w:t>
      </w:r>
    </w:p>
    <w:p w14:paraId="37A94350" w14:textId="0932A669" w:rsidR="00192FA6" w:rsidRPr="00637717" w:rsidRDefault="00272640" w:rsidP="00264EAB">
      <w:pPr>
        <w:pStyle w:val="Bezodstpw"/>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Ustalenia wynikające z analizy spraw wykazały </w:t>
      </w:r>
      <w:r w:rsidR="00044332">
        <w:rPr>
          <w:rFonts w:ascii="Times New Roman" w:hAnsi="Times New Roman" w:cs="Times New Roman"/>
          <w:sz w:val="24"/>
          <w:szCs w:val="24"/>
        </w:rPr>
        <w:t xml:space="preserve">niejednolitą </w:t>
      </w:r>
      <w:r w:rsidR="00192FA6" w:rsidRPr="0056654E">
        <w:rPr>
          <w:rFonts w:ascii="Times New Roman" w:hAnsi="Times New Roman" w:cs="Times New Roman"/>
          <w:sz w:val="24"/>
          <w:szCs w:val="24"/>
        </w:rPr>
        <w:t xml:space="preserve">praktykę w tym zakresie. </w:t>
      </w:r>
    </w:p>
    <w:p w14:paraId="73882BE0" w14:textId="77777777" w:rsidR="00192FA6" w:rsidRPr="0038589E" w:rsidRDefault="00192FA6" w:rsidP="00192FA6">
      <w:pPr>
        <w:spacing w:line="360" w:lineRule="auto"/>
        <w:jc w:val="both"/>
      </w:pPr>
      <w:r>
        <w:lastRenderedPageBreak/>
        <w:t xml:space="preserve"> </w:t>
      </w:r>
      <w:r>
        <w:tab/>
        <w:t xml:space="preserve"> </w:t>
      </w:r>
      <w:r w:rsidRPr="0038589E">
        <w:t>Tytułem wstępu wskazać należy, że art. 5 k.k. stanowi, że ustawę karną polską stosuje się do sprawcy, który popełnił czyn zabroniony na terytorium Rzeczypospolitej Polskiej. Zgodnie z art. 6 § 2 k.k. czyn zabroniony uważa się za popełniony w miejscu, w którym sprawca działał lub zaniechał działania, do którego był obowiązany, albo gdzie skutek stanowiący znamię czynu zabronionego nastąpił lub według zamiaru sprawcy miał nastąpić.</w:t>
      </w:r>
      <w:r>
        <w:t xml:space="preserve"> </w:t>
      </w:r>
      <w:r w:rsidRPr="0038589E">
        <w:t xml:space="preserve">Nietrudno zauważyć, że w przypadku formalnych typów czynów zabronionych odpowiedzialność karna na podstawie polskiej ustawy karnej możliwa jest wtedy, gdy sprawca działał lub zaniechał działania, do którego był obowiązany, na terytorium Rzeczpospolitej Polskiej. Nakłanianie jest możliwe tylko przez działanie, natomiast udzielenie pomocy także przez zaniechanie. Jeśli więc przyjmie się pogląd o formalnym charakterze podżegania, a tym samym nakłaniania do aborcji (art. 152 § 2 k.k.), a także formalnym charakterze pomocnictwa, czyli także udzielenia pomocy do aborcji (art. 152 § 2 k.k.), </w:t>
      </w:r>
      <w:r w:rsidRPr="00044332">
        <w:t>to dla odpowiedzialności karnej na podstawie polskiej ustawy karnej konieczne będzie działanie (w przypadku nakłaniania) albo działanie lub zaniechanie sprawcy (w przypadku pomocy) na terytorium Polski.</w:t>
      </w:r>
      <w:r w:rsidRPr="0038589E">
        <w:t xml:space="preserve"> W przeciwnym wypadku należy odwoływać się do przepisów rozdziału XIII k.k., a wtedy dla odpowiedzialności karnej za przestępstwa popełnione za granicą zwykle konieczne jest spełnienie wymogu podwójnej karalności (art. 111 § 1 k.k.). Tymczasem, </w:t>
      </w:r>
      <w:r w:rsidRPr="0038589E">
        <w:rPr>
          <w:i/>
          <w:iCs/>
        </w:rPr>
        <w:t>„atrakcyjność</w:t>
      </w:r>
      <w:r w:rsidRPr="0038589E">
        <w:t xml:space="preserve">” krajów, do których wyjeżdżają klienci klinik aborcyjnych, polega na tym, iż zabiegi aborcyjne są tam legalne. </w:t>
      </w:r>
    </w:p>
    <w:p w14:paraId="4A082C15" w14:textId="6E3E315D" w:rsidR="00192FA6" w:rsidRPr="005A4159" w:rsidRDefault="00192FA6" w:rsidP="00272640">
      <w:pPr>
        <w:pStyle w:val="tekstprokuratury"/>
        <w:spacing w:line="360" w:lineRule="auto"/>
        <w:rPr>
          <w:rFonts w:ascii="Times New Roman" w:hAnsi="Times New Roman"/>
          <w:b w:val="0"/>
          <w:bCs w:val="0"/>
          <w:sz w:val="24"/>
        </w:rPr>
      </w:pPr>
      <w:r w:rsidRPr="0038589E">
        <w:rPr>
          <w:rFonts w:ascii="Times New Roman" w:hAnsi="Times New Roman"/>
          <w:b w:val="0"/>
          <w:bCs w:val="0"/>
          <w:sz w:val="24"/>
        </w:rPr>
        <w:t>Powyższe zagadnienie było</w:t>
      </w:r>
      <w:r w:rsidR="00044332">
        <w:rPr>
          <w:rFonts w:ascii="Times New Roman" w:hAnsi="Times New Roman"/>
          <w:b w:val="0"/>
          <w:bCs w:val="0"/>
          <w:sz w:val="24"/>
        </w:rPr>
        <w:t xml:space="preserve"> także</w:t>
      </w:r>
      <w:r w:rsidRPr="0038589E">
        <w:rPr>
          <w:rFonts w:ascii="Times New Roman" w:hAnsi="Times New Roman"/>
          <w:b w:val="0"/>
          <w:bCs w:val="0"/>
          <w:sz w:val="24"/>
        </w:rPr>
        <w:t xml:space="preserve"> przedmiotem rozważań Sądu Najwyższego, który w wyroku z dnia 20 listopada 2014r. (IV KK 257/14) wskazał, że w świetle regulacji art. 6 § 2 k.k. miejscem popełnienia przestępstwa z art. 152 § 2 k.k. jest miejsce działania sprawcy. </w:t>
      </w:r>
      <w:r>
        <w:rPr>
          <w:rFonts w:ascii="Times New Roman" w:hAnsi="Times New Roman"/>
          <w:b w:val="0"/>
          <w:bCs w:val="0"/>
          <w:sz w:val="24"/>
        </w:rPr>
        <w:t xml:space="preserve">Zatem gdy poczynione ustalenia  podczas prowadzonego postępowania przygotowawczego wykażą, </w:t>
      </w:r>
      <w:r w:rsidRPr="00044332">
        <w:rPr>
          <w:rFonts w:ascii="Times New Roman" w:hAnsi="Times New Roman"/>
          <w:b w:val="0"/>
          <w:bCs w:val="0"/>
          <w:sz w:val="24"/>
        </w:rPr>
        <w:t>że dana osoba działając na terenie Polski swoim zachowaniem wypełniła ustawowe znamiona przestępstwa art.152 § 2 kk pomagając w ten sposób kobiecie w przeprowadzeniu aborcji w państwie, w którym jest ona legalna, będzie ponosił odpowiedzialność karn</w:t>
      </w:r>
      <w:r w:rsidR="00264EAB" w:rsidRPr="00044332">
        <w:rPr>
          <w:rFonts w:ascii="Times New Roman" w:hAnsi="Times New Roman"/>
          <w:b w:val="0"/>
          <w:bCs w:val="0"/>
          <w:sz w:val="24"/>
        </w:rPr>
        <w:t>ą</w:t>
      </w:r>
      <w:r w:rsidRPr="00044332">
        <w:rPr>
          <w:rFonts w:ascii="Times New Roman" w:hAnsi="Times New Roman"/>
          <w:b w:val="0"/>
          <w:bCs w:val="0"/>
          <w:sz w:val="24"/>
        </w:rPr>
        <w:t>.</w:t>
      </w:r>
      <w:r>
        <w:rPr>
          <w:rFonts w:ascii="Times New Roman" w:hAnsi="Times New Roman"/>
          <w:b w:val="0"/>
          <w:bCs w:val="0"/>
          <w:sz w:val="24"/>
        </w:rPr>
        <w:t xml:space="preserve"> </w:t>
      </w:r>
      <w:r w:rsidR="003A4D6C">
        <w:rPr>
          <w:rFonts w:ascii="Times New Roman" w:hAnsi="Times New Roman"/>
          <w:b w:val="0"/>
          <w:bCs w:val="0"/>
          <w:sz w:val="24"/>
        </w:rPr>
        <w:t xml:space="preserve">Dodatkowo w </w:t>
      </w:r>
      <w:r w:rsidRPr="005A4159">
        <w:rPr>
          <w:rFonts w:ascii="Times New Roman" w:hAnsi="Times New Roman"/>
          <w:b w:val="0"/>
          <w:bCs w:val="0"/>
          <w:sz w:val="24"/>
        </w:rPr>
        <w:t>wyroku z dnia 23 października 2019r. (sygn. akt V KK 517/18) S</w:t>
      </w:r>
      <w:r>
        <w:rPr>
          <w:rFonts w:ascii="Times New Roman" w:hAnsi="Times New Roman"/>
          <w:b w:val="0"/>
          <w:bCs w:val="0"/>
          <w:sz w:val="24"/>
        </w:rPr>
        <w:t xml:space="preserve">ąd Najwyższy wskazał, że pomocnictwo określone w art. 152 § 2 kk  </w:t>
      </w:r>
      <w:r w:rsidRPr="005A4159">
        <w:rPr>
          <w:rFonts w:ascii="Times New Roman" w:hAnsi="Times New Roman"/>
          <w:b w:val="0"/>
          <w:bCs w:val="0"/>
          <w:sz w:val="24"/>
        </w:rPr>
        <w:t>nie jest formą zjawiskową przestępstwa, ponieważ kobieta ciężarna nie odpowiada karnie za przerwanie ciąży</w:t>
      </w:r>
      <w:r w:rsidRPr="0038589E">
        <w:rPr>
          <w:rFonts w:ascii="Times New Roman" w:hAnsi="Times New Roman"/>
          <w:sz w:val="24"/>
        </w:rPr>
        <w:t xml:space="preserve">. </w:t>
      </w:r>
      <w:r w:rsidRPr="005A4159">
        <w:rPr>
          <w:rFonts w:ascii="Times New Roman" w:hAnsi="Times New Roman"/>
          <w:b w:val="0"/>
          <w:bCs w:val="0"/>
          <w:sz w:val="24"/>
        </w:rPr>
        <w:t xml:space="preserve">Tym samym stwierdził, że pomocnictwo to nie jest </w:t>
      </w:r>
      <w:proofErr w:type="spellStart"/>
      <w:r w:rsidRPr="005A4159">
        <w:rPr>
          <w:rFonts w:ascii="Times New Roman" w:hAnsi="Times New Roman"/>
          <w:b w:val="0"/>
          <w:bCs w:val="0"/>
          <w:sz w:val="24"/>
        </w:rPr>
        <w:t>niesprawczą</w:t>
      </w:r>
      <w:proofErr w:type="spellEnd"/>
      <w:r w:rsidRPr="005A4159">
        <w:rPr>
          <w:rFonts w:ascii="Times New Roman" w:hAnsi="Times New Roman"/>
          <w:b w:val="0"/>
          <w:bCs w:val="0"/>
          <w:sz w:val="24"/>
        </w:rPr>
        <w:t xml:space="preserve"> formą współdziałania przestępczego. Odpowiedzialność za przestępstwo pomocy z art. 152 § 2 k.k. nie jest uzależniona od tego, czy kobieta podda się albo dokona aborcji. Rzeczą również jasną jest, że udzielający pomocy tylko kobiecie ciężarnej nie jest pomocnikiem sprawcy czynu z art. 152 § 1 k.k. Wobec tego, że pomocnictwo z art. 152 § 2 k.k. jest odrębnym przestępstwem, a nie wspomnianą postacią zjawiskową przestępstwa głównego (</w:t>
      </w:r>
      <w:proofErr w:type="spellStart"/>
      <w:r w:rsidRPr="005A4159">
        <w:rPr>
          <w:rFonts w:ascii="Times New Roman" w:hAnsi="Times New Roman"/>
          <w:b w:val="0"/>
          <w:bCs w:val="0"/>
          <w:sz w:val="24"/>
        </w:rPr>
        <w:t>niesprawczą</w:t>
      </w:r>
      <w:proofErr w:type="spellEnd"/>
      <w:r w:rsidRPr="005A4159">
        <w:rPr>
          <w:rFonts w:ascii="Times New Roman" w:hAnsi="Times New Roman"/>
          <w:b w:val="0"/>
          <w:bCs w:val="0"/>
          <w:sz w:val="24"/>
        </w:rPr>
        <w:t xml:space="preserve"> postacią współdziałania w tym przestępstwie), nie stosuje się do tego </w:t>
      </w:r>
      <w:r w:rsidRPr="005A4159">
        <w:rPr>
          <w:rFonts w:ascii="Times New Roman" w:hAnsi="Times New Roman"/>
          <w:b w:val="0"/>
          <w:bCs w:val="0"/>
          <w:sz w:val="24"/>
        </w:rPr>
        <w:lastRenderedPageBreak/>
        <w:t xml:space="preserve">pomocnictwa części ogólnej Kodeksu karnego, w tym art. 22 k.k. i 23 k.k. Swoistość pomocnictwa określonego w art. 152 § 2 k.k. polega również na tym, że bezprzedmiotowe są rozważania, czy przestępstwo to jest popełnione, mimo że nie dojdzie do przerwania ciąży z jakichkolwiek powodów. Znamiona czynu zostały tak określone, że </w:t>
      </w:r>
      <w:r w:rsidR="003A4D6C">
        <w:rPr>
          <w:rFonts w:ascii="Times New Roman" w:hAnsi="Times New Roman"/>
          <w:b w:val="0"/>
          <w:bCs w:val="0"/>
          <w:sz w:val="24"/>
        </w:rPr>
        <w:t>i</w:t>
      </w:r>
      <w:r>
        <w:rPr>
          <w:rFonts w:ascii="Times New Roman" w:hAnsi="Times New Roman"/>
          <w:b w:val="0"/>
          <w:bCs w:val="0"/>
          <w:sz w:val="24"/>
        </w:rPr>
        <w:t xml:space="preserve">ch </w:t>
      </w:r>
      <w:r w:rsidRPr="005A4159">
        <w:rPr>
          <w:rFonts w:ascii="Times New Roman" w:hAnsi="Times New Roman"/>
          <w:b w:val="0"/>
          <w:bCs w:val="0"/>
          <w:sz w:val="24"/>
        </w:rPr>
        <w:t xml:space="preserve">realizacja przez sprawcę stanowi dokonanie tego czynu. Przestępstwo z art. 152 § 2 k.k. jest z tego powodu (budowy znamion) przestępstwem formalnym – </w:t>
      </w:r>
      <w:proofErr w:type="spellStart"/>
      <w:r w:rsidRPr="005A4159">
        <w:rPr>
          <w:rFonts w:ascii="Times New Roman" w:hAnsi="Times New Roman"/>
          <w:b w:val="0"/>
          <w:bCs w:val="0"/>
          <w:sz w:val="24"/>
        </w:rPr>
        <w:t>bezskutkowym</w:t>
      </w:r>
      <w:proofErr w:type="spellEnd"/>
      <w:r w:rsidRPr="005A4159">
        <w:rPr>
          <w:rFonts w:ascii="Times New Roman" w:hAnsi="Times New Roman"/>
          <w:b w:val="0"/>
          <w:bCs w:val="0"/>
          <w:sz w:val="24"/>
        </w:rPr>
        <w:t xml:space="preserve">. Jego </w:t>
      </w:r>
      <w:proofErr w:type="spellStart"/>
      <w:r w:rsidRPr="005A4159">
        <w:rPr>
          <w:rFonts w:ascii="Times New Roman" w:hAnsi="Times New Roman"/>
          <w:b w:val="0"/>
          <w:bCs w:val="0"/>
          <w:sz w:val="24"/>
        </w:rPr>
        <w:t>bezskutkowość</w:t>
      </w:r>
      <w:proofErr w:type="spellEnd"/>
      <w:r w:rsidRPr="005A4159">
        <w:rPr>
          <w:rFonts w:ascii="Times New Roman" w:hAnsi="Times New Roman"/>
          <w:b w:val="0"/>
          <w:bCs w:val="0"/>
          <w:sz w:val="24"/>
        </w:rPr>
        <w:t xml:space="preserve"> przejawia się również w tym, że, podobnie jak przy pomocnictwie z art. 18 § 3 k.p.k., sprawca odpowiada karnie bez względu na to, czy pomoc wzbudziła w kobiecie ciężarnej zamiar aborcji czy tylko upewniła w chęci wykonania tego zabiegu, oraz bez względu na to </w:t>
      </w:r>
      <w:r>
        <w:rPr>
          <w:rFonts w:ascii="Times New Roman" w:hAnsi="Times New Roman"/>
          <w:b w:val="0"/>
          <w:bCs w:val="0"/>
          <w:sz w:val="24"/>
        </w:rPr>
        <w:t>-</w:t>
      </w:r>
      <w:r w:rsidRPr="005A4159">
        <w:rPr>
          <w:rFonts w:ascii="Times New Roman" w:hAnsi="Times New Roman"/>
          <w:b w:val="0"/>
          <w:bCs w:val="0"/>
          <w:sz w:val="24"/>
        </w:rPr>
        <w:t xml:space="preserve"> jak wspomniano </w:t>
      </w:r>
      <w:r>
        <w:rPr>
          <w:rFonts w:ascii="Times New Roman" w:hAnsi="Times New Roman"/>
          <w:b w:val="0"/>
          <w:bCs w:val="0"/>
          <w:sz w:val="24"/>
        </w:rPr>
        <w:t>-</w:t>
      </w:r>
      <w:r w:rsidRPr="005A4159">
        <w:rPr>
          <w:rFonts w:ascii="Times New Roman" w:hAnsi="Times New Roman"/>
          <w:b w:val="0"/>
          <w:bCs w:val="0"/>
          <w:sz w:val="24"/>
        </w:rPr>
        <w:t xml:space="preserve"> czy przez tę kobietę podjęte zostały jakiekolwiek kroki zmierzające do przerwania ciąży. </w:t>
      </w:r>
    </w:p>
    <w:p w14:paraId="368FF746" w14:textId="77777777" w:rsidR="00192FA6" w:rsidRPr="00044332" w:rsidRDefault="00192FA6" w:rsidP="00192FA6">
      <w:pPr>
        <w:pStyle w:val="Default"/>
        <w:spacing w:line="360" w:lineRule="auto"/>
        <w:ind w:firstLine="284"/>
        <w:jc w:val="both"/>
        <w:rPr>
          <w:rFonts w:ascii="Times New Roman" w:hAnsi="Times New Roman" w:cs="Times New Roman"/>
        </w:rPr>
      </w:pPr>
      <w:r w:rsidRPr="00044332">
        <w:rPr>
          <w:rFonts w:ascii="Times New Roman" w:hAnsi="Times New Roman" w:cs="Times New Roman"/>
        </w:rPr>
        <w:t xml:space="preserve">Z tych wszystkich względów nie ma znaczenia więc miejsce, gdzie (w jakim kraju i pod rządem jakiej ustawy obowiązującej w tym kraju) dokonano aborcji. Wypełnienie znamion czynu z art. 152 § 2 k.k. konfrontuje się tylko z ustawą obowiązującą w miejscu popełnienia tego czynu, a nie w miejscu, w którym kobieta poddaje się aborcji. W myśl art. 6 § 2 k.k. miejscem popełnienia czynu, o znamionach określonych w ustawie, jest miejsce działania sprawcy. Ujmując innymi słowy myśl wyrażoną w poprzednim zdaniu i uwzględniając treść art. 6 § 2 </w:t>
      </w:r>
      <w:r w:rsidRPr="00044332">
        <w:rPr>
          <w:rFonts w:ascii="Times New Roman" w:hAnsi="Times New Roman" w:cs="Times New Roman"/>
          <w:i/>
          <w:iCs/>
        </w:rPr>
        <w:t xml:space="preserve">in </w:t>
      </w:r>
      <w:proofErr w:type="spellStart"/>
      <w:r w:rsidRPr="00044332">
        <w:rPr>
          <w:rFonts w:ascii="Times New Roman" w:hAnsi="Times New Roman" w:cs="Times New Roman"/>
          <w:i/>
          <w:iCs/>
        </w:rPr>
        <w:t>princ</w:t>
      </w:r>
      <w:proofErr w:type="spellEnd"/>
      <w:r w:rsidRPr="00044332">
        <w:rPr>
          <w:rFonts w:ascii="Times New Roman" w:hAnsi="Times New Roman" w:cs="Times New Roman"/>
          <w:i/>
          <w:iCs/>
        </w:rPr>
        <w:t xml:space="preserve">. </w:t>
      </w:r>
      <w:r w:rsidRPr="00044332">
        <w:rPr>
          <w:rFonts w:ascii="Times New Roman" w:hAnsi="Times New Roman" w:cs="Times New Roman"/>
        </w:rPr>
        <w:t xml:space="preserve">k.k., wystarczy zbadać, czy sprawca udzielał pomocy w przerwaniu ciąży z naruszeniem przepisów ustawy miejsca popełnienia przestępstwa (tu - ustawy polskiej). </w:t>
      </w:r>
    </w:p>
    <w:p w14:paraId="4C0E0382" w14:textId="77777777" w:rsidR="00192FA6" w:rsidRPr="00CF2D1D" w:rsidRDefault="00192FA6" w:rsidP="00272640">
      <w:pPr>
        <w:pStyle w:val="Default"/>
        <w:spacing w:line="360" w:lineRule="auto"/>
        <w:ind w:firstLine="284"/>
        <w:jc w:val="both"/>
        <w:rPr>
          <w:rFonts w:ascii="Times New Roman" w:hAnsi="Times New Roman" w:cs="Times New Roman"/>
        </w:rPr>
      </w:pPr>
      <w:r w:rsidRPr="00044332">
        <w:rPr>
          <w:rFonts w:ascii="Times New Roman" w:hAnsi="Times New Roman" w:cs="Times New Roman"/>
        </w:rPr>
        <w:t xml:space="preserve">Jeśli więc dojdzie do popełnienie czynu w formie dokonania w Polsce, </w:t>
      </w:r>
      <w:r w:rsidRPr="00044332">
        <w:rPr>
          <w:rFonts w:ascii="Times New Roman" w:hAnsi="Times New Roman" w:cs="Times New Roman"/>
          <w:color w:val="auto"/>
        </w:rPr>
        <w:t>to znamiona tego czynu należy odnosić do ustawy polskiej w tej części, w której określa legalne warunki przerwania ciąży.</w:t>
      </w:r>
      <w:r w:rsidRPr="0038589E">
        <w:rPr>
          <w:rFonts w:ascii="Times New Roman" w:hAnsi="Times New Roman" w:cs="Times New Roman"/>
          <w:color w:val="auto"/>
        </w:rPr>
        <w:t xml:space="preserve"> </w:t>
      </w:r>
      <w:r w:rsidRPr="00CF2D1D">
        <w:rPr>
          <w:rFonts w:ascii="Times New Roman" w:hAnsi="Times New Roman" w:cs="Times New Roman"/>
          <w:shd w:val="clear" w:color="auto" w:fill="FFFFFF"/>
        </w:rPr>
        <w:t xml:space="preserve">Jeśli natomiast zachowania realizujące znamiona „pomocy” lub „nakłaniania” w rozumieniu art. 152 § 2 k.k. miały miejsce za granicą, kwestia odpowiedzialności sprawcy winna być oceniania zgodnie z przepisami rozdziału XIII Kodeksu karnego, w tym m.in. przy zastosowaniu art. 109 i art. 111 § 1 k.k. Polską ustawę karną stosuje się do obywatela polskiego, który popełnił przestępstwo za granicą, przy czym warunkiem odpowiedzialności jest uznanie takiego czynu za przestępstwo również przez ustawę obowiązującą w miejscu jego popełnienia. Celem ustalenia stanu prawnego obowiązującego za granicą prokurator może się zwrócić do punktu kontaktowego Europejskiej Sieci Sądowej lub polskiego konsula w danym kraju.  </w:t>
      </w:r>
    </w:p>
    <w:p w14:paraId="50A96C37" w14:textId="77777777" w:rsidR="00192FA6" w:rsidRPr="002050C9" w:rsidRDefault="00192FA6" w:rsidP="00192FA6">
      <w:pPr>
        <w:spacing w:line="360" w:lineRule="auto"/>
        <w:jc w:val="both"/>
        <w:rPr>
          <w:bCs/>
        </w:rPr>
      </w:pPr>
    </w:p>
    <w:p w14:paraId="0EA95998" w14:textId="77777777" w:rsidR="00192FA6" w:rsidRPr="00A62C6D" w:rsidRDefault="00272640" w:rsidP="00192FA6">
      <w:pPr>
        <w:pStyle w:val="Bezodstpw"/>
        <w:spacing w:line="360" w:lineRule="auto"/>
        <w:jc w:val="both"/>
        <w:rPr>
          <w:rFonts w:ascii="Times New Roman" w:hAnsi="Times New Roman" w:cs="Times New Roman"/>
          <w:sz w:val="24"/>
          <w:szCs w:val="24"/>
          <w:u w:val="single"/>
        </w:rPr>
      </w:pPr>
      <w:r w:rsidRPr="00A62C6D">
        <w:rPr>
          <w:rFonts w:ascii="Times New Roman" w:hAnsi="Times New Roman" w:cs="Times New Roman"/>
          <w:b/>
          <w:bCs/>
          <w:sz w:val="24"/>
          <w:szCs w:val="24"/>
          <w:u w:val="single"/>
        </w:rPr>
        <w:t>2. ODMOWA WYKONANIA LEGALNEJ ABORCJI.</w:t>
      </w:r>
      <w:r w:rsidR="00192FA6" w:rsidRPr="00A62C6D">
        <w:rPr>
          <w:rFonts w:ascii="Times New Roman" w:hAnsi="Times New Roman" w:cs="Times New Roman"/>
          <w:sz w:val="24"/>
          <w:szCs w:val="24"/>
          <w:u w:val="single"/>
        </w:rPr>
        <w:t>.</w:t>
      </w:r>
    </w:p>
    <w:p w14:paraId="11DEC702" w14:textId="7BB364DD" w:rsidR="00192FA6" w:rsidRDefault="00192FA6" w:rsidP="00192FA6">
      <w:pPr>
        <w:pStyle w:val="Bezodstpw"/>
        <w:spacing w:line="360" w:lineRule="auto"/>
        <w:ind w:firstLine="708"/>
        <w:jc w:val="both"/>
        <w:rPr>
          <w:rFonts w:ascii="Times New Roman" w:hAnsi="Times New Roman" w:cs="Times New Roman"/>
          <w:color w:val="000000"/>
          <w:sz w:val="24"/>
          <w:szCs w:val="24"/>
        </w:rPr>
      </w:pPr>
      <w:bookmarkStart w:id="1" w:name="_Hlk166291289"/>
      <w:r w:rsidRPr="00BC3F41">
        <w:rPr>
          <w:rFonts w:ascii="Times New Roman" w:hAnsi="Times New Roman" w:cs="Times New Roman"/>
          <w:color w:val="000000"/>
          <w:sz w:val="24"/>
          <w:szCs w:val="24"/>
        </w:rPr>
        <w:t>Zakres ingerencji władzy publicznej w sferę ludzkiej prokreacji stanowi jedno z najbardziej złożonych i trudnych zagadnień normatywnych. Wynika to przede wszystkim z powodów aksjologicznych, światopoglądowych i poli</w:t>
      </w:r>
      <w:r w:rsidRPr="00BC3F41">
        <w:rPr>
          <w:rFonts w:ascii="Times New Roman" w:hAnsi="Times New Roman" w:cs="Times New Roman"/>
          <w:color w:val="000000"/>
          <w:sz w:val="24"/>
          <w:szCs w:val="24"/>
        </w:rPr>
        <w:softHyphen/>
        <w:t xml:space="preserve">tycznych. Problematyka aborcji jest stale </w:t>
      </w:r>
      <w:r w:rsidRPr="00BC3F41">
        <w:rPr>
          <w:rFonts w:ascii="Times New Roman" w:hAnsi="Times New Roman" w:cs="Times New Roman"/>
          <w:color w:val="000000"/>
          <w:sz w:val="24"/>
          <w:szCs w:val="24"/>
        </w:rPr>
        <w:lastRenderedPageBreak/>
        <w:t>obecna w debacie publicznej, zaś penalna reakcja na nią stanowi kontrowers</w:t>
      </w:r>
      <w:r w:rsidR="003A4D6C">
        <w:rPr>
          <w:rFonts w:ascii="Times New Roman" w:hAnsi="Times New Roman" w:cs="Times New Roman"/>
          <w:color w:val="000000"/>
          <w:sz w:val="24"/>
          <w:szCs w:val="24"/>
        </w:rPr>
        <w:t>yjny problem prawa karnego. Mię</w:t>
      </w:r>
      <w:r w:rsidRPr="00BC3F41">
        <w:rPr>
          <w:rFonts w:ascii="Times New Roman" w:hAnsi="Times New Roman" w:cs="Times New Roman"/>
          <w:color w:val="000000"/>
          <w:sz w:val="24"/>
          <w:szCs w:val="24"/>
        </w:rPr>
        <w:t>dzy ustawami karnymi poszczególnych państw istnieją różnice w regulacjach odnoszące się do warunków dopuszczalności legalnego przerwania ciąży</w:t>
      </w:r>
      <w:r w:rsidRPr="00BC3F41">
        <w:rPr>
          <w:rStyle w:val="A3"/>
          <w:rFonts w:ascii="Times New Roman" w:hAnsi="Times New Roman" w:cs="Times New Roman"/>
          <w:sz w:val="24"/>
          <w:szCs w:val="24"/>
        </w:rPr>
        <w:t xml:space="preserve"> </w:t>
      </w:r>
      <w:r w:rsidRPr="00BC3F41">
        <w:rPr>
          <w:rFonts w:ascii="Times New Roman" w:hAnsi="Times New Roman" w:cs="Times New Roman"/>
          <w:color w:val="000000"/>
          <w:sz w:val="24"/>
          <w:szCs w:val="24"/>
        </w:rPr>
        <w:t>oraz w ustawodawstwie karnym dotyczącym przestępstw z aborcją związanych</w:t>
      </w:r>
      <w:r>
        <w:rPr>
          <w:rFonts w:ascii="Times New Roman" w:hAnsi="Times New Roman" w:cs="Times New Roman"/>
          <w:color w:val="000000"/>
          <w:sz w:val="24"/>
          <w:szCs w:val="24"/>
        </w:rPr>
        <w:t>.</w:t>
      </w:r>
    </w:p>
    <w:bookmarkEnd w:id="1"/>
    <w:p w14:paraId="2A854057" w14:textId="7E7828F2" w:rsidR="00192FA6" w:rsidRDefault="00192FA6" w:rsidP="00192FA6">
      <w:pPr>
        <w:pStyle w:val="Bezodstpw"/>
        <w:spacing w:line="360" w:lineRule="auto"/>
        <w:ind w:firstLine="708"/>
        <w:jc w:val="both"/>
        <w:rPr>
          <w:rFonts w:ascii="Times New Roman" w:hAnsi="Times New Roman" w:cs="Times New Roman"/>
          <w:color w:val="000000"/>
          <w:sz w:val="24"/>
          <w:szCs w:val="24"/>
        </w:rPr>
      </w:pPr>
      <w:r w:rsidRPr="00A767BD">
        <w:rPr>
          <w:rFonts w:ascii="Times New Roman" w:hAnsi="Times New Roman" w:cs="Times New Roman"/>
          <w:color w:val="000000"/>
          <w:sz w:val="24"/>
          <w:szCs w:val="24"/>
        </w:rPr>
        <w:t xml:space="preserve">Kwestie związane z prawem kobiety do wykonania legalnej aborcji zostały uregulowane w ustawie o </w:t>
      </w:r>
      <w:r w:rsidRPr="00A767BD">
        <w:rPr>
          <w:rFonts w:ascii="Times New Roman" w:hAnsi="Times New Roman" w:cs="Times New Roman"/>
          <w:spacing w:val="-2"/>
          <w:sz w:val="24"/>
          <w:szCs w:val="24"/>
        </w:rPr>
        <w:t>planowaniu rodziny, ochronie płodu ludzkiego i warunkach dopuszczalności przerywania ciąż</w:t>
      </w:r>
      <w:r>
        <w:rPr>
          <w:rFonts w:ascii="Times New Roman" w:hAnsi="Times New Roman" w:cs="Times New Roman"/>
          <w:spacing w:val="-2"/>
          <w:sz w:val="24"/>
          <w:szCs w:val="24"/>
        </w:rPr>
        <w:t xml:space="preserve">y </w:t>
      </w:r>
      <w:r w:rsidRPr="006E1759">
        <w:rPr>
          <w:rFonts w:ascii="Times New Roman" w:hAnsi="Times New Roman" w:cs="Times New Roman"/>
          <w:sz w:val="24"/>
          <w:szCs w:val="24"/>
        </w:rPr>
        <w:t>(Dz.U. nr 17, poz. 78 ze zm.).</w:t>
      </w:r>
      <w:r>
        <w:t xml:space="preserve"> </w:t>
      </w:r>
      <w:r w:rsidRPr="00A767BD">
        <w:rPr>
          <w:rFonts w:ascii="Times New Roman" w:hAnsi="Times New Roman" w:cs="Times New Roman"/>
          <w:spacing w:val="-2"/>
          <w:sz w:val="24"/>
          <w:szCs w:val="24"/>
        </w:rPr>
        <w:t>Sam kodeks karny nie reguluje przesłanek dopuszczalności aborcji.</w:t>
      </w:r>
      <w:r w:rsidRPr="00A767BD">
        <w:rPr>
          <w:rFonts w:ascii="Times New Roman" w:hAnsi="Times New Roman" w:cs="Times New Roman"/>
          <w:sz w:val="24"/>
          <w:szCs w:val="24"/>
        </w:rPr>
        <w:t xml:space="preserve"> Nie ma wątpliwości, iż zarówno przeprowadzenie zabiegu przerwania ciąży zgodnie z przepisami ustawy, jak i nakłanianie bądź udzielenie pomocy do takiego zabiegu jest czynem, który nie stanowi przestępstwa z art. 152 § 2 k.k. Zgodnie z art. 4a ust. 1 ustawy przerwanie ciąży może być dokonane wyłącznie przez lekarza, w przypadkach wskazanych w ustawie.</w:t>
      </w:r>
      <w:r w:rsidRPr="00A767BD">
        <w:rPr>
          <w:rFonts w:ascii="Times New Roman" w:hAnsi="Times New Roman" w:cs="Times New Roman"/>
          <w:color w:val="000000"/>
          <w:sz w:val="24"/>
          <w:szCs w:val="24"/>
        </w:rPr>
        <w:t xml:space="preserve"> W </w:t>
      </w:r>
      <w:r>
        <w:rPr>
          <w:rFonts w:ascii="Times New Roman" w:hAnsi="Times New Roman" w:cs="Times New Roman"/>
          <w:color w:val="000000"/>
          <w:sz w:val="24"/>
          <w:szCs w:val="24"/>
        </w:rPr>
        <w:t>sytuacji,</w:t>
      </w:r>
      <w:r w:rsidRPr="00A767BD">
        <w:rPr>
          <w:rFonts w:ascii="Times New Roman" w:hAnsi="Times New Roman" w:cs="Times New Roman"/>
          <w:color w:val="000000"/>
          <w:sz w:val="24"/>
          <w:szCs w:val="24"/>
        </w:rPr>
        <w:t xml:space="preserve"> np. zagrożenia dla życia lub zdrowia kobiety</w:t>
      </w:r>
      <w:r>
        <w:rPr>
          <w:rFonts w:ascii="Times New Roman" w:hAnsi="Times New Roman" w:cs="Times New Roman"/>
          <w:color w:val="000000"/>
          <w:sz w:val="24"/>
          <w:szCs w:val="24"/>
        </w:rPr>
        <w:t>,</w:t>
      </w:r>
      <w:r w:rsidRPr="00A767BD">
        <w:rPr>
          <w:rFonts w:ascii="Times New Roman" w:hAnsi="Times New Roman" w:cs="Times New Roman"/>
          <w:color w:val="000000"/>
          <w:sz w:val="24"/>
          <w:szCs w:val="24"/>
        </w:rPr>
        <w:t xml:space="preserve"> aborcja jest dopuszczalna do chwili osiągnięcia przez płód zdolności do samodzielnego życia</w:t>
      </w:r>
      <w:r w:rsidR="003A4D6C">
        <w:rPr>
          <w:rFonts w:ascii="Times New Roman" w:hAnsi="Times New Roman" w:cs="Times New Roman"/>
          <w:color w:val="000000"/>
          <w:sz w:val="24"/>
          <w:szCs w:val="24"/>
        </w:rPr>
        <w:t xml:space="preserve"> poza organizmem kobiety ciężar</w:t>
      </w:r>
      <w:r w:rsidRPr="00A767BD">
        <w:rPr>
          <w:rFonts w:ascii="Times New Roman" w:hAnsi="Times New Roman" w:cs="Times New Roman"/>
          <w:color w:val="000000"/>
          <w:sz w:val="24"/>
          <w:szCs w:val="24"/>
        </w:rPr>
        <w:t xml:space="preserve">nej. W </w:t>
      </w:r>
      <w:r>
        <w:rPr>
          <w:rFonts w:ascii="Times New Roman" w:hAnsi="Times New Roman" w:cs="Times New Roman"/>
          <w:color w:val="000000"/>
          <w:sz w:val="24"/>
          <w:szCs w:val="24"/>
        </w:rPr>
        <w:t>przypadku,</w:t>
      </w:r>
      <w:r w:rsidRPr="00A767BD">
        <w:rPr>
          <w:rFonts w:ascii="Times New Roman" w:hAnsi="Times New Roman" w:cs="Times New Roman"/>
          <w:color w:val="000000"/>
          <w:sz w:val="24"/>
          <w:szCs w:val="24"/>
        </w:rPr>
        <w:t xml:space="preserve"> gdy ciąża jest wynikiem przestępstwa, jej przerwania można dokonać do 12 tygodnia ciąży.</w:t>
      </w:r>
      <w:r>
        <w:rPr>
          <w:rFonts w:ascii="Times New Roman" w:hAnsi="Times New Roman" w:cs="Times New Roman"/>
          <w:color w:val="000000"/>
          <w:sz w:val="24"/>
          <w:szCs w:val="24"/>
        </w:rPr>
        <w:t xml:space="preserve"> Niezwykle ważnym jest uzyskanie stosownego zaświadczenia od prokuratora.</w:t>
      </w:r>
      <w:r w:rsidRPr="00A767BD">
        <w:rPr>
          <w:rFonts w:ascii="Times New Roman" w:hAnsi="Times New Roman" w:cs="Times New Roman"/>
          <w:color w:val="000000"/>
          <w:sz w:val="24"/>
          <w:szCs w:val="24"/>
        </w:rPr>
        <w:t xml:space="preserve">  Do przerwania ciąży wymagana jest</w:t>
      </w:r>
      <w:r>
        <w:rPr>
          <w:rFonts w:ascii="Times New Roman" w:hAnsi="Times New Roman" w:cs="Times New Roman"/>
          <w:color w:val="000000"/>
          <w:sz w:val="24"/>
          <w:szCs w:val="24"/>
        </w:rPr>
        <w:t xml:space="preserve"> także</w:t>
      </w:r>
      <w:r w:rsidRPr="00A767BD">
        <w:rPr>
          <w:rFonts w:ascii="Times New Roman" w:hAnsi="Times New Roman" w:cs="Times New Roman"/>
          <w:color w:val="000000"/>
          <w:sz w:val="24"/>
          <w:szCs w:val="24"/>
        </w:rPr>
        <w:t xml:space="preserve"> pisemna zgoda kobiety</w:t>
      </w:r>
      <w:r>
        <w:rPr>
          <w:rFonts w:ascii="Times New Roman" w:hAnsi="Times New Roman" w:cs="Times New Roman"/>
          <w:color w:val="000000"/>
          <w:sz w:val="24"/>
          <w:szCs w:val="24"/>
        </w:rPr>
        <w:t xml:space="preserve">. </w:t>
      </w:r>
    </w:p>
    <w:p w14:paraId="55020E50" w14:textId="77777777" w:rsidR="00192FA6" w:rsidRDefault="00192FA6" w:rsidP="00192FA6">
      <w:pPr>
        <w:pStyle w:val="Bezodstpw"/>
        <w:spacing w:line="360" w:lineRule="auto"/>
        <w:ind w:firstLine="708"/>
        <w:jc w:val="both"/>
        <w:rPr>
          <w:rFonts w:ascii="Times New Roman" w:hAnsi="Times New Roman" w:cs="Times New Roman"/>
          <w:spacing w:val="-2"/>
          <w:sz w:val="24"/>
          <w:szCs w:val="24"/>
        </w:rPr>
      </w:pPr>
      <w:r>
        <w:rPr>
          <w:rFonts w:ascii="Times New Roman" w:hAnsi="Times New Roman" w:cs="Times New Roman"/>
          <w:color w:val="000000"/>
          <w:sz w:val="24"/>
          <w:szCs w:val="24"/>
        </w:rPr>
        <w:t xml:space="preserve">Spełnienie przesłanek wynikających z ustawy </w:t>
      </w:r>
      <w:r w:rsidRPr="00A767BD">
        <w:rPr>
          <w:rFonts w:ascii="Times New Roman" w:hAnsi="Times New Roman" w:cs="Times New Roman"/>
          <w:color w:val="000000"/>
          <w:sz w:val="24"/>
          <w:szCs w:val="24"/>
        </w:rPr>
        <w:t xml:space="preserve">o </w:t>
      </w:r>
      <w:r w:rsidRPr="00A767BD">
        <w:rPr>
          <w:rFonts w:ascii="Times New Roman" w:hAnsi="Times New Roman" w:cs="Times New Roman"/>
          <w:spacing w:val="-2"/>
          <w:sz w:val="24"/>
          <w:szCs w:val="24"/>
        </w:rPr>
        <w:t>planowaniu rodziny, ochronie płodu ludzkiego i warunkach dopuszczalności przerywania ciąży</w:t>
      </w:r>
      <w:r>
        <w:rPr>
          <w:rFonts w:ascii="Times New Roman" w:hAnsi="Times New Roman" w:cs="Times New Roman"/>
          <w:spacing w:val="-2"/>
          <w:sz w:val="24"/>
          <w:szCs w:val="24"/>
        </w:rPr>
        <w:t xml:space="preserve">, dopełnienie określonych w niej procedur winno skutkować możliwością legalnej </w:t>
      </w:r>
      <w:proofErr w:type="spellStart"/>
      <w:r>
        <w:rPr>
          <w:rFonts w:ascii="Times New Roman" w:hAnsi="Times New Roman" w:cs="Times New Roman"/>
          <w:spacing w:val="-2"/>
          <w:sz w:val="24"/>
          <w:szCs w:val="24"/>
        </w:rPr>
        <w:t>terminacji</w:t>
      </w:r>
      <w:proofErr w:type="spellEnd"/>
      <w:r>
        <w:rPr>
          <w:rFonts w:ascii="Times New Roman" w:hAnsi="Times New Roman" w:cs="Times New Roman"/>
          <w:spacing w:val="-2"/>
          <w:sz w:val="24"/>
          <w:szCs w:val="24"/>
        </w:rPr>
        <w:t xml:space="preserve"> ciąży.</w:t>
      </w:r>
    </w:p>
    <w:p w14:paraId="4AEC028E" w14:textId="77777777" w:rsidR="00192FA6" w:rsidRPr="00F01523" w:rsidRDefault="00192FA6" w:rsidP="00192FA6">
      <w:pPr>
        <w:pStyle w:val="Bezodstpw"/>
        <w:spacing w:line="360" w:lineRule="auto"/>
        <w:ind w:firstLine="708"/>
        <w:jc w:val="both"/>
        <w:rPr>
          <w:rFonts w:ascii="Times New Roman" w:hAnsi="Times New Roman" w:cs="Times New Roman"/>
          <w:sz w:val="24"/>
          <w:szCs w:val="24"/>
        </w:rPr>
      </w:pPr>
      <w:r w:rsidRPr="00C708A6">
        <w:rPr>
          <w:rFonts w:ascii="Times New Roman" w:hAnsi="Times New Roman" w:cs="Times New Roman"/>
          <w:sz w:val="24"/>
          <w:szCs w:val="24"/>
        </w:rPr>
        <w:t>Zgodnie z danymi przedstawionymi przez Ministerstwo Zdrowia, w 2020</w:t>
      </w:r>
      <w:r>
        <w:rPr>
          <w:rFonts w:ascii="Times New Roman" w:hAnsi="Times New Roman" w:cs="Times New Roman"/>
          <w:sz w:val="24"/>
          <w:szCs w:val="24"/>
        </w:rPr>
        <w:t xml:space="preserve">r. </w:t>
      </w:r>
      <w:r w:rsidRPr="00C708A6">
        <w:rPr>
          <w:rFonts w:ascii="Times New Roman" w:hAnsi="Times New Roman" w:cs="Times New Roman"/>
          <w:sz w:val="24"/>
          <w:szCs w:val="24"/>
        </w:rPr>
        <w:t xml:space="preserve"> przeprowadzono 1076 legalnych zabiegów przerwania ciąży. W 2021</w:t>
      </w:r>
      <w:r>
        <w:rPr>
          <w:rFonts w:ascii="Times New Roman" w:hAnsi="Times New Roman" w:cs="Times New Roman"/>
          <w:sz w:val="24"/>
          <w:szCs w:val="24"/>
        </w:rPr>
        <w:t>r.</w:t>
      </w:r>
      <w:r w:rsidRPr="00C708A6">
        <w:rPr>
          <w:rFonts w:ascii="Times New Roman" w:hAnsi="Times New Roman" w:cs="Times New Roman"/>
          <w:sz w:val="24"/>
          <w:szCs w:val="24"/>
        </w:rPr>
        <w:t xml:space="preserve"> takich zabiegów było już tylko 107</w:t>
      </w:r>
      <w:r>
        <w:rPr>
          <w:rFonts w:ascii="Times New Roman" w:hAnsi="Times New Roman" w:cs="Times New Roman"/>
          <w:sz w:val="24"/>
          <w:szCs w:val="24"/>
        </w:rPr>
        <w:t>, w 2022r. - 161</w:t>
      </w:r>
      <w:r w:rsidRPr="00C708A6">
        <w:rPr>
          <w:rFonts w:ascii="Times New Roman" w:hAnsi="Times New Roman" w:cs="Times New Roman"/>
          <w:sz w:val="24"/>
          <w:szCs w:val="24"/>
        </w:rPr>
        <w:t>. Z powodu zagrożenia dla zdrowia i życia kobiety w 2020</w:t>
      </w:r>
      <w:r>
        <w:rPr>
          <w:rFonts w:ascii="Times New Roman" w:hAnsi="Times New Roman" w:cs="Times New Roman"/>
          <w:sz w:val="24"/>
          <w:szCs w:val="24"/>
        </w:rPr>
        <w:t xml:space="preserve">r. </w:t>
      </w:r>
      <w:r w:rsidRPr="00C708A6">
        <w:rPr>
          <w:rFonts w:ascii="Times New Roman" w:hAnsi="Times New Roman" w:cs="Times New Roman"/>
          <w:sz w:val="24"/>
          <w:szCs w:val="24"/>
        </w:rPr>
        <w:t xml:space="preserve"> dokonano 21 zabiegów, a w 2021</w:t>
      </w:r>
      <w:r>
        <w:rPr>
          <w:rFonts w:ascii="Times New Roman" w:hAnsi="Times New Roman" w:cs="Times New Roman"/>
          <w:sz w:val="24"/>
          <w:szCs w:val="24"/>
        </w:rPr>
        <w:t xml:space="preserve">r. </w:t>
      </w:r>
      <w:r w:rsidRPr="00C708A6">
        <w:rPr>
          <w:rFonts w:ascii="Times New Roman" w:hAnsi="Times New Roman" w:cs="Times New Roman"/>
          <w:sz w:val="24"/>
          <w:szCs w:val="24"/>
        </w:rPr>
        <w:t>-</w:t>
      </w:r>
      <w:r>
        <w:rPr>
          <w:rFonts w:ascii="Times New Roman" w:hAnsi="Times New Roman" w:cs="Times New Roman"/>
          <w:sz w:val="24"/>
          <w:szCs w:val="24"/>
        </w:rPr>
        <w:t xml:space="preserve"> </w:t>
      </w:r>
      <w:r w:rsidRPr="00C708A6">
        <w:rPr>
          <w:rFonts w:ascii="Times New Roman" w:hAnsi="Times New Roman" w:cs="Times New Roman"/>
          <w:sz w:val="24"/>
          <w:szCs w:val="24"/>
        </w:rPr>
        <w:t>32 zabiegi przerwania ciąży</w:t>
      </w:r>
      <w:r>
        <w:rPr>
          <w:rFonts w:ascii="Times New Roman" w:hAnsi="Times New Roman" w:cs="Times New Roman"/>
          <w:sz w:val="24"/>
          <w:szCs w:val="24"/>
        </w:rPr>
        <w:t>, w 2022r. - 161</w:t>
      </w:r>
      <w:r w:rsidRPr="00C708A6">
        <w:rPr>
          <w:rFonts w:ascii="Times New Roman" w:hAnsi="Times New Roman" w:cs="Times New Roman"/>
          <w:sz w:val="24"/>
          <w:szCs w:val="24"/>
        </w:rPr>
        <w:t>. W 2020</w:t>
      </w:r>
      <w:r>
        <w:rPr>
          <w:rFonts w:ascii="Times New Roman" w:hAnsi="Times New Roman" w:cs="Times New Roman"/>
          <w:sz w:val="24"/>
          <w:szCs w:val="24"/>
        </w:rPr>
        <w:t xml:space="preserve">r. </w:t>
      </w:r>
      <w:r w:rsidRPr="00C708A6">
        <w:rPr>
          <w:rFonts w:ascii="Times New Roman" w:hAnsi="Times New Roman" w:cs="Times New Roman"/>
          <w:sz w:val="24"/>
          <w:szCs w:val="24"/>
        </w:rPr>
        <w:t>dokonano dwóch aborcji z powodu podejrzenia, że ciąża była wynikiem gwałtu. W 2021</w:t>
      </w:r>
      <w:r>
        <w:rPr>
          <w:rFonts w:ascii="Times New Roman" w:hAnsi="Times New Roman" w:cs="Times New Roman"/>
          <w:sz w:val="24"/>
          <w:szCs w:val="24"/>
        </w:rPr>
        <w:t xml:space="preserve">r. i 2022r. </w:t>
      </w:r>
      <w:r w:rsidRPr="00C708A6">
        <w:rPr>
          <w:rFonts w:ascii="Times New Roman" w:hAnsi="Times New Roman" w:cs="Times New Roman"/>
          <w:sz w:val="24"/>
          <w:szCs w:val="24"/>
        </w:rPr>
        <w:t xml:space="preserve">nie odnotowano ani jednego takiego przypadku.  Z powyższego zestawienia wynika, że liczba legalnych aborcji zmniejszyła się 10 - krotnie. Mimo tego, w dalszym ciągu dowiadujemy się ze środków masowego przekazu o odmowach wielu placówek ochrony zdrowia w wykonaniu aborcji poprzez </w:t>
      </w:r>
      <w:bookmarkStart w:id="2" w:name="_Hlk166295239"/>
      <w:r w:rsidRPr="00C708A6">
        <w:rPr>
          <w:rFonts w:ascii="Times New Roman" w:hAnsi="Times New Roman" w:cs="Times New Roman"/>
          <w:sz w:val="24"/>
          <w:szCs w:val="24"/>
        </w:rPr>
        <w:t xml:space="preserve">wydłużanie procedur </w:t>
      </w:r>
      <w:r>
        <w:rPr>
          <w:rFonts w:ascii="Times New Roman" w:hAnsi="Times New Roman" w:cs="Times New Roman"/>
          <w:sz w:val="24"/>
          <w:szCs w:val="24"/>
        </w:rPr>
        <w:t xml:space="preserve">diagnostycznych, administracyjnych </w:t>
      </w:r>
      <w:r w:rsidRPr="00C708A6">
        <w:rPr>
          <w:rFonts w:ascii="Times New Roman" w:hAnsi="Times New Roman" w:cs="Times New Roman"/>
          <w:sz w:val="24"/>
          <w:szCs w:val="24"/>
        </w:rPr>
        <w:t xml:space="preserve">bądź poprzez odsyłanie do innych placówek pacjentek chcących przerwać ciążę, ponieważ pracujący tam lekarze nie chcą wykonywać tego rodzaju zabiegów i </w:t>
      </w:r>
      <w:r w:rsidRPr="00F01523">
        <w:rPr>
          <w:rFonts w:ascii="Times New Roman" w:hAnsi="Times New Roman" w:cs="Times New Roman"/>
          <w:sz w:val="24"/>
          <w:szCs w:val="24"/>
        </w:rPr>
        <w:t>powołują się na tzw. klauzulą sumienia.</w:t>
      </w:r>
    </w:p>
    <w:bookmarkEnd w:id="2"/>
    <w:p w14:paraId="5B2AE637" w14:textId="77777777" w:rsidR="00192FA6" w:rsidRDefault="00192FA6" w:rsidP="00192FA6">
      <w:pPr>
        <w:pStyle w:val="Bezodstpw"/>
        <w:spacing w:line="360" w:lineRule="auto"/>
        <w:ind w:firstLine="708"/>
        <w:jc w:val="both"/>
        <w:rPr>
          <w:rFonts w:ascii="Times New Roman" w:eastAsia="Times New Roman" w:hAnsi="Times New Roman" w:cs="Times New Roman"/>
          <w:kern w:val="0"/>
          <w:sz w:val="24"/>
          <w:szCs w:val="24"/>
          <w:lang w:eastAsia="pl-PL"/>
          <w14:ligatures w14:val="none"/>
        </w:rPr>
      </w:pPr>
      <w:r w:rsidRPr="001A7DD6">
        <w:rPr>
          <w:rFonts w:ascii="Times New Roman" w:hAnsi="Times New Roman" w:cs="Times New Roman"/>
          <w:sz w:val="24"/>
          <w:szCs w:val="24"/>
        </w:rPr>
        <w:t xml:space="preserve">W tym kontekście wskazać jedynie należy, że lekarz wprawdzie może powstrzymać się od wykonania świadczeń zdrowotnych niezgodnych z jego sumieniem, ale może to uczynić z </w:t>
      </w:r>
      <w:r w:rsidRPr="001A7DD6">
        <w:rPr>
          <w:rFonts w:ascii="Times New Roman" w:hAnsi="Times New Roman" w:cs="Times New Roman"/>
          <w:sz w:val="24"/>
          <w:szCs w:val="24"/>
        </w:rPr>
        <w:lastRenderedPageBreak/>
        <w:t xml:space="preserve">zastrzeżeniem (czyli wyjątkiem) art. 30 ustawy o zawodach lekarza i dentysty. Ten zaś jednoznacznie wskazuje, że </w:t>
      </w:r>
      <w:r w:rsidRPr="00A62C6D">
        <w:rPr>
          <w:rFonts w:ascii="Times New Roman" w:hAnsi="Times New Roman" w:cs="Times New Roman"/>
          <w:b/>
          <w:bCs/>
          <w:sz w:val="24"/>
          <w:szCs w:val="24"/>
        </w:rPr>
        <w:t>lekarz ma obowiązek udzielać pomocy lekarskiej w każdym</w:t>
      </w:r>
      <w:r w:rsidRPr="001A7DD6">
        <w:rPr>
          <w:rFonts w:ascii="Times New Roman" w:hAnsi="Times New Roman" w:cs="Times New Roman"/>
          <w:sz w:val="24"/>
          <w:szCs w:val="24"/>
        </w:rPr>
        <w:t xml:space="preserve"> przypadku, gdy zwłoka w jej udzieleniu mogłaby </w:t>
      </w:r>
      <w:r w:rsidRPr="00A62C6D">
        <w:rPr>
          <w:rFonts w:ascii="Times New Roman" w:hAnsi="Times New Roman" w:cs="Times New Roman"/>
          <w:b/>
          <w:bCs/>
          <w:sz w:val="24"/>
          <w:szCs w:val="24"/>
        </w:rPr>
        <w:t xml:space="preserve">spowodować niebezpieczeństwo </w:t>
      </w:r>
      <w:r w:rsidRPr="00A62C6D">
        <w:rPr>
          <w:rFonts w:ascii="Times New Roman" w:eastAsia="Times New Roman" w:hAnsi="Times New Roman" w:cs="Times New Roman"/>
          <w:b/>
          <w:bCs/>
          <w:kern w:val="0"/>
          <w:sz w:val="24"/>
          <w:szCs w:val="24"/>
          <w:lang w:eastAsia="pl-PL"/>
          <w14:ligatures w14:val="none"/>
        </w:rPr>
        <w:t>utraty życia, ciężkiego uszkodzenia ciała lub ciężkiego rozstroju zdrowia</w:t>
      </w:r>
      <w:r w:rsidRPr="001A7DD6">
        <w:rPr>
          <w:rFonts w:ascii="Times New Roman" w:eastAsia="Times New Roman" w:hAnsi="Times New Roman" w:cs="Times New Roman"/>
          <w:kern w:val="0"/>
          <w:sz w:val="24"/>
          <w:szCs w:val="24"/>
          <w:lang w:eastAsia="pl-PL"/>
          <w14:ligatures w14:val="none"/>
        </w:rPr>
        <w:t>.</w:t>
      </w:r>
      <w:r w:rsidRPr="00646D6F">
        <w:rPr>
          <w:rFonts w:ascii="Times New Roman" w:hAnsi="Times New Roman" w:cs="Times New Roman"/>
          <w:sz w:val="24"/>
          <w:szCs w:val="24"/>
        </w:rPr>
        <w:t xml:space="preserve"> Zatem tzw. klauzula sumienia nigdy nie może mieć zastosowania w sytuacji zagrożenia życia kobiety ciężarnej niezależnie od zaawansowania (wieku) ciąży. W pozostałych przypadkach - zagrożenia zdrowia, tzw. klauzula sumienia może być stosowana pod warunkiem, że odroczenie interwencji medycznej nie spowoduje pogorszenia stanu zdrowia kobiety ciężarnej</w:t>
      </w:r>
      <w:r>
        <w:rPr>
          <w:rFonts w:ascii="Times New Roman" w:hAnsi="Times New Roman" w:cs="Times New Roman"/>
          <w:sz w:val="24"/>
          <w:szCs w:val="24"/>
        </w:rPr>
        <w:t xml:space="preserve">. Co więcej, prawo do skorzystania do tzw. klauzuli sumienia ma lekarz, a nie podmiot wykonujący działalność leczniczą, czy prowadzący szpital. Dlatego też obowiązkiem Państwa, wynikającym również z orzeczeń </w:t>
      </w:r>
      <w:proofErr w:type="spellStart"/>
      <w:r>
        <w:rPr>
          <w:rFonts w:ascii="Times New Roman" w:hAnsi="Times New Roman" w:cs="Times New Roman"/>
          <w:sz w:val="24"/>
          <w:szCs w:val="24"/>
        </w:rPr>
        <w:t>ETPcz</w:t>
      </w:r>
      <w:proofErr w:type="spellEnd"/>
      <w:r>
        <w:rPr>
          <w:rFonts w:ascii="Times New Roman" w:hAnsi="Times New Roman" w:cs="Times New Roman"/>
          <w:sz w:val="24"/>
          <w:szCs w:val="24"/>
        </w:rPr>
        <w:t xml:space="preserve"> (sprawa Alicji Tysiąc przeciwko Polsce, R.R. przeciwko Polsce, P. i S. przeciwko Polsce)  jest zagwarantowanie kobietom efektywnego dostępu </w:t>
      </w:r>
      <w:r w:rsidRPr="003D1F41">
        <w:rPr>
          <w:rFonts w:ascii="Times New Roman" w:eastAsia="Times New Roman" w:hAnsi="Times New Roman" w:cs="Times New Roman"/>
          <w:kern w:val="0"/>
          <w:sz w:val="24"/>
          <w:szCs w:val="24"/>
          <w:lang w:eastAsia="pl-PL"/>
          <w14:ligatures w14:val="none"/>
        </w:rPr>
        <w:t>do możliwości skorzystania z zabiegu legalnego przerwania ciąży</w:t>
      </w:r>
      <w:r>
        <w:rPr>
          <w:rFonts w:ascii="Times New Roman" w:eastAsia="Times New Roman" w:hAnsi="Times New Roman" w:cs="Times New Roman"/>
          <w:kern w:val="0"/>
          <w:sz w:val="24"/>
          <w:szCs w:val="24"/>
          <w:lang w:eastAsia="pl-PL"/>
          <w14:ligatures w14:val="none"/>
        </w:rPr>
        <w:t xml:space="preserve">, nie narażając ich na tzw. wtórną </w:t>
      </w:r>
      <w:proofErr w:type="spellStart"/>
      <w:r>
        <w:rPr>
          <w:rFonts w:ascii="Times New Roman" w:eastAsia="Times New Roman" w:hAnsi="Times New Roman" w:cs="Times New Roman"/>
          <w:kern w:val="0"/>
          <w:sz w:val="24"/>
          <w:szCs w:val="24"/>
          <w:lang w:eastAsia="pl-PL"/>
          <w14:ligatures w14:val="none"/>
        </w:rPr>
        <w:t>wiktymizację</w:t>
      </w:r>
      <w:proofErr w:type="spellEnd"/>
      <w:r>
        <w:rPr>
          <w:rFonts w:ascii="Times New Roman" w:eastAsia="Times New Roman" w:hAnsi="Times New Roman" w:cs="Times New Roman"/>
          <w:kern w:val="0"/>
          <w:sz w:val="24"/>
          <w:szCs w:val="24"/>
          <w:lang w:eastAsia="pl-PL"/>
          <w14:ligatures w14:val="none"/>
        </w:rPr>
        <w:t xml:space="preserve"> i nie naruszając ich konwencyjnego prawa do poszanowania życia prywatnego.</w:t>
      </w:r>
    </w:p>
    <w:p w14:paraId="17CEA3A6" w14:textId="77777777" w:rsidR="00272640" w:rsidRDefault="00192FA6" w:rsidP="00192FA6">
      <w:pPr>
        <w:pStyle w:val="Bezodstpw"/>
        <w:spacing w:line="360" w:lineRule="auto"/>
        <w:ind w:firstLine="708"/>
        <w:jc w:val="both"/>
        <w:rPr>
          <w:rFonts w:ascii="Times New Roman" w:eastAsia="Times New Roman" w:hAnsi="Times New Roman" w:cs="Times New Roman"/>
          <w:kern w:val="0"/>
          <w:sz w:val="24"/>
          <w:szCs w:val="24"/>
          <w:lang w:eastAsia="pl-PL"/>
          <w14:ligatures w14:val="none"/>
        </w:rPr>
      </w:pPr>
      <w:r w:rsidRPr="000D56D4">
        <w:rPr>
          <w:rFonts w:ascii="Times New Roman" w:hAnsi="Times New Roman" w:cs="Times New Roman"/>
          <w:sz w:val="24"/>
          <w:szCs w:val="24"/>
        </w:rPr>
        <w:t xml:space="preserve">W każdej sprawie, w której personel medyczny odmówił przeprowadzenia legalnej aborcji, w wyniku czego wystąpiły skutki, o których mowa w art. 155-157 k.k. i w art. 160 k.k., należy niezwłocznie wdrożyć postępowanie przygotowawcze celem wyjaśnienia  okoliczności zaistniałego zdarzenia i dokonania jego oceny </w:t>
      </w:r>
      <w:proofErr w:type="spellStart"/>
      <w:r w:rsidRPr="000D56D4">
        <w:rPr>
          <w:rFonts w:ascii="Times New Roman" w:hAnsi="Times New Roman" w:cs="Times New Roman"/>
          <w:sz w:val="24"/>
          <w:szCs w:val="24"/>
        </w:rPr>
        <w:t>prawno</w:t>
      </w:r>
      <w:proofErr w:type="spellEnd"/>
      <w:r w:rsidRPr="000D56D4">
        <w:rPr>
          <w:rFonts w:ascii="Times New Roman" w:hAnsi="Times New Roman" w:cs="Times New Roman"/>
          <w:sz w:val="24"/>
          <w:szCs w:val="24"/>
        </w:rPr>
        <w:t xml:space="preserve"> </w:t>
      </w:r>
      <w:r>
        <w:rPr>
          <w:rFonts w:ascii="Times New Roman" w:hAnsi="Times New Roman" w:cs="Times New Roman"/>
          <w:sz w:val="24"/>
          <w:szCs w:val="24"/>
        </w:rPr>
        <w:t>-</w:t>
      </w:r>
      <w:r w:rsidRPr="000D56D4">
        <w:rPr>
          <w:rFonts w:ascii="Times New Roman" w:hAnsi="Times New Roman" w:cs="Times New Roman"/>
          <w:sz w:val="24"/>
          <w:szCs w:val="24"/>
        </w:rPr>
        <w:t xml:space="preserve"> karnej. Niezależnie od powyższego</w:t>
      </w:r>
      <w:r>
        <w:rPr>
          <w:rFonts w:ascii="Times New Roman" w:hAnsi="Times New Roman" w:cs="Times New Roman"/>
          <w:sz w:val="24"/>
          <w:szCs w:val="24"/>
        </w:rPr>
        <w:t>,</w:t>
      </w:r>
      <w:r w:rsidRPr="000D56D4">
        <w:rPr>
          <w:rFonts w:ascii="Times New Roman" w:hAnsi="Times New Roman" w:cs="Times New Roman"/>
          <w:sz w:val="24"/>
          <w:szCs w:val="24"/>
        </w:rPr>
        <w:t xml:space="preserve"> należy </w:t>
      </w:r>
      <w:bookmarkStart w:id="3" w:name="_Hlk166299398"/>
      <w:r w:rsidRPr="000D56D4">
        <w:rPr>
          <w:rFonts w:ascii="Times New Roman" w:hAnsi="Times New Roman" w:cs="Times New Roman"/>
          <w:sz w:val="24"/>
          <w:szCs w:val="24"/>
        </w:rPr>
        <w:t>rozważyć poinformowanie Okręgowego Rzecznika Odpowiedzialności Zawodowej celem umożliwienia wszczęcia i przeprowadzenia przez niego postępowania w przedmiocie odpowiedzialności zawodowej lekarza przed upływem okresu przedawnienia dla wdrożenia takiego postępowania.</w:t>
      </w:r>
      <w:r>
        <w:rPr>
          <w:rFonts w:ascii="Times New Roman" w:hAnsi="Times New Roman" w:cs="Times New Roman"/>
          <w:sz w:val="24"/>
          <w:szCs w:val="24"/>
        </w:rPr>
        <w:t xml:space="preserve"> Zasadnym będzie również powiadomienie Rzecznika Praw Pacjenta i właściwy miejscowo Oddział Narodowego Funduszu Zdrowia, z którym dana placówka medyczna ma zawartą umowę </w:t>
      </w:r>
      <w:r w:rsidRPr="003D1F41">
        <w:rPr>
          <w:rFonts w:ascii="Times New Roman" w:eastAsia="Times New Roman" w:hAnsi="Times New Roman" w:cs="Times New Roman"/>
          <w:kern w:val="0"/>
          <w:sz w:val="24"/>
          <w:szCs w:val="24"/>
          <w:lang w:eastAsia="pl-PL"/>
          <w14:ligatures w14:val="none"/>
        </w:rPr>
        <w:t>na udzielanie świadczeń  w zakresie ginekologia i położnictwo</w:t>
      </w:r>
      <w:r>
        <w:rPr>
          <w:rFonts w:ascii="Times New Roman" w:eastAsia="Times New Roman" w:hAnsi="Times New Roman" w:cs="Times New Roman"/>
          <w:kern w:val="0"/>
          <w:sz w:val="24"/>
          <w:szCs w:val="24"/>
          <w:lang w:eastAsia="pl-PL"/>
          <w14:ligatures w14:val="none"/>
        </w:rPr>
        <w:t xml:space="preserve">, </w:t>
      </w:r>
      <w:r w:rsidRPr="003D1F41">
        <w:rPr>
          <w:rFonts w:ascii="Times New Roman" w:eastAsia="Times New Roman" w:hAnsi="Times New Roman" w:cs="Times New Roman"/>
          <w:kern w:val="0"/>
          <w:sz w:val="24"/>
          <w:szCs w:val="24"/>
          <w:lang w:eastAsia="pl-PL"/>
          <w14:ligatures w14:val="none"/>
        </w:rPr>
        <w:t>w przypadkach, gdy zakończenie ciąży jest dopuszczalne przepisami prawa</w:t>
      </w:r>
      <w:r>
        <w:rPr>
          <w:rFonts w:ascii="Times New Roman" w:eastAsia="Times New Roman" w:hAnsi="Times New Roman" w:cs="Times New Roman"/>
          <w:kern w:val="0"/>
          <w:sz w:val="24"/>
          <w:szCs w:val="24"/>
          <w:lang w:eastAsia="pl-PL"/>
          <w14:ligatures w14:val="none"/>
        </w:rPr>
        <w:t>.</w:t>
      </w:r>
      <w:bookmarkEnd w:id="3"/>
    </w:p>
    <w:p w14:paraId="08988349" w14:textId="77777777" w:rsidR="00044332" w:rsidRDefault="00044332" w:rsidP="00192FA6">
      <w:pPr>
        <w:pStyle w:val="Bezodstpw"/>
        <w:spacing w:line="360" w:lineRule="auto"/>
        <w:ind w:firstLine="708"/>
        <w:jc w:val="both"/>
        <w:rPr>
          <w:rFonts w:ascii="Times New Roman" w:eastAsia="Times New Roman" w:hAnsi="Times New Roman" w:cs="Times New Roman"/>
          <w:kern w:val="0"/>
          <w:sz w:val="24"/>
          <w:szCs w:val="24"/>
          <w:lang w:eastAsia="pl-PL"/>
          <w14:ligatures w14:val="none"/>
        </w:rPr>
      </w:pPr>
    </w:p>
    <w:p w14:paraId="6D68DEB5" w14:textId="1EE4BFB5" w:rsidR="001A1208" w:rsidRPr="00044332" w:rsidRDefault="001A1208" w:rsidP="00192FA6">
      <w:pPr>
        <w:pStyle w:val="Bezodstpw"/>
        <w:spacing w:line="360" w:lineRule="auto"/>
        <w:ind w:firstLine="708"/>
        <w:jc w:val="both"/>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Na podstawie ustaleń wynikających z badań aktowych sporządzony został </w:t>
      </w:r>
      <w:r w:rsidRPr="00044332">
        <w:rPr>
          <w:rFonts w:ascii="Times New Roman" w:eastAsia="Times New Roman" w:hAnsi="Times New Roman" w:cs="Times New Roman"/>
          <w:b/>
          <w:bCs/>
          <w:kern w:val="0"/>
          <w:sz w:val="24"/>
          <w:szCs w:val="24"/>
          <w:lang w:eastAsia="pl-PL"/>
          <w14:ligatures w14:val="none"/>
        </w:rPr>
        <w:t xml:space="preserve">projekt wytycznych Prokuratora Generalnego, który </w:t>
      </w:r>
      <w:r w:rsidR="00044332" w:rsidRPr="00044332">
        <w:rPr>
          <w:rFonts w:ascii="Times New Roman" w:eastAsia="Times New Roman" w:hAnsi="Times New Roman" w:cs="Times New Roman"/>
          <w:b/>
          <w:bCs/>
          <w:kern w:val="0"/>
          <w:sz w:val="24"/>
          <w:szCs w:val="24"/>
          <w:lang w:eastAsia="pl-PL"/>
          <w14:ligatures w14:val="none"/>
        </w:rPr>
        <w:t>na podstawie art. 43 § 2 pkt 1 ustawy prawo o prokuraturze został przekazany Krajowej Radzie Prokuratury celem ich zaopiniowania.</w:t>
      </w:r>
    </w:p>
    <w:p w14:paraId="6B34C9ED" w14:textId="77777777" w:rsidR="00192FA6" w:rsidRPr="00E939F3" w:rsidRDefault="00192FA6" w:rsidP="00192FA6">
      <w:pPr>
        <w:pStyle w:val="Bezodstpw"/>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E939F3">
        <w:rPr>
          <w:rFonts w:ascii="Times New Roman" w:hAnsi="Times New Roman" w:cs="Times New Roman"/>
          <w:sz w:val="20"/>
          <w:szCs w:val="20"/>
        </w:rPr>
        <w:t>Opracowano</w:t>
      </w:r>
    </w:p>
    <w:p w14:paraId="7C9AFC00" w14:textId="1FDC68DF" w:rsidR="005A6FA5" w:rsidRDefault="00192FA6" w:rsidP="001A1208">
      <w:pPr>
        <w:pStyle w:val="Bezodstpw"/>
        <w:spacing w:line="360" w:lineRule="auto"/>
        <w:jc w:val="both"/>
      </w:pPr>
      <w:r w:rsidRPr="00E939F3">
        <w:rPr>
          <w:rFonts w:ascii="Times New Roman" w:hAnsi="Times New Roman" w:cs="Times New Roman"/>
          <w:sz w:val="20"/>
          <w:szCs w:val="20"/>
        </w:rPr>
        <w:t xml:space="preserve">                                                                                              </w:t>
      </w:r>
      <w:r>
        <w:rPr>
          <w:rFonts w:ascii="Times New Roman" w:hAnsi="Times New Roman" w:cs="Times New Roman"/>
          <w:sz w:val="20"/>
          <w:szCs w:val="20"/>
        </w:rPr>
        <w:t>w</w:t>
      </w:r>
      <w:r w:rsidRPr="00E939F3">
        <w:rPr>
          <w:rFonts w:ascii="Times New Roman" w:hAnsi="Times New Roman" w:cs="Times New Roman"/>
          <w:sz w:val="20"/>
          <w:szCs w:val="20"/>
        </w:rPr>
        <w:t xml:space="preserve"> Departamencie Postępowania przygotowawczego.</w:t>
      </w:r>
    </w:p>
    <w:sectPr w:rsidR="005A6FA5" w:rsidSect="00192F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3CAD4" w14:textId="77777777" w:rsidR="00960C21" w:rsidRDefault="00960C21">
      <w:r>
        <w:separator/>
      </w:r>
    </w:p>
  </w:endnote>
  <w:endnote w:type="continuationSeparator" w:id="0">
    <w:p w14:paraId="419D59B8" w14:textId="77777777" w:rsidR="00960C21" w:rsidRDefault="0096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Schoolbook">
    <w:altName w:val="Century Schoolbook"/>
    <w:panose1 w:val="02040604050505020304"/>
    <w:charset w:val="EE"/>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696242"/>
      <w:docPartObj>
        <w:docPartGallery w:val="Page Numbers (Bottom of Page)"/>
        <w:docPartUnique/>
      </w:docPartObj>
    </w:sdtPr>
    <w:sdtContent>
      <w:p w14:paraId="5CD6B3D0" w14:textId="77777777" w:rsidR="007446CF" w:rsidRDefault="00D95154">
        <w:pPr>
          <w:pStyle w:val="Stopka"/>
        </w:pPr>
        <w:r>
          <w:fldChar w:fldCharType="begin"/>
        </w:r>
        <w:r>
          <w:instrText>PAGE   \* MERGEFORMAT</w:instrText>
        </w:r>
        <w:r>
          <w:fldChar w:fldCharType="separate"/>
        </w:r>
        <w:r w:rsidR="00ED58EC">
          <w:rPr>
            <w:noProof/>
          </w:rPr>
          <w:t>8</w:t>
        </w:r>
        <w:r>
          <w:fldChar w:fldCharType="end"/>
        </w:r>
      </w:p>
    </w:sdtContent>
  </w:sdt>
  <w:p w14:paraId="33BD177E" w14:textId="77777777" w:rsidR="007446CF" w:rsidRDefault="007446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6899E" w14:textId="77777777" w:rsidR="00960C21" w:rsidRDefault="00960C21">
      <w:r>
        <w:separator/>
      </w:r>
    </w:p>
  </w:footnote>
  <w:footnote w:type="continuationSeparator" w:id="0">
    <w:p w14:paraId="4F64402C" w14:textId="77777777" w:rsidR="00960C21" w:rsidRDefault="00960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B5DD0"/>
    <w:multiLevelType w:val="hybridMultilevel"/>
    <w:tmpl w:val="989AE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5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A6"/>
    <w:rsid w:val="00044332"/>
    <w:rsid w:val="00192FA6"/>
    <w:rsid w:val="001A1208"/>
    <w:rsid w:val="00264EAB"/>
    <w:rsid w:val="00272640"/>
    <w:rsid w:val="00280152"/>
    <w:rsid w:val="002B02D6"/>
    <w:rsid w:val="003A4D6C"/>
    <w:rsid w:val="003C6398"/>
    <w:rsid w:val="00581481"/>
    <w:rsid w:val="005A6FA5"/>
    <w:rsid w:val="00717870"/>
    <w:rsid w:val="007446CF"/>
    <w:rsid w:val="00960C21"/>
    <w:rsid w:val="009D270E"/>
    <w:rsid w:val="00A11DFA"/>
    <w:rsid w:val="00A34DB5"/>
    <w:rsid w:val="00A62C6D"/>
    <w:rsid w:val="00D56347"/>
    <w:rsid w:val="00D95154"/>
    <w:rsid w:val="00DB0B16"/>
    <w:rsid w:val="00ED58EC"/>
    <w:rsid w:val="00F01523"/>
    <w:rsid w:val="00F36C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2C67"/>
  <w15:chartTrackingRefBased/>
  <w15:docId w15:val="{078201AD-48A6-457A-A771-99D56F7E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FA6"/>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2">
    <w:name w:val="heading 2"/>
    <w:basedOn w:val="Normalny"/>
    <w:next w:val="Normalny"/>
    <w:link w:val="Nagwek2Znak"/>
    <w:uiPriority w:val="9"/>
    <w:semiHidden/>
    <w:unhideWhenUsed/>
    <w:qFormat/>
    <w:rsid w:val="00192FA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2FA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Bezodstpw">
    <w:name w:val="No Spacing"/>
    <w:uiPriority w:val="1"/>
    <w:qFormat/>
    <w:rsid w:val="00192FA6"/>
    <w:pPr>
      <w:spacing w:after="0" w:line="240" w:lineRule="auto"/>
    </w:pPr>
  </w:style>
  <w:style w:type="paragraph" w:styleId="Tekstpodstawowywcity">
    <w:name w:val="Body Text Indent"/>
    <w:basedOn w:val="Normalny"/>
    <w:link w:val="TekstpodstawowywcityZnak"/>
    <w:semiHidden/>
    <w:rsid w:val="00192FA6"/>
    <w:pPr>
      <w:ind w:left="2124"/>
      <w:jc w:val="both"/>
    </w:pPr>
    <w:rPr>
      <w:sz w:val="26"/>
      <w:szCs w:val="26"/>
    </w:rPr>
  </w:style>
  <w:style w:type="character" w:customStyle="1" w:styleId="TekstpodstawowywcityZnak">
    <w:name w:val="Tekst podstawowy wcięty Znak"/>
    <w:basedOn w:val="Domylnaczcionkaakapitu"/>
    <w:link w:val="Tekstpodstawowywcity"/>
    <w:semiHidden/>
    <w:rsid w:val="00192FA6"/>
    <w:rPr>
      <w:rFonts w:ascii="Times New Roman" w:eastAsia="Times New Roman" w:hAnsi="Times New Roman" w:cs="Times New Roman"/>
      <w:kern w:val="0"/>
      <w:sz w:val="26"/>
      <w:szCs w:val="26"/>
      <w:lang w:eastAsia="pl-PL"/>
      <w14:ligatures w14:val="none"/>
    </w:rPr>
  </w:style>
  <w:style w:type="paragraph" w:styleId="Tekstpodstawowy">
    <w:name w:val="Body Text"/>
    <w:basedOn w:val="Normalny"/>
    <w:link w:val="TekstpodstawowyZnak"/>
    <w:semiHidden/>
    <w:rsid w:val="00192FA6"/>
    <w:pPr>
      <w:spacing w:after="120"/>
    </w:pPr>
  </w:style>
  <w:style w:type="character" w:customStyle="1" w:styleId="TekstpodstawowyZnak">
    <w:name w:val="Tekst podstawowy Znak"/>
    <w:basedOn w:val="Domylnaczcionkaakapitu"/>
    <w:link w:val="Tekstpodstawowy"/>
    <w:semiHidden/>
    <w:rsid w:val="00192FA6"/>
    <w:rPr>
      <w:rFonts w:ascii="Times New Roman" w:eastAsia="Times New Roman" w:hAnsi="Times New Roman" w:cs="Times New Roman"/>
      <w:kern w:val="0"/>
      <w:sz w:val="24"/>
      <w:szCs w:val="24"/>
      <w:lang w:eastAsia="pl-PL"/>
      <w14:ligatures w14:val="none"/>
    </w:rPr>
  </w:style>
  <w:style w:type="paragraph" w:styleId="Tekstpodstawowy2">
    <w:name w:val="Body Text 2"/>
    <w:basedOn w:val="Normalny"/>
    <w:link w:val="Tekstpodstawowy2Znak"/>
    <w:semiHidden/>
    <w:rsid w:val="00192FA6"/>
    <w:pPr>
      <w:spacing w:after="120" w:line="480" w:lineRule="auto"/>
    </w:pPr>
  </w:style>
  <w:style w:type="character" w:customStyle="1" w:styleId="Tekstpodstawowy2Znak">
    <w:name w:val="Tekst podstawowy 2 Znak"/>
    <w:basedOn w:val="Domylnaczcionkaakapitu"/>
    <w:link w:val="Tekstpodstawowy2"/>
    <w:semiHidden/>
    <w:rsid w:val="00192FA6"/>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192FA6"/>
    <w:pPr>
      <w:tabs>
        <w:tab w:val="center" w:pos="4536"/>
        <w:tab w:val="right" w:pos="9072"/>
      </w:tabs>
    </w:pPr>
  </w:style>
  <w:style w:type="character" w:customStyle="1" w:styleId="StopkaZnak">
    <w:name w:val="Stopka Znak"/>
    <w:basedOn w:val="Domylnaczcionkaakapitu"/>
    <w:link w:val="Stopka"/>
    <w:uiPriority w:val="99"/>
    <w:rsid w:val="00192FA6"/>
    <w:rPr>
      <w:rFonts w:ascii="Times New Roman" w:eastAsia="Times New Roman" w:hAnsi="Times New Roman" w:cs="Times New Roman"/>
      <w:kern w:val="0"/>
      <w:sz w:val="24"/>
      <w:szCs w:val="24"/>
      <w:lang w:eastAsia="pl-PL"/>
      <w14:ligatures w14:val="none"/>
    </w:rPr>
  </w:style>
  <w:style w:type="paragraph" w:customStyle="1" w:styleId="Default">
    <w:name w:val="Default"/>
    <w:rsid w:val="00192FA6"/>
    <w:pPr>
      <w:autoSpaceDE w:val="0"/>
      <w:autoSpaceDN w:val="0"/>
      <w:adjustRightInd w:val="0"/>
      <w:spacing w:after="0" w:line="240" w:lineRule="auto"/>
    </w:pPr>
    <w:rPr>
      <w:rFonts w:ascii="Arial" w:hAnsi="Arial" w:cs="Arial"/>
      <w:color w:val="000000"/>
      <w:kern w:val="0"/>
      <w:sz w:val="24"/>
      <w:szCs w:val="24"/>
    </w:rPr>
  </w:style>
  <w:style w:type="character" w:customStyle="1" w:styleId="A3">
    <w:name w:val="A3"/>
    <w:uiPriority w:val="99"/>
    <w:rsid w:val="00192FA6"/>
    <w:rPr>
      <w:rFonts w:cs="Century Schoolbook"/>
      <w:color w:val="000000"/>
      <w:sz w:val="16"/>
      <w:szCs w:val="16"/>
    </w:rPr>
  </w:style>
  <w:style w:type="paragraph" w:customStyle="1" w:styleId="Pa4">
    <w:name w:val="Pa4"/>
    <w:basedOn w:val="Default"/>
    <w:next w:val="Default"/>
    <w:uiPriority w:val="99"/>
    <w:rsid w:val="00192FA6"/>
    <w:pPr>
      <w:spacing w:line="205" w:lineRule="atLeast"/>
    </w:pPr>
    <w:rPr>
      <w:rFonts w:ascii="Century Schoolbook" w:hAnsi="Century Schoolbook" w:cstheme="minorBidi"/>
      <w:color w:val="auto"/>
    </w:rPr>
  </w:style>
  <w:style w:type="paragraph" w:customStyle="1" w:styleId="tekstprokuratury">
    <w:name w:val="tekst prokuratury"/>
    <w:basedOn w:val="Nagwek2"/>
    <w:link w:val="tekstprokuraturyZnak"/>
    <w:rsid w:val="00192FA6"/>
    <w:pPr>
      <w:keepLines w:val="0"/>
      <w:spacing w:before="0"/>
      <w:ind w:firstLine="284"/>
      <w:jc w:val="both"/>
    </w:pPr>
    <w:rPr>
      <w:rFonts w:ascii="Helvetica" w:eastAsia="Times New Roman" w:hAnsi="Helvetica" w:cs="Times New Roman"/>
      <w:b/>
      <w:bCs/>
      <w:color w:val="auto"/>
      <w:sz w:val="21"/>
      <w:szCs w:val="24"/>
      <w:lang w:eastAsia="ar-SA"/>
    </w:rPr>
  </w:style>
  <w:style w:type="character" w:customStyle="1" w:styleId="tekstprokuraturyZnak">
    <w:name w:val="tekst prokuratury Znak"/>
    <w:link w:val="tekstprokuratury"/>
    <w:rsid w:val="00192FA6"/>
    <w:rPr>
      <w:rFonts w:ascii="Helvetica" w:eastAsia="Times New Roman" w:hAnsi="Helvetica" w:cs="Times New Roman"/>
      <w:b/>
      <w:bCs/>
      <w:kern w:val="0"/>
      <w:sz w:val="21"/>
      <w:szCs w:val="24"/>
      <w:lang w:eastAsia="ar-SA"/>
      <w14:ligatures w14:val="none"/>
    </w:rPr>
  </w:style>
  <w:style w:type="character" w:customStyle="1" w:styleId="Teksttreci">
    <w:name w:val="Tekst treści_"/>
    <w:basedOn w:val="Domylnaczcionkaakapitu"/>
    <w:link w:val="Teksttreci0"/>
    <w:rsid w:val="00192FA6"/>
  </w:style>
  <w:style w:type="paragraph" w:customStyle="1" w:styleId="Teksttreci0">
    <w:name w:val="Tekst treści"/>
    <w:basedOn w:val="Normalny"/>
    <w:link w:val="Teksttreci"/>
    <w:rsid w:val="00192FA6"/>
    <w:pPr>
      <w:widowControl w:val="0"/>
      <w:spacing w:line="396" w:lineRule="auto"/>
    </w:pPr>
    <w:rPr>
      <w:rFonts w:asciiTheme="minorHAnsi" w:eastAsiaTheme="minorHAnsi" w:hAnsiTheme="minorHAnsi" w:cstheme="minorBidi"/>
      <w:kern w:val="2"/>
      <w:sz w:val="22"/>
      <w:szCs w:val="22"/>
      <w:lang w:eastAsia="en-US"/>
      <w14:ligatures w14:val="standardContextual"/>
    </w:rPr>
  </w:style>
  <w:style w:type="character" w:customStyle="1" w:styleId="Nagwek2Znak">
    <w:name w:val="Nagłówek 2 Znak"/>
    <w:basedOn w:val="Domylnaczcionkaakapitu"/>
    <w:link w:val="Nagwek2"/>
    <w:uiPriority w:val="9"/>
    <w:semiHidden/>
    <w:rsid w:val="00192FA6"/>
    <w:rPr>
      <w:rFonts w:asciiTheme="majorHAnsi" w:eastAsiaTheme="majorEastAsia" w:hAnsiTheme="majorHAnsi" w:cstheme="majorBidi"/>
      <w:color w:val="2F5496" w:themeColor="accent1" w:themeShade="BF"/>
      <w:kern w:val="0"/>
      <w:sz w:val="26"/>
      <w:szCs w:val="26"/>
      <w:lang w:eastAsia="pl-PL"/>
      <w14:ligatures w14:val="none"/>
    </w:rPr>
  </w:style>
  <w:style w:type="character" w:styleId="Odwoaniedokomentarza">
    <w:name w:val="annotation reference"/>
    <w:basedOn w:val="Domylnaczcionkaakapitu"/>
    <w:uiPriority w:val="99"/>
    <w:semiHidden/>
    <w:unhideWhenUsed/>
    <w:rsid w:val="001A1208"/>
    <w:rPr>
      <w:sz w:val="16"/>
      <w:szCs w:val="16"/>
    </w:rPr>
  </w:style>
  <w:style w:type="paragraph" w:styleId="Tekstkomentarza">
    <w:name w:val="annotation text"/>
    <w:basedOn w:val="Normalny"/>
    <w:link w:val="TekstkomentarzaZnak"/>
    <w:uiPriority w:val="99"/>
    <w:semiHidden/>
    <w:unhideWhenUsed/>
    <w:rsid w:val="001A1208"/>
    <w:rPr>
      <w:sz w:val="20"/>
      <w:szCs w:val="20"/>
    </w:rPr>
  </w:style>
  <w:style w:type="character" w:customStyle="1" w:styleId="TekstkomentarzaZnak">
    <w:name w:val="Tekst komentarza Znak"/>
    <w:basedOn w:val="Domylnaczcionkaakapitu"/>
    <w:link w:val="Tekstkomentarza"/>
    <w:uiPriority w:val="99"/>
    <w:semiHidden/>
    <w:rsid w:val="001A120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1A1208"/>
    <w:rPr>
      <w:b/>
      <w:bCs/>
    </w:rPr>
  </w:style>
  <w:style w:type="character" w:customStyle="1" w:styleId="TematkomentarzaZnak">
    <w:name w:val="Temat komentarza Znak"/>
    <w:basedOn w:val="TekstkomentarzaZnak"/>
    <w:link w:val="Tematkomentarza"/>
    <w:uiPriority w:val="99"/>
    <w:semiHidden/>
    <w:rsid w:val="001A1208"/>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3074</Words>
  <Characters>18446</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Kwiatkowska</dc:creator>
  <cp:keywords/>
  <dc:description/>
  <cp:lastModifiedBy>Katarzyna Kwiatkowska</cp:lastModifiedBy>
  <cp:revision>2</cp:revision>
  <dcterms:created xsi:type="dcterms:W3CDTF">2024-07-28T22:53:00Z</dcterms:created>
  <dcterms:modified xsi:type="dcterms:W3CDTF">2024-07-28T22:53:00Z</dcterms:modified>
</cp:coreProperties>
</file>