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66" w:rsidRDefault="00486A66">
      <w:pPr>
        <w:pStyle w:val="Title"/>
        <w:rPr>
          <w:rFonts w:ascii="Times New Roman" w:hAnsi="Times New Roman" w:cs="Times New Roman"/>
        </w:rPr>
      </w:pPr>
      <w:r>
        <w:rPr>
          <w:rFonts w:ascii="Times New Roman" w:hAnsi="Times New Roman" w:cs="Times New Roman"/>
        </w:rPr>
        <w:t>Komunikat  z posiedzenia</w:t>
      </w:r>
    </w:p>
    <w:p w:rsidR="00486A66" w:rsidRDefault="00486A6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Rady Działalności Pożytku Publicznego</w:t>
      </w:r>
    </w:p>
    <w:p w:rsidR="00486A66" w:rsidRDefault="00486A6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24 listopada 2010 r.</w:t>
      </w:r>
    </w:p>
    <w:p w:rsidR="00486A66" w:rsidRDefault="00486A66">
      <w:pPr>
        <w:spacing w:after="0" w:line="240" w:lineRule="auto"/>
        <w:jc w:val="center"/>
        <w:rPr>
          <w:rFonts w:ascii="Times New Roman" w:hAnsi="Times New Roman" w:cs="Times New Roman"/>
          <w:b/>
          <w:bCs/>
          <w:sz w:val="24"/>
          <w:szCs w:val="24"/>
        </w:rPr>
      </w:pPr>
    </w:p>
    <w:p w:rsidR="00486A66" w:rsidRDefault="00486A66">
      <w:pPr>
        <w:spacing w:after="0" w:line="240" w:lineRule="auto"/>
        <w:jc w:val="both"/>
        <w:rPr>
          <w:rFonts w:ascii="Times New Roman" w:hAnsi="Times New Roman" w:cs="Times New Roman"/>
          <w:sz w:val="24"/>
          <w:szCs w:val="24"/>
        </w:rPr>
      </w:pPr>
    </w:p>
    <w:p w:rsidR="00486A66" w:rsidRDefault="00486A66">
      <w:pPr>
        <w:spacing w:after="0" w:line="240" w:lineRule="auto"/>
        <w:jc w:val="both"/>
        <w:rPr>
          <w:rFonts w:ascii="Times New Roman" w:hAnsi="Times New Roman" w:cs="Times New Roman"/>
          <w:sz w:val="24"/>
          <w:szCs w:val="24"/>
        </w:rPr>
      </w:pPr>
    </w:p>
    <w:p w:rsidR="00486A66" w:rsidRDefault="00486A66">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Dziesiąte posiedzenie Rady Działalności Pożytku Publicznego zainaugurowali Współprzewodniczący RDPP, Jarosław Duda oraz Jan Jakub Wygnański, przywitaniem wszystkich zebranych oraz przypomnieniem agendy spotkania.</w:t>
      </w:r>
    </w:p>
    <w:p w:rsidR="00486A66" w:rsidRDefault="00486A66">
      <w:pPr>
        <w:pStyle w:val="NormalWeb"/>
        <w:spacing w:line="360" w:lineRule="auto"/>
        <w:ind w:firstLine="708"/>
        <w:jc w:val="both"/>
        <w:rPr>
          <w:rFonts w:ascii="Times New Roman" w:hAnsi="Times New Roman" w:cs="Times New Roman"/>
          <w:color w:val="000000"/>
        </w:rPr>
      </w:pPr>
      <w:r>
        <w:rPr>
          <w:rFonts w:ascii="Times New Roman" w:hAnsi="Times New Roman" w:cs="Times New Roman"/>
          <w:color w:val="000000"/>
        </w:rPr>
        <w:t>W pierwszej kolejności Aldona Wiktorska – Święcka z Unii Metropolii Polskich, członkini RDPP zaprezentowała projekt regulaminu konsultacji społecznych z Radą Działalności Pożytku Publicznego projektów dokumentów prawno – programowych, dotyczących sfery pożytku publicznego. Dokument zawiera postanowienia ogólne, tryb,  cel konsultacji społecznych, tj. m.in. określenie standardów instytucjonalnego wyrażania standardów przez Radę, organizacja procesów przekazywania dokumentów do opiniowania przez Radę, jak również budowanie kultury konsultacji społecznych, a przez to przyczynienie się do podnoszenia jakości demokracji. W dokumencie określony został również przedmiot konsultacji, czyli to jakimi dokumentami powinna zajmować się Rada (projekty wszystkich regulacji prawnych dotyczących sfery pożytku publicznego), zakres konsultacji, podmioty konsultacji społecznych z Radą (Kancelaria Premiera Rady Ministrów, resorty, Komisja Wspólna Rządu i Samorządu Terytorialnego, organizacje samorządu terytorialnego, organizacje pozarządowe, członkowie Rady), tryb konsultacji społecznych z Radą i wreszcie procedura konsultacji społecznych z Radą. Zdaniem autorki dokumentu procedurę konsultacyjną powinien uruchamiać współprzewodniczący RDPP lub wyznaczona przez niego osoba. Dokumenty do konsultacji winny być rozsyłane drogą elektroniczną do wszystkich członków Rady, którzy w ciągu 10 dni powinni ustosunkować się do danego dokumentu, po czym odesłać go do sekretariatu Rady. Następnie sekretariat Rady w ciągu 10 dni od otrzymania wszystkich uwag powinien opracować projekt opinii RDPP i przesłać go ponownie członkom Rady, w celu przyjęcia za pośrednictwem karty do głosowania. Jak Jakub Wygnański ustosunkował się do prezentacji przedmówczyni, wskazując na kilka rzeczy, które trzeba doprecyzować, mianowicie:</w:t>
      </w:r>
    </w:p>
    <w:p w:rsidR="00486A66" w:rsidRDefault="00486A66">
      <w:pPr>
        <w:pStyle w:val="NormalWeb"/>
        <w:numPr>
          <w:ilvl w:val="0"/>
          <w:numId w:val="5"/>
        </w:numPr>
        <w:spacing w:line="360" w:lineRule="auto"/>
        <w:jc w:val="both"/>
        <w:rPr>
          <w:rFonts w:ascii="Times New Roman" w:hAnsi="Times New Roman" w:cs="Times New Roman"/>
          <w:color w:val="000000"/>
        </w:rPr>
      </w:pPr>
      <w:r>
        <w:rPr>
          <w:rFonts w:ascii="Times New Roman" w:hAnsi="Times New Roman" w:cs="Times New Roman"/>
          <w:color w:val="000000"/>
        </w:rPr>
        <w:t>Określić sposób pobierania dokumentów.</w:t>
      </w:r>
    </w:p>
    <w:p w:rsidR="00486A66" w:rsidRDefault="00486A66">
      <w:pPr>
        <w:pStyle w:val="NormalWeb"/>
        <w:numPr>
          <w:ilvl w:val="0"/>
          <w:numId w:val="5"/>
        </w:numPr>
        <w:spacing w:line="360" w:lineRule="auto"/>
        <w:jc w:val="both"/>
        <w:rPr>
          <w:rFonts w:ascii="Times New Roman" w:hAnsi="Times New Roman" w:cs="Times New Roman"/>
          <w:color w:val="000000"/>
        </w:rPr>
      </w:pPr>
      <w:r>
        <w:rPr>
          <w:rFonts w:ascii="Times New Roman" w:hAnsi="Times New Roman" w:cs="Times New Roman"/>
          <w:color w:val="000000"/>
        </w:rPr>
        <w:t xml:space="preserve">Odróżnić stanowiska Rady </w:t>
      </w:r>
      <w:r>
        <w:rPr>
          <w:rFonts w:ascii="Times New Roman" w:hAnsi="Times New Roman" w:cs="Times New Roman"/>
          <w:i/>
          <w:iCs/>
          <w:color w:val="000000"/>
        </w:rPr>
        <w:t xml:space="preserve">in gremium </w:t>
      </w:r>
      <w:r>
        <w:rPr>
          <w:rFonts w:ascii="Times New Roman" w:hAnsi="Times New Roman" w:cs="Times New Roman"/>
          <w:color w:val="000000"/>
        </w:rPr>
        <w:t>od stanowiska Rady strony pozarządowej.</w:t>
      </w:r>
    </w:p>
    <w:p w:rsidR="00486A66" w:rsidRDefault="00486A66">
      <w:pPr>
        <w:pStyle w:val="NormalWeb"/>
        <w:numPr>
          <w:ilvl w:val="0"/>
          <w:numId w:val="5"/>
        </w:numPr>
        <w:spacing w:line="360" w:lineRule="auto"/>
        <w:jc w:val="both"/>
        <w:rPr>
          <w:rFonts w:ascii="Times New Roman" w:hAnsi="Times New Roman" w:cs="Times New Roman"/>
          <w:color w:val="000000"/>
        </w:rPr>
      </w:pPr>
      <w:r>
        <w:rPr>
          <w:rFonts w:ascii="Times New Roman" w:hAnsi="Times New Roman" w:cs="Times New Roman"/>
          <w:color w:val="000000"/>
        </w:rPr>
        <w:t>Określić czas na wyrażanie opinii.</w:t>
      </w:r>
    </w:p>
    <w:p w:rsidR="00486A66" w:rsidRDefault="00486A66">
      <w:pPr>
        <w:pStyle w:val="NormalWeb"/>
        <w:numPr>
          <w:ilvl w:val="0"/>
          <w:numId w:val="5"/>
        </w:numPr>
        <w:spacing w:line="360" w:lineRule="auto"/>
        <w:jc w:val="both"/>
        <w:rPr>
          <w:rFonts w:ascii="Times New Roman" w:hAnsi="Times New Roman" w:cs="Times New Roman"/>
          <w:color w:val="000000"/>
        </w:rPr>
      </w:pPr>
      <w:r>
        <w:rPr>
          <w:rFonts w:ascii="Times New Roman" w:hAnsi="Times New Roman" w:cs="Times New Roman"/>
          <w:color w:val="000000"/>
        </w:rPr>
        <w:t>Wybrać osobę odpowiedzialną na prowadzenie konsultacji (tzn. speakera).</w:t>
      </w:r>
    </w:p>
    <w:p w:rsidR="00486A66" w:rsidRDefault="00486A66">
      <w:pPr>
        <w:pStyle w:val="NormalWeb"/>
        <w:spacing w:line="360" w:lineRule="auto"/>
        <w:jc w:val="both"/>
        <w:rPr>
          <w:rFonts w:ascii="Times New Roman" w:hAnsi="Times New Roman" w:cs="Times New Roman"/>
          <w:color w:val="000000"/>
        </w:rPr>
      </w:pPr>
      <w:r>
        <w:rPr>
          <w:rFonts w:ascii="Times New Roman" w:hAnsi="Times New Roman" w:cs="Times New Roman"/>
          <w:color w:val="000000"/>
        </w:rPr>
        <w:t>Anna Sienicka z Funduszu Inicjatyw Społeczno – Ekonomicznych, członkini RDPP zaproponowała, aby kwestię podejmowania decyzji, które dokumenty powinny być konsultowane przez Radę, współprzewodniczy kierował do przewodniczących Zespołów problemowych, a przewodniczący Zespołów decydowali czy RDPP zajmie stanowisko w konkretnej sprawie. Z kolei Piotr Kontkiewicz wypowiedział się w sprawie określenia czasu, jaki byłby potrzebny na konsultowanie dokumentów, mianowicie przypomniał, iż w nowej ustawie określono czas potrzebny do zajęcia stanowiska przez Rade, i wynosi on 30 dni. Po zakończonej dyskusji Aldona Wiktorska – Święcka zobowiązała się w ciągu 10 dni nanieść wszystkie zgłoszone w trakcie spotkania uwagi, a następnie rozesłać poprawiony dokument wszystkim członkom Rady. Współprzewodniczący Rady reasumując zaznaczył, iż istotnym jest, aby do końca kadencji Rady doprowadzić do ustawowego uregulowania i umocowania tego, na czym polegają konsultacje społeczne w rozumieniu obywatelskim.</w:t>
      </w:r>
    </w:p>
    <w:p w:rsidR="00486A66" w:rsidRDefault="00486A66">
      <w:pPr>
        <w:pStyle w:val="NormalWeb"/>
        <w:spacing w:line="360" w:lineRule="auto"/>
        <w:jc w:val="both"/>
        <w:rPr>
          <w:rFonts w:ascii="Times New Roman" w:hAnsi="Times New Roman" w:cs="Times New Roman"/>
          <w:color w:val="000000"/>
        </w:rPr>
      </w:pPr>
      <w:r>
        <w:rPr>
          <w:rFonts w:ascii="Times New Roman" w:hAnsi="Times New Roman" w:cs="Times New Roman"/>
          <w:color w:val="000000"/>
        </w:rPr>
        <w:t xml:space="preserve">Następnie Jan Jakub Wygnański zaprezentował projekt serwisu elektronicznego, który mógłby służyć do konsultacji wewnętrznych przez członków RDPP. Prezentowany portal wzorowany jest na serwisie Komisji Europejskiej, jednak docelowo mógłby działać w przestrzeni społecznej, aby mogli z niego korzystać różni uczestnicy konsultacji społecznych. Współprzewodniczący Rady nadmienił, że każdy konsultowany dokument opatrzony jest tagami, które wskazują na to czego on dotyczy, kto jest jego autorem i emitentem, kiedy rozpoczynają się a kiedy kończą konsultacje, a także do kogo należy kierować pytania. </w:t>
      </w:r>
    </w:p>
    <w:p w:rsidR="00486A66" w:rsidRDefault="00486A66">
      <w:pPr>
        <w:pStyle w:val="NormalWeb"/>
        <w:spacing w:line="360" w:lineRule="auto"/>
        <w:ind w:firstLine="709"/>
        <w:jc w:val="both"/>
        <w:rPr>
          <w:rFonts w:ascii="Times New Roman" w:hAnsi="Times New Roman" w:cs="Times New Roman"/>
          <w:color w:val="000000"/>
        </w:rPr>
      </w:pPr>
      <w:r>
        <w:rPr>
          <w:rFonts w:ascii="Times New Roman" w:hAnsi="Times New Roman" w:cs="Times New Roman"/>
          <w:color w:val="000000"/>
        </w:rPr>
        <w:t>W następnej kolejności podjęto krótką dyskusję na temat celów i założeń merytorycznych Strategii Rozwoju Kapitału Ludzkiego. Rząd zapewniał, że opracowanie wszystkich 9 strategii miało być zakończone na jesieni br., uległo to jednak przesunięciu na pierwszy kwartał 2011 r. Jan Jakub Wygnański wyraził wątpliwość co do wypowiadania się w powyższej kwestii przez RDPP. Dodał, że jego zdaniem strategia rozwoju społeczeństwa obywatelskiego powinna być wpisana do 9 strategii przygotowywanych przez Rząd. Krzysztof Więckiewicz, Dyrektor Departamentu Pożytku Publicznego zobowiązał się, iż poruszy sprawę konsultacji strategii podczas spotkania Komitetu Koordynującego, ponieważ system konsultacji, jaki zostanie uruchomiony w sprawie Strategii Rozwoju Kapitału Ludzkiego jest zbyt ogólny i nie dotyczy Rady, jako ciała, które jest wyodrębnione na zasadach szczególnych. Na zakończenie tematu Jan Jakub Wygnański zaproponował, aby zorganizować spotkanie na którym Komitet zaprezentowałby cztery/pięć interesujących Radę strategii. Zdaniem Współprzewodniczacego Rady nie chodzi bowiem o to, żeby konsultować wszystkie strategie, ale o to, żeby pilnować procesu konsultacyjnego, aby ten proces nieustannie trwał.</w:t>
      </w:r>
    </w:p>
    <w:p w:rsidR="00486A66" w:rsidRDefault="00486A66">
      <w:pPr>
        <w:pStyle w:val="NormalWeb"/>
        <w:spacing w:line="360" w:lineRule="auto"/>
        <w:jc w:val="both"/>
        <w:rPr>
          <w:rFonts w:ascii="Times New Roman" w:hAnsi="Times New Roman" w:cs="Times New Roman"/>
          <w:color w:val="000000"/>
        </w:rPr>
      </w:pPr>
      <w:r>
        <w:rPr>
          <w:rFonts w:ascii="Times New Roman" w:hAnsi="Times New Roman" w:cs="Times New Roman"/>
          <w:color w:val="000000"/>
        </w:rPr>
        <w:tab/>
        <w:t xml:space="preserve">Kolejnym tematem, który poruszono, dotyczył proponowanego zakresu ustawy o działalności pożytku publicznego i o wolontariacie. </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 xml:space="preserve">Krzysztof Więckiewicz wyraził pogląd, iż należy dokonać (w trybie poselskim) najważniejszych zmian w ustawie, które usprawnią działanie instytucji, jak również uporządkują zapisy od strony legislacyjnej. Następnie Piotr Kontkiewicz zaprezentował istotne kwestie proponowane do zmian w ustawie, wyjaśnił, iż wynikają one z sygnałów, jakie dochodzą do DPP z jednostek samorządu terytorialnego i organizacji pozarządowych. Wspomniał również o drugiej grupie zmian, która ma charakter czysto redakcyjny, trzecia zaś dotyczy przesyłania dokumentów w formie elektronicznej, czyli możliwości składania ofert i sprawozdań, co nieodzownie ma związek z nadzorowaniem OPP (składaniem przez OPP sprawozdań finansowych i merytorycznych). </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Reasumując, Krzysztof Więckiewicz zauważył, iż istotnym jest aby dokładnie określić zmiany (przygotować propozycję dokumentu) przed przedstawieniem sprawy Posłowi.</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p>
    <w:p w:rsidR="00486A66" w:rsidRDefault="00486A66">
      <w:pPr>
        <w:pStyle w:val="NormalWeb"/>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 xml:space="preserve">W następnej kolejności Anna Sienicka zaprezentowała postulaty zniesienia lub ograniczenia barier podatkowych związanych z funkcjonowaniem organizacji pozarządowych. Na chwilę obecną powstała dość długa lista postulatów, spośród których trzeba wybrać te, którymi zajmie się RDPP. Jako pierwsze z postulatem wystąpiło Centrum Pro Bono, a obecnie powstała mała koalicja organizacji pozarządowych, które tworzą ten dokument, m.in. Ogólnopolska Federacja Organizacji Pozarządowych, Forum Darczyńców, Federacja Banków Żywności, a także dwie kadencje prawne (w tym jedna podatkowa). </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Maciej Grabowski, Podsekretarz Stanu w Ministerstwie Finansów, członek RDPP zakomunikował, że część z tych problemów jest mu dobrze znana, z kolei Maciej Lis przychylnie ustosunkował się do zaprezentowanych postulatów, wyraził również pogląd, że należy o tych problemach porozmawiać w mniejszym gronie.</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p>
    <w:p w:rsidR="00486A66" w:rsidRDefault="00486A66">
      <w:pPr>
        <w:pStyle w:val="NormalWeb"/>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Kolejny temat, który znalazł się w porządku obrad dotyczył informacji na temat Europejskiego Roku Wolontariatu. Krzysztof Więckiewicz wspomniał o problemach, które należy ustalić ze stroną węgierską, tj.</w:t>
      </w:r>
    </w:p>
    <w:p w:rsidR="00486A66" w:rsidRDefault="00486A66">
      <w:pPr>
        <w:pStyle w:val="NormalWeb"/>
        <w:numPr>
          <w:ilvl w:val="1"/>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Kontekst międzynarodowy – Departament Pożytku Publicznego będzie szukał propozycji wyjścia z kontekstem międzynarodowym poprzez konkluzje Rady (w ramach wolontariatu sportowego).</w:t>
      </w:r>
    </w:p>
    <w:p w:rsidR="00486A66" w:rsidRDefault="00486A66">
      <w:pPr>
        <w:pStyle w:val="NormalWeb"/>
        <w:numPr>
          <w:ilvl w:val="1"/>
          <w:numId w:val="1"/>
        </w:numPr>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rPr>
        <w:t>Kwestia długofalowej polityki na rzecz wolontariatu – Departament Pożytku Publicznego ogłosił nabór na ekspertów , którzy będą redagować tę kwestię. Wybrani eksperci współpracować będą z wiodącymi resortami i z RDPP. Harmonogram prac podczas których  realizowana będzie długofalowa polityka na rzecz wolontariatu, zostanie ogłoszony i przedstawiony do wiadomości Rady.</w:t>
      </w:r>
    </w:p>
    <w:p w:rsidR="00486A66" w:rsidRDefault="00486A66">
      <w:pPr>
        <w:pStyle w:val="NormalWeb"/>
        <w:spacing w:before="0" w:beforeAutospacing="0" w:after="0" w:afterAutospacing="0" w:line="360" w:lineRule="auto"/>
        <w:jc w:val="both"/>
        <w:rPr>
          <w:rFonts w:ascii="Times New Roman" w:hAnsi="Times New Roman" w:cs="Times New Roman"/>
          <w:color w:val="000000"/>
        </w:rPr>
      </w:pPr>
    </w:p>
    <w:p w:rsidR="00486A66" w:rsidRDefault="00486A66">
      <w:pPr>
        <w:pStyle w:val="BodyText2"/>
        <w:spacing w:line="360" w:lineRule="auto"/>
        <w:ind w:left="0"/>
        <w:rPr>
          <w:rFonts w:ascii="Times New Roman" w:hAnsi="Times New Roman" w:cs="Times New Roman"/>
        </w:rPr>
      </w:pPr>
      <w:r>
        <w:rPr>
          <w:rFonts w:ascii="Times New Roman" w:hAnsi="Times New Roman" w:cs="Times New Roman"/>
          <w:color w:val="000000"/>
        </w:rPr>
        <w:t xml:space="preserve">Dyrektor DPP wspomniał również, </w:t>
      </w:r>
      <w:r>
        <w:rPr>
          <w:rFonts w:ascii="Times New Roman" w:hAnsi="Times New Roman" w:cs="Times New Roman"/>
        </w:rPr>
        <w:t xml:space="preserve">że przewidziany został istotny komponent promocji wolontariatu w postaci pawilonu. Pracownicy DPP zajmowali  się tą kwestią od dłuższego czasu, zadbali o lokalizację, jednak Komisja Europejska przysłała informację, iż istnieje prawdopodobieństwo, że pawilonu nie będzie, a w zamian za to </w:t>
      </w:r>
      <w:r>
        <w:rPr>
          <w:rFonts w:ascii="Times New Roman" w:hAnsi="Times New Roman" w:cs="Times New Roman"/>
          <w:i/>
          <w:iCs/>
        </w:rPr>
        <w:t>tour</w:t>
      </w:r>
      <w:r>
        <w:rPr>
          <w:rFonts w:ascii="Times New Roman" w:hAnsi="Times New Roman" w:cs="Times New Roman"/>
        </w:rPr>
        <w:t xml:space="preserve">  realizowany będzie w ramach rozwiązań pomieszczeń wewnętrznych. Departament Pożytku Publicznego jako jednostka odpowiedzialna za koordynację obchodów ERW odpowiada za kampanię medialną, w związku z czym otrzyma 0,5 mln złotych na organizację Europejskiego Roku Wolontariatu. </w:t>
      </w:r>
    </w:p>
    <w:p w:rsidR="00486A66" w:rsidRDefault="00486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Następnie Jakub Wygnański zaprezentował notatkę sporządzoną przez  Krzysztofa Balona, dotyczącą przedsięwzięć RDPP w ramach ERW 2011 i Prezydencji Rzeczypospolitej Polskiej w UE w drugiej połowie 2011 r. Wspomniał o zaplanowanej w I połowie roku konferencji prawnej, a także o tym, że  Krzysztof Balon mógłby być jej współgospodarzem. We wspomnianej notatce  Krzysztof Balon zaproponował, aby zarezerwować w pierwszym półroczu 2011 r. środki w kwocie około 15 tysięcy złotych na ekspertyzy oraz seminarium międzynarodowe z udziałem 3 ekspertów z państw UE.   Krzysztof Więckiewicz – Sekretarz Rady wyraził pogląd, iż pieniądze zostaną zarezerwowane.</w:t>
      </w:r>
    </w:p>
    <w:p w:rsidR="00486A66" w:rsidRDefault="00486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Przychylnie ustosunkowano się również do propozycji odnowienia mandatu dla Zespołu ds. programów i funduszy do zajęcia się sprawą wypracowania założeń i przedłożenia ich Radzie do dyskusji.</w:t>
      </w:r>
    </w:p>
    <w:p w:rsidR="00486A66" w:rsidRDefault="00486A66">
      <w:pPr>
        <w:pStyle w:val="BodyText"/>
        <w:spacing w:after="0"/>
        <w:rPr>
          <w:rFonts w:ascii="Times New Roman" w:hAnsi="Times New Roman" w:cs="Times New Roman"/>
        </w:rPr>
      </w:pPr>
    </w:p>
    <w:p w:rsidR="00486A66" w:rsidRDefault="00486A66">
      <w:pPr>
        <w:pStyle w:val="BodyText"/>
        <w:spacing w:after="0"/>
        <w:rPr>
          <w:rFonts w:ascii="Times New Roman" w:hAnsi="Times New Roman" w:cs="Times New Roman"/>
        </w:rPr>
      </w:pPr>
      <w:r>
        <w:rPr>
          <w:rFonts w:ascii="Times New Roman" w:hAnsi="Times New Roman" w:cs="Times New Roman"/>
        </w:rPr>
        <w:t>W następnej kolejności zajęto się dyskutowaniem PO FIO w roku 2010 i jego perspektywie na kolejne lata. Jan Jakub Wygnański zaznaczył, że FIO jest jednym z elementów reformy, dlatego też Rada do końca kadencji powinna doprowadzić do wprowadzenia w nim planowanych zmian. Jednym z problemów w PO FIO jest priorytet IV, ponieważ w jego ramach, w zasadzie każdy kto dobrze napisze wniosek, otrzymuje dotację. Poza tym należy zmienić system oceny wniosków tak, aby był dwuetapowy, ograniczyć ekspertom liczbę punktów, dopasować wnioski do asesorów – wprowadzić model matematyczny a tym samym zmodyfikować kryteria strategiczne. Słusznym rozwiązaniem byłoby również wprowadzenie decentralizacji w przypadku micro organizacji.</w:t>
      </w:r>
    </w:p>
    <w:p w:rsidR="00486A66" w:rsidRDefault="00486A66">
      <w:pPr>
        <w:pStyle w:val="BodyText"/>
        <w:spacing w:after="0"/>
        <w:rPr>
          <w:rFonts w:ascii="Times New Roman" w:hAnsi="Times New Roman" w:cs="Times New Roman"/>
        </w:rPr>
      </w:pPr>
      <w:r>
        <w:rPr>
          <w:rFonts w:ascii="Times New Roman" w:hAnsi="Times New Roman" w:cs="Times New Roman"/>
        </w:rPr>
        <w:t xml:space="preserve">Maciej Lis i Ks. Stanisław Słowik pozytywnie ustosunkowali się do propozycji przedstawionej przez Jana Jakuba Wygnańskiego. </w:t>
      </w:r>
    </w:p>
    <w:p w:rsidR="00486A66" w:rsidRDefault="00486A66">
      <w:pPr>
        <w:pStyle w:val="BodyText"/>
        <w:spacing w:after="0"/>
        <w:rPr>
          <w:rFonts w:ascii="Times New Roman" w:hAnsi="Times New Roman" w:cs="Times New Roman"/>
        </w:rPr>
      </w:pPr>
      <w:r>
        <w:rPr>
          <w:rFonts w:ascii="Times New Roman" w:hAnsi="Times New Roman" w:cs="Times New Roman"/>
        </w:rPr>
        <w:t xml:space="preserve">Marcin Dadel wyjaśnił, że wprowadzenie kryteriów strategicznych miało na celu wzmocnienie młodych, niedoświadczonych  w pisaniu wniosków organizacji, jego zdaniem model matematyczny oceny wniosków nie rozwiąże problemu, można się ewentualnie zastanowić co zrobić, aby w IV priorytecie wygrywały dobre projekty. </w:t>
      </w:r>
    </w:p>
    <w:p w:rsidR="00486A66" w:rsidRDefault="00486A66">
      <w:pPr>
        <w:pStyle w:val="BodyText"/>
        <w:spacing w:after="0"/>
        <w:rPr>
          <w:rFonts w:ascii="Times New Roman" w:hAnsi="Times New Roman" w:cs="Times New Roman"/>
        </w:rPr>
      </w:pPr>
      <w:r>
        <w:rPr>
          <w:rFonts w:ascii="Times New Roman" w:hAnsi="Times New Roman" w:cs="Times New Roman"/>
        </w:rPr>
        <w:t>Aldona Wiktorska – Świecka poparła pomysł decentralizacji FIO, uznała, że przygotowanie przez RDPP dokumentu z tym związanego byłoby dużym wyzwaniem dla Rady.</w:t>
      </w:r>
    </w:p>
    <w:p w:rsidR="00486A66" w:rsidRDefault="00486A66">
      <w:pPr>
        <w:pStyle w:val="BodyText"/>
        <w:spacing w:after="0"/>
        <w:rPr>
          <w:rFonts w:ascii="Times New Roman" w:hAnsi="Times New Roman" w:cs="Times New Roman"/>
        </w:rPr>
      </w:pPr>
      <w:r>
        <w:rPr>
          <w:rFonts w:ascii="Times New Roman" w:hAnsi="Times New Roman" w:cs="Times New Roman"/>
        </w:rPr>
        <w:t>Wspólnie ustalono, że RDPP zajmie się decentralizacją FIO na kolejnym posiedzeniu RDPP.</w:t>
      </w:r>
    </w:p>
    <w:p w:rsidR="00486A66" w:rsidRDefault="00486A66">
      <w:pPr>
        <w:pStyle w:val="BodyText"/>
        <w:spacing w:after="0"/>
        <w:rPr>
          <w:rFonts w:ascii="Times New Roman" w:hAnsi="Times New Roman" w:cs="Times New Roman"/>
        </w:rPr>
      </w:pPr>
      <w:r>
        <w:rPr>
          <w:rFonts w:ascii="Times New Roman" w:hAnsi="Times New Roman" w:cs="Times New Roman"/>
        </w:rPr>
        <w:t>Zdaniem Jana Jakuba Wygnańskiego poza decentralizacją, istotną kwestią jest również zareklamowanie FIO za granicą, służyć temu może Europejski Rok Wolontariatu.</w:t>
      </w:r>
    </w:p>
    <w:p w:rsidR="00486A66" w:rsidRDefault="00486A66">
      <w:pPr>
        <w:pStyle w:val="BodyText"/>
        <w:spacing w:after="0"/>
        <w:rPr>
          <w:rFonts w:ascii="Times New Roman" w:hAnsi="Times New Roman" w:cs="Times New Roman"/>
        </w:rPr>
      </w:pPr>
    </w:p>
    <w:p w:rsidR="00486A66" w:rsidRDefault="00486A66">
      <w:pPr>
        <w:pStyle w:val="BodyText"/>
        <w:spacing w:after="0"/>
        <w:rPr>
          <w:rFonts w:ascii="Times New Roman" w:hAnsi="Times New Roman" w:cs="Times New Roman"/>
        </w:rPr>
      </w:pPr>
      <w:r>
        <w:rPr>
          <w:rFonts w:ascii="Times New Roman" w:hAnsi="Times New Roman" w:cs="Times New Roman"/>
        </w:rPr>
        <w:t xml:space="preserve">Następny, dość obszerny i istotny temat omówiony przez członków RDPP dotyczył rozporządzeń. Jako pierwszy głos w tej sprawie zabrał Jan Jakub Wygnański pokrótce prezentując kwestię rozporządzenia Krajowej Rady Radiofonii i Telewizji. Wspomniał, że  KRRiT wysłała projekt rozporządzenia do konsultacji z nadawcami lokalnymi, którzy protestują, np. przeciwko ilości czasu reklamowego, jaki przeznaczono dla OPP. W chwili obecnej od dłuższego czasu KRRiT pracuje nad powyższym projektem. </w:t>
      </w:r>
    </w:p>
    <w:p w:rsidR="00486A66" w:rsidRDefault="00486A66">
      <w:pPr>
        <w:pStyle w:val="BodyText"/>
        <w:spacing w:after="0"/>
        <w:rPr>
          <w:rFonts w:ascii="Times New Roman" w:hAnsi="Times New Roman" w:cs="Times New Roman"/>
        </w:rPr>
      </w:pPr>
      <w:r>
        <w:rPr>
          <w:rFonts w:ascii="Times New Roman" w:hAnsi="Times New Roman" w:cs="Times New Roman"/>
        </w:rPr>
        <w:t>Stan prac nad kolejnymi rozporządzeniami do ustawy przedstawił Piotr Kontkiewicz. Poinformował, iż rozporządzenie w sprawie kontroli weszło już w życie, z kolei rozporządzenie w sprawie sprawozdania merytorycznego niebawem powinno zostać podpisane przez Panią Minister. W przypadku tego rozporządzenia istotne jest, że RDPP poświęciła dużo czasu na stworzenie/dopracowanie  odpowiedniego formularza. Jeśli chodzi o rozporządzenie w sprawie wzoru oferty i ramowego wzoru umowy dotyczących realizacji zadania publicznego oraz wzoru z wykonania tego zadania to istnieje duże prawdopodobieństwo, że do końca miesiąca zostanie uzgodniona treść tego rozporządzenia. W przypadku rozporządzenia w sprawie określania warunków, jakie muszą spełniać instytucje i organizacje uprawnione do korzystania ze zwolnień od należności przywozowych, kwestią sporną w Ministerstwie Finansów może być to, czy organizacja pozarządowa ma możliwość czy też nie ma możliwości prowadzenia działalności gospodarczej, aby z tego zwolnienia skorzystać. Po 2 miesiącach konsultacji z Ministerstwem Finansów udało się uzgodnić treść projektu rozporządzenia w sprawie trybów, terminów oraz formatu wymiany danych miedzy Ministrem właściwym ds. zabezpieczenie społecznego, Ministrem Sprawiedliwości, Ministrem właściwym ds. finansów publicznych i organami podatkowymi. W chwili obecnej DPP oczekuje na ostateczną decyzję Ministerstwa Sprawiedliwości. W sytuacji gdyby ostatnie z omawianych rozporządzeń nie weszło w życie wykaz OPP mimo wszystko zostanie opublikowany na podstawie ustawy o działalności pożytku publicznego i o wolontariacie. Opublikowana zostanie również lista organizacji, które złożyły sprawozdania, a także lista tych, które zrobiły to po terminie. Istotnym jest, że jeśli jakaś organizacja nie złoży sprawozdania  w terminie, a tym samym nie znajdzie się w wykazie organizacji uprawnionych do otrzymywania 1%, nie ma możliwości zbierania pieniędzy z 1%.</w:t>
      </w:r>
    </w:p>
    <w:p w:rsidR="00486A66" w:rsidRDefault="00486A66">
      <w:pPr>
        <w:pStyle w:val="BodyText"/>
        <w:spacing w:after="0"/>
        <w:rPr>
          <w:rFonts w:ascii="Times New Roman" w:hAnsi="Times New Roman" w:cs="Times New Roman"/>
        </w:rPr>
      </w:pPr>
    </w:p>
    <w:p w:rsidR="00486A66" w:rsidRDefault="00486A66">
      <w:pPr>
        <w:pStyle w:val="BodyText"/>
        <w:spacing w:after="0"/>
        <w:rPr>
          <w:rFonts w:ascii="Times New Roman" w:hAnsi="Times New Roman" w:cs="Times New Roman"/>
        </w:rPr>
      </w:pPr>
      <w:r>
        <w:rPr>
          <w:rFonts w:ascii="Times New Roman" w:hAnsi="Times New Roman" w:cs="Times New Roman"/>
        </w:rPr>
        <w:t>Ostatnią kwestię poruszoną na posiedzeniu omówił Paweł Cymer, a dotyczyła ona uproszczenia księgowości dla małych organizacji. Ogólnopolska Federacja Organizacji Pozarządowych (OFOP) zwróciła się z pismem do Ministerstwa Finansów w sprawie uproszczenia wymogów w zakresie prowadzenia rachunkowości dla organizacji pozarządowych, których roczny przychód nie przekracza 50 000 zł. Ministerstwo Finansów udzieliło odpowiedzi, iż w myśl aktualnych przepisów jednostki posiadające osobowość prawną, w tym organizacje pozarządowe, są zobowiązane do prowadzenia ksiąg rachunkowych i sporządzania sprawozdań finansowych zgodnie z przepisami ustawy o rachunkowości. W przypadku organizacji, które nie prowadzą działalności gospodarczej istnieje obowiązek sporządzania sprawozdania uproszczonego. Uproszczenia te zostały przygotowane przede wszystkim dla jednostek non – profit, takich jak fundacje czy stowarzyszenia. Istotnym jest, że obowiązek sprawozdawania się dotyczy wyłącznie organizacji pożytku publicznego, które w zamian za posiadanie statusu uzyskują pewne przywileje, np. zwolnienia podatkowe, otrzymywanie 1% podatku dochodowego. Z kolei zobowiązania, które ich dotyczą mają za zadanie zapewnić przejrzystość działania organizacjom, które otrzymują środki publiczne. Reasumując, Krzysztof Więckiewicz zwrócił się do Zespołu ds. prawnych i monitoringu RDPP z prośbą o przygotowanie stanowiska Rady w tej kwestii.</w:t>
      </w:r>
    </w:p>
    <w:p w:rsidR="00486A66" w:rsidRDefault="00486A66">
      <w:pPr>
        <w:pStyle w:val="BodyText"/>
        <w:spacing w:after="0"/>
        <w:rPr>
          <w:rFonts w:ascii="Times New Roman" w:hAnsi="Times New Roman" w:cs="Times New Roman"/>
        </w:rPr>
      </w:pPr>
    </w:p>
    <w:p w:rsidR="00486A66" w:rsidRDefault="00486A66">
      <w:pPr>
        <w:pStyle w:val="BodyText"/>
        <w:spacing w:after="0"/>
        <w:rPr>
          <w:rFonts w:ascii="Times New Roman" w:hAnsi="Times New Roman" w:cs="Times New Roman"/>
        </w:rPr>
      </w:pPr>
      <w:r>
        <w:rPr>
          <w:rFonts w:ascii="Times New Roman" w:hAnsi="Times New Roman" w:cs="Times New Roman"/>
        </w:rPr>
        <w:t xml:space="preserve">W agendzie posiedzenia znalazł się również punkt dotyczący planu działania Rady w przyszłym roku. Jak Jakub Wygnański pokrótce wspomniał, iż sprawami, którymi Rada zajmie się w przyszłym roku są m.in. </w:t>
      </w:r>
    </w:p>
    <w:p w:rsidR="00486A66" w:rsidRDefault="00486A66">
      <w:pPr>
        <w:numPr>
          <w:ilvl w:val="0"/>
          <w:numId w:val="9"/>
        </w:num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Doprowadzenie do ustawowego uregulowania i umocowania tego, na czym polegają konsultacje społeczne w rozumieniu obywatelskim.</w:t>
      </w:r>
    </w:p>
    <w:p w:rsidR="00486A66" w:rsidRDefault="00486A66">
      <w:pPr>
        <w:pStyle w:val="BodyText"/>
        <w:numPr>
          <w:ilvl w:val="0"/>
          <w:numId w:val="9"/>
        </w:numPr>
        <w:spacing w:after="0"/>
        <w:rPr>
          <w:rFonts w:ascii="Times New Roman" w:hAnsi="Times New Roman" w:cs="Times New Roman"/>
        </w:rPr>
      </w:pPr>
      <w:r>
        <w:rPr>
          <w:rFonts w:ascii="Times New Roman" w:hAnsi="Times New Roman" w:cs="Times New Roman"/>
        </w:rPr>
        <w:t>Działania mające na celu wprowadzenie w życie małej nowelizacji ustawy o działalności pożytku publicznego i o wolontariacie.</w:t>
      </w:r>
    </w:p>
    <w:p w:rsidR="00486A66" w:rsidRDefault="00486A66">
      <w:pPr>
        <w:pStyle w:val="BodyText"/>
        <w:numPr>
          <w:ilvl w:val="0"/>
          <w:numId w:val="9"/>
        </w:numPr>
        <w:spacing w:after="0"/>
        <w:rPr>
          <w:rFonts w:ascii="Times New Roman" w:hAnsi="Times New Roman" w:cs="Times New Roman"/>
          <w:b/>
          <w:bCs/>
        </w:rPr>
      </w:pPr>
      <w:r>
        <w:rPr>
          <w:rFonts w:ascii="Times New Roman" w:hAnsi="Times New Roman" w:cs="Times New Roman"/>
        </w:rPr>
        <w:t>Prace RDPP zmierzające do dokonania planowanych zmian w PO FIO.</w:t>
      </w:r>
    </w:p>
    <w:p w:rsidR="00486A66" w:rsidRDefault="00486A66">
      <w:pPr>
        <w:pStyle w:val="NormalWeb"/>
        <w:spacing w:line="360" w:lineRule="auto"/>
        <w:jc w:val="both"/>
        <w:rPr>
          <w:rFonts w:ascii="Times New Roman" w:hAnsi="Times New Roman" w:cs="Times New Roman"/>
          <w:color w:val="000000"/>
        </w:rPr>
      </w:pPr>
    </w:p>
    <w:p w:rsidR="00486A66" w:rsidRDefault="00486A66">
      <w:pPr>
        <w:pStyle w:val="NormalWeb"/>
        <w:spacing w:line="360" w:lineRule="auto"/>
        <w:jc w:val="both"/>
        <w:rPr>
          <w:rFonts w:ascii="Times New Roman" w:hAnsi="Times New Roman" w:cs="Times New Roman"/>
          <w:color w:val="000000"/>
        </w:rPr>
      </w:pPr>
    </w:p>
    <w:p w:rsidR="00486A66" w:rsidRDefault="00486A66">
      <w:pPr>
        <w:pStyle w:val="NormalWeb"/>
        <w:spacing w:line="360" w:lineRule="auto"/>
        <w:jc w:val="both"/>
        <w:rPr>
          <w:rFonts w:ascii="Times New Roman" w:hAnsi="Times New Roman" w:cs="Times New Roman"/>
          <w:color w:val="000000"/>
        </w:rPr>
      </w:pPr>
    </w:p>
    <w:p w:rsidR="00486A66" w:rsidRDefault="00486A66">
      <w:pPr>
        <w:pStyle w:val="NormalWeb"/>
        <w:spacing w:line="360" w:lineRule="auto"/>
        <w:jc w:val="both"/>
        <w:rPr>
          <w:rFonts w:ascii="Times New Roman" w:hAnsi="Times New Roman" w:cs="Times New Roman"/>
          <w:color w:val="000000"/>
        </w:rPr>
      </w:pPr>
    </w:p>
    <w:p w:rsidR="00486A66" w:rsidRDefault="00486A66">
      <w:pPr>
        <w:pStyle w:val="NormalWeb"/>
        <w:spacing w:line="360" w:lineRule="auto"/>
        <w:jc w:val="both"/>
        <w:rPr>
          <w:rFonts w:ascii="Times New Roman" w:hAnsi="Times New Roman" w:cs="Times New Roman"/>
          <w:color w:val="000000"/>
        </w:rPr>
      </w:pPr>
    </w:p>
    <w:p w:rsidR="00486A66" w:rsidRDefault="00486A66">
      <w:pPr>
        <w:pStyle w:val="NormalWeb"/>
        <w:spacing w:line="360" w:lineRule="auto"/>
        <w:jc w:val="both"/>
        <w:rPr>
          <w:rFonts w:ascii="Times New Roman" w:hAnsi="Times New Roman" w:cs="Times New Roman"/>
          <w:color w:val="000000"/>
        </w:rPr>
      </w:pPr>
    </w:p>
    <w:p w:rsidR="00486A66" w:rsidRDefault="00486A66">
      <w:pPr>
        <w:spacing w:after="100" w:afterAutospacing="1" w:line="360" w:lineRule="auto"/>
        <w:jc w:val="both"/>
        <w:rPr>
          <w:rFonts w:ascii="Times New Roman" w:hAnsi="Times New Roman" w:cs="Times New Roman"/>
          <w:color w:val="000000"/>
          <w:sz w:val="24"/>
          <w:szCs w:val="24"/>
        </w:rPr>
      </w:pPr>
    </w:p>
    <w:p w:rsidR="00486A66" w:rsidRDefault="00486A66">
      <w:pPr>
        <w:spacing w:after="100" w:afterAutospacing="1" w:line="360" w:lineRule="auto"/>
        <w:jc w:val="both"/>
        <w:rPr>
          <w:rFonts w:ascii="Times New Roman" w:hAnsi="Times New Roman" w:cs="Times New Roman"/>
          <w:sz w:val="24"/>
          <w:szCs w:val="24"/>
        </w:rPr>
      </w:pPr>
    </w:p>
    <w:sectPr w:rsidR="00486A66" w:rsidSect="00486A6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A66" w:rsidRDefault="00486A6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486A66" w:rsidRDefault="00486A6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66" w:rsidRDefault="00486A66">
    <w:pPr>
      <w:pStyle w:val="Footer"/>
      <w:framePr w:wrap="auto" w:vAnchor="text" w:hAnchor="margin" w:xAlign="right" w:y="1"/>
      <w:rPr>
        <w:rStyle w:val="PageNumber"/>
        <w:rFonts w:ascii="Calibri" w:hAnsi="Calibri" w:cs="Calibri"/>
      </w:rPr>
    </w:pPr>
    <w:r>
      <w:rPr>
        <w:rStyle w:val="PageNumber"/>
        <w:rFonts w:ascii="Calibri" w:hAnsi="Calibri" w:cs="Calibri"/>
      </w:rPr>
      <w:fldChar w:fldCharType="begin"/>
    </w:r>
    <w:r>
      <w:rPr>
        <w:rStyle w:val="PageNumber"/>
        <w:rFonts w:ascii="Calibri" w:hAnsi="Calibri" w:cs="Calibri"/>
      </w:rPr>
      <w:instrText xml:space="preserve">PAGE  </w:instrText>
    </w:r>
    <w:r>
      <w:rPr>
        <w:rStyle w:val="PageNumber"/>
        <w:rFonts w:ascii="Calibri" w:hAnsi="Calibri" w:cs="Calibri"/>
      </w:rPr>
      <w:fldChar w:fldCharType="separate"/>
    </w:r>
    <w:r>
      <w:rPr>
        <w:rStyle w:val="PageNumber"/>
        <w:rFonts w:ascii="Calibri" w:hAnsi="Calibri" w:cs="Calibri"/>
        <w:noProof/>
      </w:rPr>
      <w:t>4</w:t>
    </w:r>
    <w:r>
      <w:rPr>
        <w:rStyle w:val="PageNumber"/>
        <w:rFonts w:ascii="Calibri" w:hAnsi="Calibri" w:cs="Calibri"/>
      </w:rPr>
      <w:fldChar w:fldCharType="end"/>
    </w:r>
  </w:p>
  <w:p w:rsidR="00486A66" w:rsidRDefault="00486A66">
    <w:pPr>
      <w:pStyle w:val="Footer"/>
      <w:ind w:right="360"/>
      <w:jc w:val="center"/>
      <w:rPr>
        <w:rFonts w:ascii="Times New Roman" w:hAnsi="Times New Roman" w:cs="Times New Roman"/>
      </w:rPr>
    </w:pPr>
  </w:p>
  <w:p w:rsidR="00486A66" w:rsidRDefault="00486A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A66" w:rsidRDefault="00486A6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486A66" w:rsidRDefault="00486A6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4969"/>
    <w:multiLevelType w:val="hybridMultilevel"/>
    <w:tmpl w:val="23A48D2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
    <w:nsid w:val="37C41F9E"/>
    <w:multiLevelType w:val="hybridMultilevel"/>
    <w:tmpl w:val="3A427A92"/>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nsid w:val="41035310"/>
    <w:multiLevelType w:val="hybridMultilevel"/>
    <w:tmpl w:val="3C46C6B4"/>
    <w:lvl w:ilvl="0" w:tplc="0415000F">
      <w:start w:val="1"/>
      <w:numFmt w:val="decimal"/>
      <w:lvlText w:val="%1."/>
      <w:lvlJc w:val="left"/>
      <w:pPr>
        <w:tabs>
          <w:tab w:val="num" w:pos="720"/>
        </w:tabs>
        <w:ind w:left="720" w:hanging="360"/>
      </w:pPr>
      <w:rPr>
        <w:rFonts w:ascii="Times New Roman" w:hAnsi="Times New Roman" w:cs="Times New Roman" w:hint="default"/>
      </w:rPr>
    </w:lvl>
    <w:lvl w:ilvl="1" w:tplc="C68A36AE">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510A4648"/>
    <w:multiLevelType w:val="hybridMultilevel"/>
    <w:tmpl w:val="05BEA7E4"/>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51AD1AD6"/>
    <w:multiLevelType w:val="hybridMultilevel"/>
    <w:tmpl w:val="8D9E6512"/>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5">
    <w:nsid w:val="582E30B3"/>
    <w:multiLevelType w:val="hybridMultilevel"/>
    <w:tmpl w:val="FC20FC46"/>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65CC2275"/>
    <w:multiLevelType w:val="hybridMultilevel"/>
    <w:tmpl w:val="14D23428"/>
    <w:lvl w:ilvl="0" w:tplc="C68A36AE">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756F6C05"/>
    <w:multiLevelType w:val="hybridMultilevel"/>
    <w:tmpl w:val="102242AA"/>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6"/>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A66"/>
    <w:rsid w:val="00486A6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rmalWeb">
    <w:name w:val="Normal (Web)"/>
    <w:basedOn w:val="Normal"/>
    <w:uiPriority w:val="99"/>
    <w:pPr>
      <w:spacing w:before="100" w:beforeAutospacing="1" w:after="100" w:afterAutospacing="1" w:line="240" w:lineRule="auto"/>
    </w:pPr>
    <w:rPr>
      <w:sz w:val="24"/>
      <w:szCs w:val="24"/>
      <w:lang w:eastAsia="pl-PL"/>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rPr>
  </w:style>
  <w:style w:type="paragraph" w:styleId="Title">
    <w:name w:val="Title"/>
    <w:basedOn w:val="Normal"/>
    <w:link w:val="TitleChar"/>
    <w:uiPriority w:val="99"/>
    <w:qFormat/>
    <w:pPr>
      <w:spacing w:after="0" w:line="240" w:lineRule="auto"/>
      <w:jc w:val="center"/>
    </w:pPr>
    <w:rPr>
      <w:b/>
      <w:bCs/>
      <w:sz w:val="24"/>
      <w:szCs w:val="24"/>
      <w:u w:val="single"/>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 w:type="paragraph" w:styleId="BodyText2">
    <w:name w:val="Body Text 2"/>
    <w:basedOn w:val="Normal"/>
    <w:link w:val="BodyText2Char"/>
    <w:uiPriority w:val="99"/>
    <w:pPr>
      <w:spacing w:after="0" w:line="240" w:lineRule="auto"/>
      <w:ind w:left="708"/>
      <w:jc w:val="both"/>
    </w:pPr>
    <w:rPr>
      <w:sz w:val="24"/>
      <w:szCs w:val="24"/>
      <w:lang w:eastAsia="pl-PL"/>
    </w:rPr>
  </w:style>
  <w:style w:type="character" w:customStyle="1" w:styleId="BodyText2Char">
    <w:name w:val="Body Text 2 Char"/>
    <w:basedOn w:val="DefaultParagraphFont"/>
    <w:link w:val="BodyText2"/>
    <w:uiPriority w:val="99"/>
    <w:rPr>
      <w:rFonts w:ascii="Calibri" w:hAnsi="Calibri" w:cs="Calibri"/>
      <w:lang w:eastAsia="en-US"/>
    </w:rPr>
  </w:style>
  <w:style w:type="paragraph" w:styleId="BodyText">
    <w:name w:val="Body Text"/>
    <w:basedOn w:val="Normal"/>
    <w:link w:val="BodyTextChar"/>
    <w:uiPriority w:val="99"/>
    <w:pPr>
      <w:spacing w:line="360" w:lineRule="auto"/>
      <w:jc w:val="both"/>
    </w:pPr>
    <w:rPr>
      <w:sz w:val="24"/>
      <w:szCs w:val="24"/>
    </w:rPr>
  </w:style>
  <w:style w:type="character" w:customStyle="1" w:styleId="BodyTextChar">
    <w:name w:val="Body Text Char"/>
    <w:basedOn w:val="DefaultParagraphFont"/>
    <w:link w:val="BodyText"/>
    <w:uiPriority w:val="99"/>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7</Pages>
  <Words>2194</Words>
  <Characters>12511</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Your User Name</dc:creator>
  <cp:keywords/>
  <dc:description/>
  <cp:lastModifiedBy>Anna_Moskwa</cp:lastModifiedBy>
  <cp:revision>4</cp:revision>
  <cp:lastPrinted>2010-12-22T11:57:00Z</cp:lastPrinted>
  <dcterms:created xsi:type="dcterms:W3CDTF">2011-09-02T10:03:00Z</dcterms:created>
  <dcterms:modified xsi:type="dcterms:W3CDTF">2011-09-02T10:17:00Z</dcterms:modified>
</cp:coreProperties>
</file>