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3E12D46E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BBD9F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  <w:r w:rsidR="00340235">
        <w:t xml:space="preserve">. </w:t>
      </w:r>
      <w:r w:rsidR="00340235" w:rsidRPr="00340235">
        <w:t>Od 1 stycznia 2025 r. kryteria dochodowe wynoszą odpowiednio 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1634</Words>
  <Characters>11235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39</cp:revision>
  <cp:lastPrinted>2019-02-15T08:29:00Z</cp:lastPrinted>
  <dcterms:created xsi:type="dcterms:W3CDTF">2023-07-31T11:14:00Z</dcterms:created>
  <dcterms:modified xsi:type="dcterms:W3CDTF">2024-11-06T07:46:00Z</dcterms:modified>
</cp:coreProperties>
</file>