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A34" w14:textId="01A24C68" w:rsidR="00571CD6" w:rsidRPr="00956638" w:rsidRDefault="00346A9C" w:rsidP="00956638">
      <w:pPr>
        <w:rPr>
          <w:rFonts w:cstheme="minorBidi"/>
          <w:sz w:val="22"/>
          <w:szCs w:val="22"/>
        </w:rPr>
      </w:pPr>
      <w:bookmarkStart w:id="0" w:name="_Hlk53405618"/>
      <w:r w:rsidRPr="00956638">
        <w:rPr>
          <w:rFonts w:cstheme="minorBidi"/>
          <w:sz w:val="22"/>
          <w:szCs w:val="22"/>
        </w:rPr>
        <w:t>Załącznik</w:t>
      </w:r>
      <w:r w:rsidR="001D7998">
        <w:rPr>
          <w:rFonts w:cstheme="minorBidi"/>
          <w:sz w:val="22"/>
          <w:szCs w:val="22"/>
        </w:rPr>
        <w:t xml:space="preserve"> </w:t>
      </w:r>
      <w:r w:rsidRPr="00956638">
        <w:rPr>
          <w:rFonts w:cstheme="minorBidi"/>
          <w:sz w:val="22"/>
          <w:szCs w:val="22"/>
        </w:rPr>
        <w:t>B.6.</w:t>
      </w:r>
    </w:p>
    <w:p w14:paraId="43075B73" w14:textId="77777777" w:rsidR="00F92886" w:rsidRPr="00956638" w:rsidRDefault="00F92886" w:rsidP="00956638">
      <w:pPr>
        <w:rPr>
          <w:rFonts w:cstheme="minorBidi"/>
          <w:sz w:val="22"/>
          <w:szCs w:val="22"/>
        </w:rPr>
      </w:pPr>
    </w:p>
    <w:p w14:paraId="0C4C2D76" w14:textId="3C40550F" w:rsidR="00AC597A" w:rsidRPr="00956638" w:rsidRDefault="00EE4BBD" w:rsidP="00956638">
      <w:pPr>
        <w:spacing w:after="240" w:line="259" w:lineRule="auto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956638">
        <w:rPr>
          <w:rFonts w:eastAsiaTheme="minorHAnsi" w:cstheme="minorBidi"/>
          <w:b/>
          <w:sz w:val="28"/>
          <w:szCs w:val="28"/>
          <w:lang w:eastAsia="en-US"/>
        </w:rPr>
        <w:t>LECZENIE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56638">
        <w:rPr>
          <w:rFonts w:eastAsiaTheme="minorHAnsi" w:cstheme="minorBidi"/>
          <w:b/>
          <w:sz w:val="28"/>
          <w:szCs w:val="28"/>
          <w:lang w:eastAsia="en-US"/>
        </w:rPr>
        <w:t>NIEDROBNOKOM</w:t>
      </w:r>
      <w:r w:rsidR="00955CE8" w:rsidRPr="00956638">
        <w:rPr>
          <w:rFonts w:eastAsiaTheme="minorHAnsi" w:cstheme="minorBidi"/>
          <w:b/>
          <w:sz w:val="28"/>
          <w:szCs w:val="28"/>
          <w:lang w:eastAsia="en-US"/>
        </w:rPr>
        <w:t>ÓRKOWEGO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24932" w:rsidRPr="00956638">
        <w:rPr>
          <w:rFonts w:eastAsiaTheme="minorHAnsi" w:cstheme="minorBidi"/>
          <w:b/>
          <w:sz w:val="28"/>
          <w:szCs w:val="28"/>
          <w:lang w:eastAsia="en-US"/>
        </w:rPr>
        <w:t>LUB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24932" w:rsidRPr="00956638">
        <w:rPr>
          <w:rFonts w:eastAsiaTheme="minorHAnsi" w:cstheme="minorBidi"/>
          <w:b/>
          <w:sz w:val="28"/>
          <w:szCs w:val="28"/>
          <w:lang w:eastAsia="en-US"/>
        </w:rPr>
        <w:t>DROBNOKOMÓRKOWEGO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55CE8" w:rsidRPr="00956638">
        <w:rPr>
          <w:rFonts w:eastAsiaTheme="minorHAnsi" w:cstheme="minorBidi"/>
          <w:b/>
          <w:sz w:val="28"/>
          <w:szCs w:val="28"/>
          <w:lang w:eastAsia="en-US"/>
        </w:rPr>
        <w:t>RAKA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55CE8" w:rsidRPr="00956638">
        <w:rPr>
          <w:rFonts w:eastAsiaTheme="minorHAnsi" w:cstheme="minorBidi"/>
          <w:b/>
          <w:sz w:val="28"/>
          <w:szCs w:val="28"/>
          <w:lang w:eastAsia="en-US"/>
        </w:rPr>
        <w:t>PŁUCA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55CE8" w:rsidRPr="00956638">
        <w:rPr>
          <w:rFonts w:eastAsiaTheme="minorHAnsi" w:cstheme="minorBidi"/>
          <w:b/>
          <w:sz w:val="28"/>
          <w:szCs w:val="28"/>
          <w:lang w:eastAsia="en-US"/>
        </w:rPr>
        <w:t>(ICD-10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F92886" w:rsidRPr="00956638">
        <w:rPr>
          <w:rFonts w:eastAsiaTheme="minorHAnsi" w:cstheme="minorBidi"/>
          <w:b/>
          <w:sz w:val="28"/>
          <w:szCs w:val="28"/>
          <w:lang w:eastAsia="en-US"/>
        </w:rPr>
        <w:t>C</w:t>
      </w:r>
      <w:r w:rsidR="001D799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56638">
        <w:rPr>
          <w:rFonts w:eastAsiaTheme="minorHAnsi" w:cstheme="minorBidi"/>
          <w:b/>
          <w:sz w:val="28"/>
          <w:szCs w:val="28"/>
          <w:lang w:eastAsia="en-US"/>
        </w:rPr>
        <w:t>34)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4223"/>
        <w:gridCol w:w="4224"/>
      </w:tblGrid>
      <w:tr w:rsidR="0071052E" w:rsidRPr="0071052E" w14:paraId="70FCC206" w14:textId="77777777" w:rsidTr="0066239D">
        <w:trPr>
          <w:trHeight w:val="567"/>
        </w:trPr>
        <w:tc>
          <w:tcPr>
            <w:tcW w:w="15388" w:type="dxa"/>
            <w:gridSpan w:val="3"/>
            <w:vAlign w:val="center"/>
          </w:tcPr>
          <w:p w14:paraId="6178C3CF" w14:textId="62C1D2AD" w:rsidR="001D7CB9" w:rsidRPr="0071052E" w:rsidRDefault="001D7CB9" w:rsidP="00281A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71052E" w:rsidRPr="0071052E" w14:paraId="433661AF" w14:textId="77777777" w:rsidTr="001D7998">
        <w:trPr>
          <w:trHeight w:val="567"/>
        </w:trPr>
        <w:tc>
          <w:tcPr>
            <w:tcW w:w="6941" w:type="dxa"/>
            <w:vAlign w:val="center"/>
          </w:tcPr>
          <w:p w14:paraId="2BAC5A9D" w14:textId="77777777" w:rsidR="001D7CB9" w:rsidRPr="00281A18" w:rsidRDefault="001D7CB9" w:rsidP="00281A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1A18">
              <w:rPr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4223" w:type="dxa"/>
            <w:vAlign w:val="center"/>
          </w:tcPr>
          <w:p w14:paraId="0E1D0B62" w14:textId="1ECD3DB2" w:rsidR="001D7CB9" w:rsidRPr="00281A18" w:rsidRDefault="001D7CB9" w:rsidP="00281A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81A18">
              <w:rPr>
                <w:b/>
                <w:bCs/>
                <w:color w:val="000000" w:themeColor="text1"/>
                <w:sz w:val="20"/>
                <w:szCs w:val="20"/>
              </w:rPr>
              <w:t>SCHEMAT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1A18">
              <w:rPr>
                <w:b/>
                <w:bCs/>
                <w:color w:val="000000" w:themeColor="text1"/>
                <w:sz w:val="20"/>
                <w:szCs w:val="20"/>
              </w:rPr>
              <w:t>DAWKOWANIA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1A18">
              <w:rPr>
                <w:b/>
                <w:bCs/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D4A37" w:rsidRPr="00281A18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81A1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1A18">
              <w:rPr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4224" w:type="dxa"/>
            <w:vAlign w:val="center"/>
          </w:tcPr>
          <w:p w14:paraId="0B4A79FC" w14:textId="305B9EE5" w:rsidR="001D7CB9" w:rsidRPr="0071052E" w:rsidRDefault="001D7CB9" w:rsidP="00281A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1052E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1D7CB9" w:rsidRPr="0071052E" w14:paraId="1C0840FC" w14:textId="77777777" w:rsidTr="001D7998">
        <w:trPr>
          <w:trHeight w:val="20"/>
        </w:trPr>
        <w:tc>
          <w:tcPr>
            <w:tcW w:w="6941" w:type="dxa"/>
          </w:tcPr>
          <w:p w14:paraId="184E45B4" w14:textId="71A9475C" w:rsidR="00E24212" w:rsidRPr="00956638" w:rsidRDefault="001D7CB9" w:rsidP="001D799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103F7" w:rsidRPr="00956638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103F7" w:rsidRPr="00956638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103F7" w:rsidRPr="00956638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357B" w:rsidRPr="00956638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afatynibu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B31EA" w:rsidRPr="00956638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B31EA" w:rsidRPr="00956638">
              <w:rPr>
                <w:b/>
                <w:bCs/>
                <w:color w:val="000000" w:themeColor="text1"/>
                <w:sz w:val="20"/>
                <w:szCs w:val="20"/>
              </w:rPr>
              <w:t>dakomitynibu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(mutacja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6B9C" w:rsidRPr="00956638">
              <w:rPr>
                <w:b/>
                <w:bCs/>
                <w:color w:val="000000" w:themeColor="text1"/>
                <w:sz w:val="20"/>
                <w:szCs w:val="20"/>
              </w:rPr>
              <w:t>EGFR)</w:t>
            </w:r>
            <w:r w:rsidR="007A0A9A" w:rsidRPr="0095663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DD4B6AD" w14:textId="37743024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:</w:t>
            </w:r>
          </w:p>
          <w:p w14:paraId="3470CBBD" w14:textId="3D84556F" w:rsidR="00C35188" w:rsidRPr="00956638" w:rsidRDefault="0084433C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gruczołowego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wielkokomórkowego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lub</w:t>
            </w:r>
          </w:p>
          <w:p w14:paraId="6644D0AC" w14:textId="736924A5" w:rsidR="006C67CC" w:rsidRPr="00956638" w:rsidRDefault="0084433C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przewagą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gruczołowego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wielkokomórkowego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lub</w:t>
            </w:r>
          </w:p>
          <w:p w14:paraId="79064D78" w14:textId="59866D7E" w:rsidR="00C35188" w:rsidRPr="00956638" w:rsidRDefault="0084433C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ustalonego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otherwise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specified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NOS);</w:t>
            </w:r>
          </w:p>
          <w:p w14:paraId="01D6DF85" w14:textId="5FEF6D12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becnoś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mutacji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aktywującej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kodującym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receptor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naskórkowego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czynnika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wzrostu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(a</w:t>
            </w:r>
            <w:r w:rsidR="00DB00A5" w:rsidRPr="00956638">
              <w:rPr>
                <w:color w:val="000000" w:themeColor="text1"/>
                <w:sz w:val="20"/>
                <w:szCs w:val="20"/>
              </w:rPr>
              <w:t>n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4433C" w:rsidRPr="00956638">
              <w:rPr>
                <w:color w:val="000000" w:themeColor="text1"/>
                <w:sz w:val="20"/>
                <w:szCs w:val="20"/>
              </w:rPr>
              <w:t>epidermal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4433C" w:rsidRPr="00956638">
              <w:rPr>
                <w:color w:val="000000" w:themeColor="text1"/>
                <w:sz w:val="20"/>
                <w:szCs w:val="20"/>
              </w:rPr>
              <w:t>growth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4433C" w:rsidRPr="00956638">
              <w:rPr>
                <w:color w:val="000000" w:themeColor="text1"/>
                <w:sz w:val="20"/>
                <w:szCs w:val="20"/>
              </w:rPr>
              <w:t>factor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receptor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EGFR)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potwierdzona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F06"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F06" w:rsidRPr="00956638">
              <w:rPr>
                <w:color w:val="000000" w:themeColor="text1"/>
                <w:sz w:val="20"/>
                <w:szCs w:val="20"/>
              </w:rPr>
              <w:t>testu;</w:t>
            </w:r>
          </w:p>
          <w:p w14:paraId="2B49AC96" w14:textId="019418F1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miejscowe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03F7" w:rsidRPr="00956638">
              <w:rPr>
                <w:color w:val="000000" w:themeColor="text1"/>
                <w:sz w:val="20"/>
                <w:szCs w:val="20"/>
              </w:rPr>
              <w:t>sytuacji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4433C"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84433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chirurgicznego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uogólnienie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IV);</w:t>
            </w:r>
          </w:p>
          <w:p w14:paraId="446EC3F8" w14:textId="4462CC40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zmierzenia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przeprowadzenia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systemu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1.1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5188" w:rsidRPr="00956638">
              <w:rPr>
                <w:color w:val="000000" w:themeColor="text1"/>
                <w:sz w:val="20"/>
                <w:szCs w:val="20"/>
              </w:rPr>
              <w:t>r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esponse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5188" w:rsidRPr="00956638">
              <w:rPr>
                <w:color w:val="000000" w:themeColor="text1"/>
                <w:sz w:val="20"/>
                <w:szCs w:val="20"/>
              </w:rPr>
              <w:t>e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valuation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5188" w:rsidRPr="00956638">
              <w:rPr>
                <w:color w:val="000000" w:themeColor="text1"/>
                <w:sz w:val="20"/>
                <w:szCs w:val="20"/>
              </w:rPr>
              <w:t>c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riteria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i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s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olid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5188" w:rsidRPr="00956638">
              <w:rPr>
                <w:color w:val="000000" w:themeColor="text1"/>
                <w:sz w:val="20"/>
                <w:szCs w:val="20"/>
              </w:rPr>
              <w:t>t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umours</w:t>
            </w:r>
            <w:proofErr w:type="spellEnd"/>
            <w:r w:rsidR="0084433C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niemierzalnych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6860EAE4" w14:textId="69313C92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N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63A" w:rsidRPr="00956638">
              <w:rPr>
                <w:color w:val="000000" w:themeColor="text1"/>
                <w:sz w:val="20"/>
                <w:szCs w:val="20"/>
              </w:rPr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3F1B"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4433C"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planowanym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E25C8" w:rsidRPr="00956638">
              <w:rPr>
                <w:color w:val="000000" w:themeColor="text1"/>
                <w:sz w:val="20"/>
                <w:szCs w:val="20"/>
              </w:rPr>
              <w:t>dakomitynibem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nerwowym</w:t>
            </w:r>
          </w:p>
          <w:p w14:paraId="692018F3" w14:textId="7FB5CE18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18</w:t>
            </w:r>
            <w:r w:rsidR="00DF37C5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0F6A003E" w14:textId="7D3EE2AF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</w:t>
            </w:r>
            <w:r w:rsidR="00007E2B" w:rsidRPr="00956638">
              <w:rPr>
                <w:color w:val="000000" w:themeColor="text1"/>
                <w:sz w:val="20"/>
                <w:szCs w:val="20"/>
              </w:rPr>
              <w:t>prawność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7E2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7E2B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7E2B" w:rsidRPr="00956638">
              <w:rPr>
                <w:color w:val="000000" w:themeColor="text1"/>
                <w:sz w:val="20"/>
                <w:szCs w:val="20"/>
              </w:rPr>
              <w:t>0-2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7097F574" w14:textId="74AE3E54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C35188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współwystępujących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(szczególnie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niekontrolowane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nadciśnienie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tętnicze,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niestabilna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choroba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wieńcowa,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zawał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mięśnia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sercowego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roku,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komorowe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zaburzenia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rytmu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wymagające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leczenia);</w:t>
            </w:r>
          </w:p>
          <w:p w14:paraId="10B0666B" w14:textId="4C0C1E90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zynnoś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umożliwiając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aktualną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5A55D356" w14:textId="3BDC6B8D" w:rsidR="00C3518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zynnoś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normy);</w:t>
            </w:r>
          </w:p>
          <w:p w14:paraId="29997A7D" w14:textId="786621CA" w:rsidR="0084433C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:</w:t>
            </w:r>
          </w:p>
          <w:p w14:paraId="7FFCC4A1" w14:textId="39C3CE52" w:rsidR="0084433C" w:rsidRPr="00956638" w:rsidRDefault="0084433C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normy,</w:t>
            </w:r>
          </w:p>
          <w:p w14:paraId="1F104FAC" w14:textId="1BD79140" w:rsidR="00CE153E" w:rsidRPr="00956638" w:rsidRDefault="0084433C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4FCD44A3" w14:textId="7235BF47" w:rsidR="00CE153E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CE153E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0B0D" w:rsidRPr="00956638">
              <w:rPr>
                <w:color w:val="000000" w:themeColor="text1"/>
                <w:sz w:val="20"/>
                <w:szCs w:val="20"/>
              </w:rPr>
              <w:t>afatynibu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C1C"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47C1C" w:rsidRPr="00956638">
              <w:rPr>
                <w:color w:val="000000" w:themeColor="text1"/>
                <w:sz w:val="20"/>
                <w:szCs w:val="20"/>
              </w:rPr>
              <w:t>dakomitynibu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10CF022D" w14:textId="0F50E34B" w:rsidR="00CE153E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95C" w:rsidRPr="00956638">
              <w:rPr>
                <w:color w:val="000000" w:themeColor="text1"/>
                <w:sz w:val="20"/>
                <w:szCs w:val="20"/>
              </w:rPr>
              <w:t>jednoczesnego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ukierunkowanych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molekularnie;</w:t>
            </w:r>
          </w:p>
          <w:p w14:paraId="70932D78" w14:textId="2CCCAFFA" w:rsidR="009F03B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wcześniejszego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farmakologicznego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4433C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stadium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uogólnienia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przerzutów)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miejscowego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zaawansowania</w:t>
            </w:r>
            <w:r w:rsidR="007A0A9A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2C36D623" w14:textId="1B5C862D" w:rsidR="00C02C2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lastRenderedPageBreak/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radykalnym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67718181" w14:textId="53E65692" w:rsidR="00C9090B" w:rsidRDefault="0084433C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</w:t>
            </w:r>
            <w:r w:rsidR="00A94562" w:rsidRPr="00932263">
              <w:rPr>
                <w:color w:val="000000" w:themeColor="text1"/>
                <w:sz w:val="20"/>
                <w:szCs w:val="20"/>
              </w:rPr>
              <w:t>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055EFD8E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EFE3B49" w14:textId="4ADD1405" w:rsidR="00C02C28" w:rsidRPr="00956638" w:rsidRDefault="00C02C28" w:rsidP="001D799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nowotworu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04C7E"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168E" w:rsidRPr="00956638">
              <w:rPr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D168E" w:rsidRPr="00956638">
              <w:rPr>
                <w:b/>
                <w:bCs/>
                <w:color w:val="000000" w:themeColor="text1"/>
                <w:sz w:val="20"/>
                <w:szCs w:val="20"/>
              </w:rPr>
              <w:t>ozymertynib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168E" w:rsidRPr="00956638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50CA7" w:rsidRPr="00956638">
              <w:rPr>
                <w:b/>
                <w:bCs/>
                <w:color w:val="000000" w:themeColor="text1"/>
                <w:sz w:val="20"/>
                <w:szCs w:val="20"/>
              </w:rPr>
              <w:t>mutacja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0CA7"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0CA7" w:rsidRPr="00956638">
              <w:rPr>
                <w:b/>
                <w:bCs/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0CA7" w:rsidRPr="00956638">
              <w:rPr>
                <w:b/>
                <w:bCs/>
                <w:color w:val="000000" w:themeColor="text1"/>
                <w:sz w:val="20"/>
                <w:szCs w:val="20"/>
              </w:rPr>
              <w:t>EGFR</w:t>
            </w:r>
            <w:r w:rsidR="006D168E" w:rsidRPr="00956638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047" w:rsidRPr="00956638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niepowodzeniem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wcześniejszego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afatynibem</w:t>
            </w:r>
            <w:proofErr w:type="spellEnd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erlotynibem</w:t>
            </w:r>
            <w:proofErr w:type="spellEnd"/>
            <w:r w:rsidR="00F8463B" w:rsidRPr="00956638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8463B" w:rsidRPr="00956638">
              <w:rPr>
                <w:b/>
                <w:bCs/>
                <w:color w:val="000000" w:themeColor="text1"/>
                <w:sz w:val="20"/>
                <w:szCs w:val="20"/>
              </w:rPr>
              <w:t>dako</w:t>
            </w:r>
            <w:r w:rsidR="00BE31C9" w:rsidRPr="00956638">
              <w:rPr>
                <w:b/>
                <w:bCs/>
                <w:color w:val="000000" w:themeColor="text1"/>
                <w:sz w:val="20"/>
                <w:szCs w:val="20"/>
              </w:rPr>
              <w:t>mi</w:t>
            </w:r>
            <w:r w:rsidR="00F8463B" w:rsidRPr="00956638">
              <w:rPr>
                <w:b/>
                <w:bCs/>
                <w:color w:val="000000" w:themeColor="text1"/>
                <w:sz w:val="20"/>
                <w:szCs w:val="20"/>
              </w:rPr>
              <w:t>tynibem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gefitynibem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6D61" w:rsidRPr="00956638">
              <w:rPr>
                <w:b/>
                <w:bCs/>
                <w:color w:val="000000" w:themeColor="text1"/>
                <w:sz w:val="20"/>
                <w:szCs w:val="20"/>
              </w:rPr>
              <w:t>stosowanego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4F9B" w:rsidRPr="00956638">
              <w:rPr>
                <w:b/>
                <w:color w:val="000000" w:themeColor="text1"/>
                <w:sz w:val="20"/>
                <w:szCs w:val="20"/>
              </w:rPr>
              <w:t>ozymertynib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3391F" w:rsidRPr="00956638">
              <w:rPr>
                <w:b/>
                <w:bCs/>
                <w:color w:val="000000" w:themeColor="text1"/>
                <w:sz w:val="20"/>
                <w:szCs w:val="20"/>
              </w:rPr>
              <w:t>(mutacja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3391F" w:rsidRPr="00956638">
              <w:rPr>
                <w:b/>
                <w:bCs/>
                <w:color w:val="000000" w:themeColor="text1"/>
                <w:sz w:val="20"/>
                <w:szCs w:val="20"/>
              </w:rPr>
              <w:t>T790M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3391F"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3391F" w:rsidRPr="00956638">
              <w:rPr>
                <w:b/>
                <w:bCs/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3391F" w:rsidRPr="00956638">
              <w:rPr>
                <w:b/>
                <w:bCs/>
                <w:color w:val="000000" w:themeColor="text1"/>
                <w:sz w:val="20"/>
                <w:szCs w:val="20"/>
              </w:rPr>
              <w:t>EGFR)</w:t>
            </w:r>
          </w:p>
          <w:p w14:paraId="3A354340" w14:textId="6675DA37" w:rsidR="0038781F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hist</w:t>
            </w:r>
            <w:r w:rsidR="00C02C28" w:rsidRPr="00956638">
              <w:rPr>
                <w:color w:val="000000" w:themeColor="text1"/>
                <w:sz w:val="20"/>
                <w:szCs w:val="20"/>
              </w:rPr>
              <w:t>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2C28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2C28"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A23DB" w:rsidRPr="00956638">
              <w:rPr>
                <w:color w:val="000000" w:themeColor="text1"/>
                <w:sz w:val="20"/>
                <w:szCs w:val="20"/>
              </w:rPr>
              <w:t>:</w:t>
            </w:r>
          </w:p>
          <w:p w14:paraId="2861BF06" w14:textId="0F6493A9" w:rsidR="00C02C28" w:rsidRPr="00956638" w:rsidRDefault="00C02C28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gruczołowego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23D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23DB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wielkokomórkowego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lub</w:t>
            </w:r>
          </w:p>
          <w:p w14:paraId="48EA1BAD" w14:textId="7153E33E" w:rsidR="00C02C28" w:rsidRPr="00956638" w:rsidRDefault="006B4F9B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przewagą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gruczołowego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2C28" w:rsidRPr="00956638">
              <w:rPr>
                <w:color w:val="000000" w:themeColor="text1"/>
                <w:sz w:val="20"/>
                <w:szCs w:val="20"/>
              </w:rPr>
              <w:t>wielkokomórkowego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color w:val="000000" w:themeColor="text1"/>
                <w:sz w:val="20"/>
                <w:szCs w:val="20"/>
              </w:rPr>
              <w:t>lub</w:t>
            </w:r>
          </w:p>
          <w:p w14:paraId="66C47640" w14:textId="584FB125" w:rsidR="00704C7E" w:rsidRPr="00956638" w:rsidRDefault="006B4F9B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2C28" w:rsidRPr="00956638">
              <w:rPr>
                <w:color w:val="000000" w:themeColor="text1"/>
                <w:sz w:val="20"/>
                <w:szCs w:val="20"/>
              </w:rPr>
              <w:t>NOS;</w:t>
            </w:r>
          </w:p>
          <w:p w14:paraId="49624252" w14:textId="552823DE" w:rsidR="00704C7E" w:rsidRPr="00956638" w:rsidRDefault="00704C7E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kwalifikacji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do:</w:t>
            </w:r>
          </w:p>
          <w:p w14:paraId="78C6A371" w14:textId="67D08DD6" w:rsidR="00704C7E" w:rsidRPr="00956638" w:rsidRDefault="00704C7E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mutacji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aktywującej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kodującym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receptor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naskórkowego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czynnika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wzrostu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epidermal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growth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factor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receptor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EGFR)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potwierdzona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4AED"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testu,</w:t>
            </w:r>
          </w:p>
          <w:p w14:paraId="3C46F420" w14:textId="43604916" w:rsidR="00704C7E" w:rsidRPr="00956638" w:rsidRDefault="00704C7E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mutacji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T790M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potwierdzona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4AED"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AED" w:rsidRPr="00956638">
              <w:rPr>
                <w:color w:val="000000" w:themeColor="text1"/>
                <w:sz w:val="20"/>
                <w:szCs w:val="20"/>
              </w:rPr>
              <w:t>testu;</w:t>
            </w:r>
          </w:p>
          <w:p w14:paraId="0319C9DA" w14:textId="71E42214" w:rsidR="00FE4AED" w:rsidRPr="00956638" w:rsidRDefault="000A3985" w:rsidP="001D7998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miejscowe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sytuacji,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chirurgicznego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uogólnienie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IV);</w:t>
            </w:r>
          </w:p>
          <w:p w14:paraId="744B3383" w14:textId="5887DB42" w:rsidR="00B05A85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P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rogresja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zastosowaniu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2C28" w:rsidRPr="00956638">
              <w:rPr>
                <w:color w:val="000000" w:themeColor="text1"/>
                <w:sz w:val="20"/>
                <w:szCs w:val="20"/>
              </w:rPr>
              <w:t>afatynib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u</w:t>
            </w:r>
            <w:proofErr w:type="spellEnd"/>
            <w:r w:rsidR="00B05A85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2C28" w:rsidRPr="00956638">
              <w:rPr>
                <w:color w:val="000000" w:themeColor="text1"/>
                <w:sz w:val="20"/>
                <w:szCs w:val="20"/>
              </w:rPr>
              <w:t>erlotynib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u</w:t>
            </w:r>
            <w:proofErr w:type="spellEnd"/>
            <w:r w:rsidR="00747C1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2C28" w:rsidRPr="00956638">
              <w:rPr>
                <w:color w:val="000000" w:themeColor="text1"/>
                <w:sz w:val="20"/>
                <w:szCs w:val="20"/>
              </w:rPr>
              <w:t>gefitynib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7C1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47C1C" w:rsidRPr="00956638">
              <w:rPr>
                <w:color w:val="000000" w:themeColor="text1"/>
                <w:sz w:val="20"/>
                <w:szCs w:val="20"/>
              </w:rPr>
              <w:t>dakomitynibu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miejscowo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zaawansowan</w:t>
            </w:r>
            <w:r w:rsidR="0038781F" w:rsidRPr="00956638">
              <w:rPr>
                <w:color w:val="000000" w:themeColor="text1"/>
                <w:sz w:val="20"/>
                <w:szCs w:val="20"/>
              </w:rPr>
              <w:t>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(bez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zastosowania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01F0B" w:rsidRPr="00956638">
              <w:rPr>
                <w:color w:val="000000" w:themeColor="text1"/>
                <w:sz w:val="20"/>
                <w:szCs w:val="20"/>
              </w:rPr>
              <w:t>lokoregionalnego</w:t>
            </w:r>
            <w:proofErr w:type="spellEnd"/>
            <w:r w:rsidR="00601F0B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uogólnion</w:t>
            </w:r>
            <w:r w:rsidR="0038781F" w:rsidRPr="00956638">
              <w:rPr>
                <w:color w:val="000000" w:themeColor="text1"/>
                <w:sz w:val="20"/>
                <w:szCs w:val="20"/>
              </w:rPr>
              <w:t>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8781F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781F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781F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mutacj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2C28" w:rsidRPr="00956638">
              <w:rPr>
                <w:color w:val="000000" w:themeColor="text1"/>
                <w:sz w:val="20"/>
                <w:szCs w:val="20"/>
              </w:rPr>
              <w:t>aktywując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5A85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dotyczy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16FC" w:rsidRPr="00956638">
              <w:rPr>
                <w:color w:val="000000" w:themeColor="text1"/>
                <w:sz w:val="20"/>
                <w:szCs w:val="20"/>
              </w:rPr>
              <w:t>ozyme</w:t>
            </w:r>
            <w:r w:rsidR="000A3985" w:rsidRPr="00956638">
              <w:rPr>
                <w:color w:val="000000" w:themeColor="text1"/>
                <w:sz w:val="20"/>
                <w:szCs w:val="20"/>
              </w:rPr>
              <w:t>r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16FC" w:rsidRPr="00956638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2D1F76C5" w14:textId="378994CA" w:rsidR="00A308A1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zmierzenia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przeprowadzenia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systemu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1.1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niemierzalnych;</w:t>
            </w:r>
          </w:p>
          <w:p w14:paraId="670D466D" w14:textId="43D60A3B" w:rsidR="0006696F" w:rsidRPr="00956638" w:rsidRDefault="0006696F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planowanym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E25C8" w:rsidRPr="00956638">
              <w:rPr>
                <w:color w:val="000000" w:themeColor="text1"/>
                <w:sz w:val="20"/>
                <w:szCs w:val="20"/>
              </w:rPr>
              <w:t>dakomitynibem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25C8" w:rsidRPr="00956638">
              <w:rPr>
                <w:color w:val="000000" w:themeColor="text1"/>
                <w:sz w:val="20"/>
                <w:szCs w:val="20"/>
              </w:rPr>
              <w:t>nerwowym;</w:t>
            </w:r>
          </w:p>
          <w:p w14:paraId="7358C860" w14:textId="42B5CDF0" w:rsidR="00601F0B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18</w:t>
            </w:r>
            <w:r w:rsidR="00DF37C5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300C05C2" w14:textId="4602623B" w:rsidR="00601F0B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prawność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0-</w:t>
            </w:r>
            <w:r w:rsidR="00007E2B" w:rsidRPr="0095663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5845B91E" w14:textId="369B281E" w:rsidR="00835EE2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wspó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1F0B"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(śródmiąższowa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choroba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płuc,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wrodzony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zespół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wydłużonego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odstępu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4F9B" w:rsidRPr="00956638">
              <w:rPr>
                <w:color w:val="000000" w:themeColor="text1"/>
                <w:sz w:val="20"/>
                <w:szCs w:val="20"/>
              </w:rPr>
              <w:t>QTc</w:t>
            </w:r>
            <w:proofErr w:type="spellEnd"/>
            <w:r w:rsidR="006B4F9B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wydłużenie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odstępu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4F9B" w:rsidRPr="00956638">
              <w:rPr>
                <w:color w:val="000000" w:themeColor="text1"/>
                <w:sz w:val="20"/>
                <w:szCs w:val="20"/>
              </w:rPr>
              <w:t>QTc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połączeniu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którymkolwiek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następujących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zaburzeń: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4F9B" w:rsidRPr="00956638">
              <w:rPr>
                <w:color w:val="000000" w:themeColor="text1"/>
                <w:sz w:val="20"/>
                <w:szCs w:val="20"/>
              </w:rPr>
              <w:t>torsade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de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4F9B" w:rsidRPr="00956638">
              <w:rPr>
                <w:color w:val="000000" w:themeColor="text1"/>
                <w:sz w:val="20"/>
                <w:szCs w:val="20"/>
              </w:rPr>
              <w:t>pointes</w:t>
            </w:r>
            <w:proofErr w:type="spellEnd"/>
            <w:r w:rsidR="006B4F9B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polimorficzny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częstoskurcz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komorowy,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objawy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ciężkich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zaburzeń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rytmu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4F9B" w:rsidRPr="00956638">
              <w:rPr>
                <w:color w:val="000000" w:themeColor="text1"/>
                <w:sz w:val="20"/>
                <w:szCs w:val="20"/>
              </w:rPr>
              <w:t>serca);</w:t>
            </w:r>
          </w:p>
          <w:p w14:paraId="05DBA558" w14:textId="7C3FE32E" w:rsidR="00CE567C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5EE2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aktualną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67C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5662D498" w14:textId="59F69342" w:rsidR="005E44D7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normy);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882AAD4" w14:textId="57410B81" w:rsidR="005E44D7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44D7"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37E0582A" w14:textId="10107502" w:rsidR="005E44D7" w:rsidRPr="00956638" w:rsidRDefault="005E44D7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normy,</w:t>
            </w:r>
          </w:p>
          <w:p w14:paraId="34A3123C" w14:textId="17E5E85A" w:rsidR="005E44D7" w:rsidRPr="00956638" w:rsidRDefault="005E44D7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6EFF4C81" w14:textId="647E1804" w:rsidR="00066200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N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6200" w:rsidRPr="00956638">
              <w:rPr>
                <w:color w:val="000000" w:themeColor="text1"/>
                <w:sz w:val="20"/>
                <w:szCs w:val="20"/>
              </w:rPr>
              <w:t>ozymertynibu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5326E05B" w14:textId="373C95AD" w:rsidR="00A308A1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95C" w:rsidRPr="00956638">
              <w:rPr>
                <w:color w:val="000000" w:themeColor="text1"/>
                <w:sz w:val="20"/>
                <w:szCs w:val="20"/>
              </w:rPr>
              <w:t>jednoczesnego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ukierunkowanych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08A1" w:rsidRPr="00956638">
              <w:rPr>
                <w:color w:val="000000" w:themeColor="text1"/>
                <w:sz w:val="20"/>
                <w:szCs w:val="20"/>
              </w:rPr>
              <w:t>molekularnie;</w:t>
            </w:r>
          </w:p>
          <w:p w14:paraId="1579E7B1" w14:textId="188950F5" w:rsidR="009F03B8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zmniejszenie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związanych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254E" w:rsidRPr="00956638">
              <w:rPr>
                <w:color w:val="000000" w:themeColor="text1"/>
                <w:sz w:val="20"/>
                <w:szCs w:val="20"/>
              </w:rPr>
              <w:t>(wyjątek: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6B4B" w:rsidRPr="00956638">
              <w:rPr>
                <w:color w:val="000000" w:themeColor="text1"/>
                <w:sz w:val="20"/>
                <w:szCs w:val="20"/>
              </w:rPr>
              <w:t>utrata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6B4B" w:rsidRPr="00956638">
              <w:rPr>
                <w:color w:val="000000" w:themeColor="text1"/>
                <w:sz w:val="20"/>
                <w:szCs w:val="20"/>
              </w:rPr>
              <w:t>włosów)</w:t>
            </w:r>
            <w:r w:rsidR="009F03B8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00BA229C" w14:textId="05E22CEE" w:rsidR="00066200" w:rsidRPr="00956638" w:rsidRDefault="00404AFA" w:rsidP="001D7998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956638">
              <w:rPr>
                <w:color w:val="000000" w:themeColor="text1"/>
                <w:sz w:val="20"/>
                <w:szCs w:val="20"/>
              </w:rPr>
              <w:t>le</w:t>
            </w:r>
            <w:r w:rsidRPr="00956638">
              <w:rPr>
                <w:color w:val="000000" w:themeColor="text1"/>
                <w:sz w:val="20"/>
                <w:szCs w:val="20"/>
              </w:rPr>
              <w:t>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radykalnym</w:t>
            </w:r>
            <w:r w:rsidR="001D7998">
              <w:rPr>
                <w:color w:val="000000" w:themeColor="text1"/>
                <w:sz w:val="20"/>
                <w:szCs w:val="20"/>
              </w:rPr>
              <w:t>.</w:t>
            </w:r>
          </w:p>
          <w:p w14:paraId="0063C5EE" w14:textId="6581F8FB" w:rsidR="00C9090B" w:rsidRDefault="006B4F9B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</w:t>
            </w:r>
            <w:r w:rsidR="00A94562" w:rsidRPr="00932263">
              <w:rPr>
                <w:color w:val="000000" w:themeColor="text1"/>
                <w:sz w:val="20"/>
                <w:szCs w:val="20"/>
              </w:rPr>
              <w:t>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1904066E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EB6126" w14:textId="5A597398" w:rsidR="00AB1564" w:rsidRPr="00956638" w:rsidRDefault="00711AAB" w:rsidP="001D799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rearanżacją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przy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wykorzystaniu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AB1564" w:rsidRPr="00956638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02FAAC8D" w14:textId="6F37BD1E" w:rsidR="00A40EC4" w:rsidRPr="00932263" w:rsidRDefault="00A40EC4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kryzotynib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genów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ROS1)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poddawani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systemowemu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trzeciej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niepowodzeniem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wcześniejszej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wielolekowej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udziałem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pochodnych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platyny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stosowanej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nowotworu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jednolekowej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stosowanej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nowotworu),</w:t>
            </w:r>
          </w:p>
          <w:p w14:paraId="430A1E52" w14:textId="6D312E94" w:rsidR="001A03CD" w:rsidRPr="00932263" w:rsidRDefault="00AB1564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alektynib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gen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ALK)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cerytynib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genów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ALK)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brygatynib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genów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ALK)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poddawani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systemowemu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zaawansowanym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ALK-dodatnim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niedrobnokomórkowym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rakiem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niepowodzeniu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innym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inhibitorem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42FA" w:rsidRPr="00932263">
              <w:rPr>
                <w:b/>
                <w:color w:val="000000" w:themeColor="text1"/>
                <w:sz w:val="20"/>
                <w:szCs w:val="20"/>
              </w:rPr>
              <w:t>ALK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</w:p>
          <w:p w14:paraId="11B97190" w14:textId="21ADF09C" w:rsidR="00F8515A" w:rsidRPr="00932263" w:rsidRDefault="00A22519" w:rsidP="001D7998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lorlatynib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genów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ALK)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progresją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zastosowaniu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inhibitorów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generacji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miejscowo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(bez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zastosowania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lastRenderedPageBreak/>
              <w:t>lokoregionalnego</w:t>
            </w:r>
            <w:proofErr w:type="spellEnd"/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uogólnionego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płuc</w:t>
            </w:r>
            <w:r w:rsidR="00484592" w:rsidRPr="00932263">
              <w:rPr>
                <w:b/>
                <w:color w:val="000000" w:themeColor="text1"/>
                <w:sz w:val="20"/>
                <w:szCs w:val="20"/>
              </w:rPr>
              <w:t>a</w:t>
            </w:r>
            <w:r w:rsidR="00F8515A" w:rsidRPr="00932263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35D3CA6E" w14:textId="22480B72" w:rsidR="00711AAB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gruczolakoraka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1AAB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przewagą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utkania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gruczolakoraka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(</w:t>
            </w:r>
            <w:r w:rsidR="00ED34B1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1D3A" w:rsidRPr="00956638">
              <w:rPr>
                <w:color w:val="000000" w:themeColor="text1"/>
                <w:sz w:val="20"/>
                <w:szCs w:val="20"/>
              </w:rPr>
              <w:t>alektynibu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4592"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4592" w:rsidRPr="00956638">
              <w:rPr>
                <w:color w:val="000000" w:themeColor="text1"/>
                <w:sz w:val="20"/>
                <w:szCs w:val="20"/>
              </w:rPr>
              <w:t>lorlatynibu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34B1" w:rsidRPr="00956638">
              <w:rPr>
                <w:color w:val="000000" w:themeColor="text1"/>
                <w:sz w:val="20"/>
                <w:szCs w:val="20"/>
              </w:rPr>
              <w:t>dodatkowo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34B1" w:rsidRPr="00956638">
              <w:rPr>
                <w:color w:val="000000" w:themeColor="text1"/>
                <w:sz w:val="20"/>
                <w:szCs w:val="20"/>
              </w:rPr>
              <w:t>dopuszcza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34B1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34B1" w:rsidRPr="00956638">
              <w:rPr>
                <w:color w:val="000000" w:themeColor="text1"/>
                <w:sz w:val="20"/>
                <w:szCs w:val="20"/>
              </w:rPr>
              <w:t>rozpo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wielkokomórk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02F9D" w:rsidRPr="00956638">
              <w:rPr>
                <w:color w:val="000000" w:themeColor="text1"/>
                <w:sz w:val="20"/>
                <w:szCs w:val="20"/>
              </w:rPr>
              <w:t>nie</w:t>
            </w:r>
            <w:r w:rsidRPr="00956638">
              <w:rPr>
                <w:color w:val="000000" w:themeColor="text1"/>
                <w:sz w:val="20"/>
                <w:szCs w:val="20"/>
              </w:rPr>
              <w:t>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1D3A" w:rsidRPr="00956638">
              <w:rPr>
                <w:color w:val="000000" w:themeColor="text1"/>
                <w:sz w:val="20"/>
                <w:szCs w:val="20"/>
              </w:rPr>
              <w:t>ustal</w:t>
            </w:r>
            <w:r w:rsidRPr="00956638">
              <w:rPr>
                <w:color w:val="000000" w:themeColor="text1"/>
                <w:sz w:val="20"/>
                <w:szCs w:val="20"/>
              </w:rPr>
              <w:t>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histologicznego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NOS</w:t>
            </w:r>
            <w:r w:rsidR="00A02F9D" w:rsidRPr="00956638">
              <w:rPr>
                <w:color w:val="000000" w:themeColor="text1"/>
                <w:sz w:val="20"/>
                <w:szCs w:val="20"/>
              </w:rPr>
              <w:t>)</w:t>
            </w:r>
            <w:r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1909A9CB" w14:textId="60327491" w:rsidR="004A74F2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7849" w:rsidRPr="00956638">
              <w:rPr>
                <w:color w:val="000000" w:themeColor="text1"/>
                <w:sz w:val="20"/>
                <w:szCs w:val="20"/>
              </w:rPr>
              <w:t>rearanżacji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iCs/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podstawie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im</w:t>
            </w:r>
            <w:r w:rsidR="00C730DC" w:rsidRPr="00956638">
              <w:rPr>
                <w:color w:val="000000" w:themeColor="text1"/>
                <w:sz w:val="20"/>
                <w:szCs w:val="20"/>
              </w:rPr>
              <w:t>munohistochemicznego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30DC" w:rsidRPr="00956638">
              <w:rPr>
                <w:color w:val="000000" w:themeColor="text1"/>
                <w:sz w:val="20"/>
                <w:szCs w:val="20"/>
              </w:rPr>
              <w:t>(IHC)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30D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fluoroscencyjnej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hybrydyzacji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in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situ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fluorescencje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in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situ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7849" w:rsidRPr="00956638">
              <w:rPr>
                <w:color w:val="000000" w:themeColor="text1"/>
                <w:sz w:val="20"/>
                <w:szCs w:val="20"/>
              </w:rPr>
              <w:t>hybridisation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FISH)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sekwencjonowania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nowej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generacji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7849" w:rsidRPr="00956638">
              <w:rPr>
                <w:color w:val="000000" w:themeColor="text1"/>
                <w:sz w:val="20"/>
                <w:szCs w:val="20"/>
              </w:rPr>
              <w:t>new-generation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7849" w:rsidRPr="00956638">
              <w:rPr>
                <w:color w:val="000000" w:themeColor="text1"/>
                <w:sz w:val="20"/>
                <w:szCs w:val="20"/>
              </w:rPr>
              <w:t>sequencing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NGS)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wyk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C2991"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991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30DC"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730DC" w:rsidRPr="00956638">
              <w:rPr>
                <w:color w:val="000000" w:themeColor="text1"/>
                <w:sz w:val="20"/>
                <w:szCs w:val="20"/>
              </w:rPr>
              <w:t>rearanżacji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iCs/>
                <w:color w:val="000000" w:themeColor="text1"/>
                <w:sz w:val="20"/>
                <w:szCs w:val="20"/>
              </w:rPr>
              <w:t>ROS-1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podstawie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metodą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fluoroscencyjnej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hybrydyzacji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in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situ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(FISH)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sekwencjonowania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nowej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generacji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7849" w:rsidRPr="00956638">
              <w:rPr>
                <w:color w:val="000000" w:themeColor="text1"/>
                <w:sz w:val="20"/>
                <w:szCs w:val="20"/>
              </w:rPr>
              <w:t>new-generation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7849" w:rsidRPr="00956638">
              <w:rPr>
                <w:color w:val="000000" w:themeColor="text1"/>
                <w:sz w:val="20"/>
                <w:szCs w:val="20"/>
              </w:rPr>
              <w:t>sequencing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NGS)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wyk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12EB"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12EB" w:rsidRPr="00956638">
              <w:rPr>
                <w:color w:val="000000" w:themeColor="text1"/>
                <w:sz w:val="20"/>
                <w:szCs w:val="20"/>
              </w:rPr>
              <w:t>testu;</w:t>
            </w:r>
          </w:p>
          <w:p w14:paraId="22C37D55" w14:textId="25067457" w:rsidR="004A74F2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miejscowe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III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przypadków,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zastosowanie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A74F2"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4A74F2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chirurgicznego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uogólnienie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IV)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1004" w:rsidRPr="00956638">
              <w:rPr>
                <w:color w:val="000000" w:themeColor="text1"/>
                <w:sz w:val="20"/>
                <w:szCs w:val="20"/>
              </w:rPr>
              <w:t>l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progresja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zastosowaniu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lub/i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455" w:rsidRPr="00956638">
              <w:rPr>
                <w:color w:val="000000" w:themeColor="text1"/>
                <w:sz w:val="20"/>
                <w:szCs w:val="20"/>
              </w:rPr>
              <w:t>jednego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45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455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455" w:rsidRPr="00956638">
              <w:rPr>
                <w:color w:val="000000" w:themeColor="text1"/>
                <w:sz w:val="20"/>
                <w:szCs w:val="20"/>
              </w:rPr>
              <w:t>anty-ALK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choryc</w:t>
            </w:r>
            <w:r w:rsidR="00C730DC" w:rsidRPr="00956638">
              <w:rPr>
                <w:color w:val="000000" w:themeColor="text1"/>
                <w:sz w:val="20"/>
                <w:szCs w:val="20"/>
              </w:rPr>
              <w:t>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455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A74F2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stadium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miejscowego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zaawansowania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74F2" w:rsidRPr="00956638">
              <w:rPr>
                <w:color w:val="000000" w:themeColor="text1"/>
                <w:sz w:val="20"/>
                <w:szCs w:val="20"/>
              </w:rPr>
              <w:t>uogólnienia;</w:t>
            </w:r>
          </w:p>
          <w:p w14:paraId="40ABDC47" w14:textId="42E6A67E" w:rsidR="00BC6455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zmierzenia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przeprowadzenia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systemu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1.1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niemierzalnych;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C2E64B0" w14:textId="58454229" w:rsidR="00F43ACD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63A" w:rsidRPr="00956638">
              <w:rPr>
                <w:color w:val="000000" w:themeColor="text1"/>
                <w:sz w:val="20"/>
                <w:szCs w:val="20"/>
              </w:rPr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55AE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55AE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55AE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55AE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1AAB"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miesią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(w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1F4C" w:rsidRPr="00956638">
              <w:rPr>
                <w:color w:val="000000" w:themeColor="text1"/>
                <w:sz w:val="20"/>
                <w:szCs w:val="20"/>
              </w:rPr>
              <w:t>alektynibu</w:t>
            </w:r>
            <w:proofErr w:type="spellEnd"/>
            <w:r w:rsidR="00B82C9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82C9A" w:rsidRPr="00956638">
              <w:rPr>
                <w:color w:val="000000" w:themeColor="text1"/>
                <w:sz w:val="20"/>
                <w:szCs w:val="20"/>
              </w:rPr>
              <w:t>cerytynibu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2C9A"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82C9A" w:rsidRPr="00956638">
              <w:rPr>
                <w:color w:val="000000" w:themeColor="text1"/>
                <w:sz w:val="20"/>
                <w:szCs w:val="20"/>
              </w:rPr>
              <w:t>brygatynibu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lastRenderedPageBreak/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1F4C"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F4270A" w:rsidRPr="00956638">
              <w:rPr>
                <w:color w:val="000000" w:themeColor="text1"/>
                <w:sz w:val="20"/>
                <w:szCs w:val="20"/>
              </w:rPr>
              <w:t>)</w:t>
            </w:r>
            <w:r w:rsidR="00731F4C" w:rsidRPr="00956638">
              <w:rPr>
                <w:color w:val="000000" w:themeColor="text1"/>
                <w:sz w:val="20"/>
                <w:szCs w:val="20"/>
              </w:rPr>
              <w:t>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AD9860F" w14:textId="62429A84" w:rsidR="00F43ACD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zmniejszenie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związanych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wcz</w:t>
            </w:r>
            <w:r w:rsidR="002C628C" w:rsidRPr="00956638">
              <w:rPr>
                <w:color w:val="000000" w:themeColor="text1"/>
                <w:sz w:val="20"/>
                <w:szCs w:val="20"/>
              </w:rPr>
              <w:t>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C628C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C628C" w:rsidRPr="00956638">
              <w:rPr>
                <w:color w:val="000000" w:themeColor="text1"/>
                <w:sz w:val="20"/>
                <w:szCs w:val="20"/>
              </w:rPr>
              <w:t>(wyjątek: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utrata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włosów);</w:t>
            </w:r>
          </w:p>
          <w:p w14:paraId="45F8CA49" w14:textId="5DAA1EFC" w:rsidR="00F43ACD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18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74752E61" w14:textId="2F847917" w:rsidR="00F43ACD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prawność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0-2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1AAB" w:rsidRPr="00956638">
              <w:rPr>
                <w:color w:val="000000" w:themeColor="text1"/>
                <w:sz w:val="20"/>
                <w:szCs w:val="20"/>
              </w:rPr>
              <w:t>Zubroda</w:t>
            </w:r>
            <w:proofErr w:type="spellEnd"/>
            <w:r w:rsidR="00711AAB" w:rsidRPr="00956638">
              <w:rPr>
                <w:color w:val="000000" w:themeColor="text1"/>
                <w:sz w:val="20"/>
                <w:szCs w:val="20"/>
              </w:rPr>
              <w:t>-WHO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4E81339A" w14:textId="65959F1A" w:rsidR="00F43ACD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(niekontrolowane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nadciśnienie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tętnicze,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niestabilna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choroba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wieńcowa,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zawał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mięśnia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sercowego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roku,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komorowe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zaburzenia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rytmu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wymagające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leczenia);</w:t>
            </w:r>
          </w:p>
          <w:p w14:paraId="4DA5783B" w14:textId="67323A81" w:rsidR="00711AAB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ak</w:t>
            </w:r>
            <w:r w:rsidR="002B35D9" w:rsidRPr="00956638">
              <w:rPr>
                <w:color w:val="000000" w:themeColor="text1"/>
                <w:sz w:val="20"/>
                <w:szCs w:val="20"/>
              </w:rPr>
              <w:t>tualną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35D9"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35D9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60024EBE" w14:textId="54292A18" w:rsidR="00711AAB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normy);</w:t>
            </w:r>
          </w:p>
          <w:p w14:paraId="5393AAA9" w14:textId="438DA0B5" w:rsidR="00711AAB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6306F4DA" w14:textId="6858CC29" w:rsidR="00711AAB" w:rsidRPr="00956638" w:rsidRDefault="00711AAB" w:rsidP="001D7998">
            <w:pPr>
              <w:pStyle w:val="Akapitzlist"/>
              <w:numPr>
                <w:ilvl w:val="4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normy,</w:t>
            </w:r>
          </w:p>
          <w:p w14:paraId="1CEC38C6" w14:textId="31BE5E27" w:rsidR="00F43ACD" w:rsidRPr="00956638" w:rsidRDefault="00711AAB" w:rsidP="001D7998">
            <w:pPr>
              <w:pStyle w:val="Akapitzlist"/>
              <w:numPr>
                <w:ilvl w:val="4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2D4AB4C9" w14:textId="6C05C4E3" w:rsidR="00F43ACD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1AAB" w:rsidRPr="00956638">
              <w:rPr>
                <w:color w:val="000000" w:themeColor="text1"/>
                <w:sz w:val="20"/>
                <w:szCs w:val="20"/>
              </w:rPr>
              <w:t>kryzot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y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319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319B" w:rsidRPr="00956638">
              <w:rPr>
                <w:color w:val="000000" w:themeColor="text1"/>
                <w:sz w:val="20"/>
                <w:szCs w:val="20"/>
              </w:rPr>
              <w:t>alektynibu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63DE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DE0" w:rsidRPr="00956638">
              <w:rPr>
                <w:color w:val="000000" w:themeColor="text1"/>
                <w:sz w:val="20"/>
                <w:szCs w:val="20"/>
              </w:rPr>
              <w:t>cerytynibu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03C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03CD" w:rsidRPr="00956638">
              <w:rPr>
                <w:color w:val="000000" w:themeColor="text1"/>
                <w:sz w:val="20"/>
                <w:szCs w:val="20"/>
              </w:rPr>
              <w:t>brygatynibu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459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4592" w:rsidRPr="00956638">
              <w:rPr>
                <w:color w:val="000000" w:themeColor="text1"/>
                <w:sz w:val="20"/>
                <w:szCs w:val="20"/>
              </w:rPr>
              <w:t>lorlatynibu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260646FB" w14:textId="7F5F0DBB" w:rsidR="00711AAB" w:rsidRPr="00956638" w:rsidRDefault="00404AFA" w:rsidP="001D799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jednoczesnego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1AAB" w:rsidRPr="00956638">
              <w:rPr>
                <w:color w:val="000000" w:themeColor="text1"/>
                <w:sz w:val="20"/>
                <w:szCs w:val="20"/>
              </w:rPr>
              <w:t>lek</w:t>
            </w:r>
            <w:r w:rsidRPr="00956638">
              <w:rPr>
                <w:color w:val="000000" w:themeColor="text1"/>
                <w:sz w:val="20"/>
                <w:szCs w:val="20"/>
              </w:rPr>
              <w:t>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ukierunkowanych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molekularnie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18C21C9C" w14:textId="7D9498DF" w:rsidR="00C9090B" w:rsidRDefault="00711AAB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4A69BBF8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9692EC" w14:textId="0FE14981" w:rsidR="007C2408" w:rsidRPr="00956638" w:rsidRDefault="007C2408" w:rsidP="001D799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przy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wykorzystaniu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358F29E6" w14:textId="4E8AB621" w:rsidR="007C2408" w:rsidRPr="00956638" w:rsidRDefault="007C2408" w:rsidP="001D7998">
            <w:pPr>
              <w:pStyle w:val="Akapitzlist"/>
              <w:numPr>
                <w:ilvl w:val="4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płaskonabłonkowy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niepłaskonabłonkowy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ekspresja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PD-L1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≥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50%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monoterapii</w:t>
            </w:r>
            <w:proofErr w:type="spellEnd"/>
          </w:p>
          <w:p w14:paraId="50471EF1" w14:textId="0EA6BCF4" w:rsidR="007C2408" w:rsidRPr="00956638" w:rsidRDefault="007C2408" w:rsidP="001D7998">
            <w:pPr>
              <w:pStyle w:val="Akapitzlist"/>
              <w:numPr>
                <w:ilvl w:val="4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niepłaskonabłonkowy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ekspresja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PD-L1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&lt;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50%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pemetreksedem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pochodną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platyny</w:t>
            </w:r>
          </w:p>
          <w:p w14:paraId="537ADAD7" w14:textId="2DF28C64" w:rsidR="007C2408" w:rsidRPr="00956638" w:rsidRDefault="007C2408" w:rsidP="001D7998">
            <w:pPr>
              <w:pStyle w:val="Akapitzlist"/>
              <w:numPr>
                <w:ilvl w:val="4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płaskonabłonkowy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ekspresja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PD-L1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&lt;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50%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paklitakselem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karboplatyną</w:t>
            </w:r>
            <w:proofErr w:type="spellEnd"/>
          </w:p>
          <w:p w14:paraId="1301241C" w14:textId="3C0F8E32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(rak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płaskonabłonkowy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024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niepłaskonabłonkowy);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DD307A9" w14:textId="002BACB0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wcześniejszego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farmakologicznego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systemowego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stadium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uogólnienia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(obecność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przerzutów);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systemowe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uznaje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uzupełniającego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pooperacyjnego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stosowanej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skojarzonej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Cs/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stadium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miejscowego</w:t>
            </w:r>
            <w:r w:rsidR="001D79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Cs/>
                <w:color w:val="000000" w:themeColor="text1"/>
                <w:sz w:val="20"/>
                <w:szCs w:val="20"/>
              </w:rPr>
              <w:t>zaawansowania;</w:t>
            </w:r>
          </w:p>
          <w:p w14:paraId="13D9AECC" w14:textId="77FC7779" w:rsidR="007C2408" w:rsidRPr="00956638" w:rsidRDefault="00A02F6D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Ocena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kspresj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PD-L1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komórkach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nowotworowych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metody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wskazanej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Leczniczego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2408"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przy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użyciu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koncentratu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przeciwciała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DAKO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22C3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przeciwciała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2408" w:rsidRPr="00956638">
              <w:rPr>
                <w:color w:val="000000" w:themeColor="text1"/>
                <w:sz w:val="20"/>
                <w:szCs w:val="20"/>
              </w:rPr>
              <w:t>Ventana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SP263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zakresie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następujących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2408" w:rsidRPr="00956638">
              <w:rPr>
                <w:color w:val="000000" w:themeColor="text1"/>
                <w:sz w:val="20"/>
                <w:szCs w:val="20"/>
              </w:rPr>
              <w:t>kryteriów:</w:t>
            </w:r>
          </w:p>
          <w:p w14:paraId="211377C4" w14:textId="75ED465D" w:rsidR="007C2408" w:rsidRPr="00956638" w:rsidRDefault="007C2408" w:rsidP="001D7998">
            <w:pPr>
              <w:pStyle w:val="Akapitzlist"/>
              <w:numPr>
                <w:ilvl w:val="4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odsetek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komórek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ekspresją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PD-L1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50%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większy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kwalifikacji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</w:p>
          <w:p w14:paraId="02E661C4" w14:textId="700834E5" w:rsidR="007C2408" w:rsidRPr="00956638" w:rsidRDefault="007C2408" w:rsidP="001D7998">
            <w:pPr>
              <w:pStyle w:val="Akapitzlist"/>
              <w:numPr>
                <w:ilvl w:val="4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odsetek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komórek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ekspresją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PD-L1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poniżej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50%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-kryterium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kwalifikacji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skojarzeniu:</w:t>
            </w:r>
          </w:p>
          <w:p w14:paraId="5B413B39" w14:textId="63175A0F" w:rsidR="007C2408" w:rsidRPr="00956638" w:rsidRDefault="007C2408" w:rsidP="001D7998">
            <w:pPr>
              <w:pStyle w:val="Akapitzlist"/>
              <w:numPr>
                <w:ilvl w:val="6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niepłaskonabłonkowym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schemacie: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pochodną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platyny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7382" w:rsidRPr="0095663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627382" w:rsidRPr="00956638">
              <w:rPr>
                <w:color w:val="000000" w:themeColor="text1"/>
                <w:sz w:val="20"/>
                <w:szCs w:val="20"/>
              </w:rPr>
              <w:t>karboplatyną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7382"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27382" w:rsidRPr="00956638">
              <w:rPr>
                <w:color w:val="000000" w:themeColor="text1"/>
                <w:sz w:val="20"/>
                <w:szCs w:val="20"/>
              </w:rPr>
              <w:t>cisplatyną</w:t>
            </w:r>
            <w:proofErr w:type="spellEnd"/>
            <w:r w:rsidR="00627382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indukcyjnym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tygodnie)</w:t>
            </w:r>
            <w:r w:rsidR="00627382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następnie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podtrzymującym;</w:t>
            </w:r>
          </w:p>
          <w:p w14:paraId="7089DB30" w14:textId="0157E1C0" w:rsidR="007C2408" w:rsidRPr="00956638" w:rsidRDefault="007C2408" w:rsidP="001D7998">
            <w:pPr>
              <w:pStyle w:val="Akapitzlist"/>
              <w:numPr>
                <w:ilvl w:val="6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płaskonabłonkowym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schemacie: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paklitakselem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karboplatyną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indukcyjnym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tygodnie)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następnie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podtrzymującym;</w:t>
            </w:r>
          </w:p>
          <w:p w14:paraId="73AABD57" w14:textId="276035DE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mutacji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rearanżacji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genów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ROS1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gruczołowego,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wielkokomórkowego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testu;</w:t>
            </w:r>
          </w:p>
          <w:p w14:paraId="782EAB03" w14:textId="65D531F7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IV;</w:t>
            </w:r>
          </w:p>
          <w:p w14:paraId="31638E66" w14:textId="402F3EE2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0C92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przeprowadzenia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systemu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1.1;</w:t>
            </w:r>
          </w:p>
          <w:p w14:paraId="535A9FB8" w14:textId="69D0299E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programu;</w:t>
            </w:r>
          </w:p>
          <w:p w14:paraId="56AE2651" w14:textId="504EA17F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18.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7200CE69" w14:textId="38D5E14B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Sprawność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0-1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Zubroda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-WHO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23FB7BF2" w14:textId="135B26C9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pomocą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właściwego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01CEB8AD" w14:textId="42FE327B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aktywnych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autoimmunologicznych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cukrzycy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niedoczynności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tarczycy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suplementacji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hormonalnej,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łuszczycy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bielactwa;</w:t>
            </w:r>
          </w:p>
          <w:p w14:paraId="728F7C71" w14:textId="63B7644E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aktualnymi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Charakterystykami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Leczniczego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pemetreksedu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paklitakselu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pochodnych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platyny;</w:t>
            </w:r>
          </w:p>
          <w:p w14:paraId="05A5F2B8" w14:textId="46F58D2A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bookmarkStart w:id="1" w:name="_Hlk53404333"/>
            <w:r w:rsidRPr="00956638">
              <w:rPr>
                <w:color w:val="000000" w:themeColor="text1"/>
                <w:sz w:val="20"/>
                <w:szCs w:val="20"/>
              </w:rPr>
              <w:t>Czynność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748345E4" w14:textId="18377B6A" w:rsidR="00024F01" w:rsidRPr="00956638" w:rsidRDefault="00024F01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pembrolizumabem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723C20AB" w14:textId="51A9D55A" w:rsidR="007C2408" w:rsidRPr="00956638" w:rsidRDefault="00BD2CCC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równy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45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ml/min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chemioterapią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zawierająca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karboplatynę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54976770" w14:textId="685E604E" w:rsidR="00BD2CCC" w:rsidRPr="00956638" w:rsidRDefault="00BD2CCC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równy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60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ml/min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chemioterapią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zawierająca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cisplatynę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;</w:t>
            </w:r>
          </w:p>
          <w:bookmarkEnd w:id="1"/>
          <w:p w14:paraId="07BE3131" w14:textId="181E80DF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2671DC06" w14:textId="17D073B4" w:rsidR="007C2408" w:rsidRPr="00956638" w:rsidRDefault="007C240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normy,</w:t>
            </w:r>
          </w:p>
          <w:p w14:paraId="7912A6FF" w14:textId="6B00FEDC" w:rsidR="007C2408" w:rsidRPr="00956638" w:rsidRDefault="007C240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5B9D7627" w14:textId="44BEB50E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pemetreksedu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paklitakselu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pochodnych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platyny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odpowiednich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Charakterystykach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42CA9733" w14:textId="249E09D0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jednoczesnego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ukierunkowanych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molekularnie;</w:t>
            </w:r>
          </w:p>
          <w:p w14:paraId="711761FB" w14:textId="0C71EDDA" w:rsidR="007C2408" w:rsidRPr="00956638" w:rsidRDefault="007C240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radykalnym;</w:t>
            </w:r>
          </w:p>
          <w:p w14:paraId="75A086DA" w14:textId="5F5AE818" w:rsidR="00C9090B" w:rsidRDefault="007C2408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34EFE375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CE80485" w14:textId="5CF066CD" w:rsidR="00354575" w:rsidRPr="00956638" w:rsidRDefault="00354575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niepowodzeniem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wcześniejszej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wielolekowej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udziałem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stosowanej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niwolumabu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płaskonabłonkowym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37D71" w:rsidRPr="00956638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37D71" w:rsidRPr="00956638">
              <w:rPr>
                <w:b/>
                <w:bCs/>
                <w:color w:val="000000" w:themeColor="text1"/>
                <w:sz w:val="20"/>
                <w:szCs w:val="20"/>
              </w:rPr>
              <w:t>niepłaskonabłonkowym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ekspresji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PDL1)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F6012" w:rsidRPr="00956638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płaskonabłonkowym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niepłaskonabłonkowym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b/>
                <w:bCs/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b/>
                <w:bCs/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b/>
                <w:bCs/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b/>
                <w:bCs/>
                <w:color w:val="000000" w:themeColor="text1"/>
                <w:sz w:val="20"/>
                <w:szCs w:val="20"/>
              </w:rPr>
              <w:t>ekspresji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67CC" w:rsidRPr="00956638">
              <w:rPr>
                <w:b/>
                <w:bCs/>
                <w:color w:val="000000" w:themeColor="text1"/>
                <w:sz w:val="20"/>
                <w:szCs w:val="20"/>
              </w:rPr>
              <w:t>PDL1)</w:t>
            </w:r>
          </w:p>
          <w:p w14:paraId="7C02303D" w14:textId="38E714FA" w:rsidR="00E00AA1" w:rsidRPr="00956638" w:rsidRDefault="00404AF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2E9F"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2E9F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2E9F"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6260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570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570" w:rsidRPr="00956638">
              <w:rPr>
                <w:color w:val="000000" w:themeColor="text1"/>
                <w:sz w:val="20"/>
                <w:szCs w:val="20"/>
              </w:rPr>
              <w:t>typie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570" w:rsidRPr="00956638">
              <w:rPr>
                <w:color w:val="000000" w:themeColor="text1"/>
                <w:sz w:val="20"/>
                <w:szCs w:val="20"/>
              </w:rPr>
              <w:t>płaskonabłonkowym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3AC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3ACD" w:rsidRPr="00956638">
              <w:rPr>
                <w:color w:val="000000" w:themeColor="text1"/>
                <w:sz w:val="20"/>
                <w:szCs w:val="20"/>
              </w:rPr>
              <w:t>niepłaskonabłonkowym</w:t>
            </w:r>
            <w:r w:rsidR="007D5F39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7B0190C3" w14:textId="07CDB0E1" w:rsidR="009941FB" w:rsidRPr="00956638" w:rsidRDefault="00404AF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W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mutacji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1FB" w:rsidRPr="00956638">
              <w:rPr>
                <w:color w:val="000000" w:themeColor="text1"/>
                <w:sz w:val="20"/>
                <w:szCs w:val="20"/>
              </w:rPr>
              <w:t>rearanżacji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genu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gruczołowego</w:t>
            </w:r>
            <w:r w:rsidR="00985465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5465" w:rsidRPr="00956638">
              <w:rPr>
                <w:color w:val="000000" w:themeColor="text1"/>
                <w:sz w:val="20"/>
                <w:szCs w:val="20"/>
              </w:rPr>
              <w:t>wielkokomórkowego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1FB" w:rsidRPr="00956638">
              <w:rPr>
                <w:color w:val="000000" w:themeColor="text1"/>
                <w:sz w:val="20"/>
                <w:szCs w:val="20"/>
              </w:rPr>
              <w:t>niedr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obno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NOS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79CA" w:rsidRPr="00956638">
              <w:rPr>
                <w:color w:val="000000" w:themeColor="text1"/>
                <w:sz w:val="20"/>
                <w:szCs w:val="20"/>
              </w:rPr>
              <w:t>zwalidowanego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testu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wykonywanego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laboratorium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posiadającym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aktualny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certyfikat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europejskiego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dla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danego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79CA" w:rsidRPr="00956638">
              <w:rPr>
                <w:color w:val="000000" w:themeColor="text1"/>
                <w:sz w:val="20"/>
                <w:szCs w:val="20"/>
              </w:rPr>
              <w:t>testu;</w:t>
            </w:r>
          </w:p>
          <w:p w14:paraId="061B8BBE" w14:textId="6D1DDFC9" w:rsidR="00D96260" w:rsidRPr="00956638" w:rsidRDefault="00404AF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miejscowe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przypadków,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zastosowanie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6260"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D96260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chirurgicznego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uogólnienie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IV);</w:t>
            </w:r>
          </w:p>
          <w:p w14:paraId="69CCB816" w14:textId="5F29BD42" w:rsidR="00D96260" w:rsidRPr="00956638" w:rsidRDefault="00404AF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zmierzenia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przeprowadzenia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systemu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1.1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niemierzalnych;</w:t>
            </w:r>
          </w:p>
          <w:p w14:paraId="6DBF0971" w14:textId="5E660065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63A" w:rsidRPr="00956638">
              <w:rPr>
                <w:color w:val="000000" w:themeColor="text1"/>
                <w:sz w:val="20"/>
                <w:szCs w:val="20"/>
              </w:rPr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6260"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programu;</w:t>
            </w:r>
          </w:p>
          <w:p w14:paraId="54DA3201" w14:textId="58F4B8EB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18.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51BD373D" w14:textId="631370C3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prawność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0-</w:t>
            </w:r>
            <w:r w:rsidR="00996B4B" w:rsidRPr="00956638">
              <w:rPr>
                <w:color w:val="000000" w:themeColor="text1"/>
                <w:sz w:val="20"/>
                <w:szCs w:val="20"/>
              </w:rPr>
              <w:t>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6260" w:rsidRPr="00956638">
              <w:rPr>
                <w:color w:val="000000" w:themeColor="text1"/>
                <w:sz w:val="20"/>
                <w:szCs w:val="20"/>
              </w:rPr>
              <w:t>Zubroda</w:t>
            </w:r>
            <w:proofErr w:type="spellEnd"/>
            <w:r w:rsidR="00D96260" w:rsidRPr="00956638">
              <w:rPr>
                <w:color w:val="000000" w:themeColor="text1"/>
                <w:sz w:val="20"/>
                <w:szCs w:val="20"/>
              </w:rPr>
              <w:t>-WHO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62FD080F" w14:textId="233CD6C9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pomocą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właściwego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202B0CAE" w14:textId="180A4175" w:rsidR="00902E9F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aktywnych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autoimmunologicznych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5F2F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5F2F" w:rsidRPr="00956638">
              <w:rPr>
                <w:color w:val="000000" w:themeColor="text1"/>
                <w:sz w:val="20"/>
                <w:szCs w:val="20"/>
              </w:rPr>
              <w:t>wyłączeniem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5F2F" w:rsidRPr="00956638">
              <w:rPr>
                <w:color w:val="000000" w:themeColor="text1"/>
                <w:sz w:val="20"/>
                <w:szCs w:val="20"/>
              </w:rPr>
              <w:t>cukrzycy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5F2F" w:rsidRPr="00956638">
              <w:rPr>
                <w:color w:val="000000" w:themeColor="text1"/>
                <w:sz w:val="20"/>
                <w:szCs w:val="20"/>
              </w:rPr>
              <w:t>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5F2F" w:rsidRPr="00956638">
              <w:rPr>
                <w:color w:val="000000" w:themeColor="text1"/>
                <w:sz w:val="20"/>
                <w:szCs w:val="20"/>
              </w:rPr>
              <w:t>1,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niedoczynności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tarczycy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wyłącznej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suplementacji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hormonalnej,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łuszczycy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bielactwa;</w:t>
            </w:r>
          </w:p>
          <w:p w14:paraId="2E9231E6" w14:textId="5A2C1775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aktualną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3991115B" w14:textId="4AF0C3B3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normy);</w:t>
            </w:r>
          </w:p>
          <w:p w14:paraId="0D53B0DF" w14:textId="32A49443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5EB50233" w14:textId="049D1C06" w:rsidR="00D96260" w:rsidRPr="00956638" w:rsidRDefault="00D96260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normy,</w:t>
            </w:r>
          </w:p>
          <w:p w14:paraId="6122384A" w14:textId="3772FD39" w:rsidR="00D96260" w:rsidRPr="00956638" w:rsidRDefault="00D96260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78D65FF2" w14:textId="4969D69F" w:rsidR="00D96260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6260" w:rsidRPr="00956638">
              <w:rPr>
                <w:color w:val="000000" w:themeColor="text1"/>
                <w:sz w:val="20"/>
                <w:szCs w:val="20"/>
              </w:rPr>
              <w:t>niwolumabu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00AA1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00AA1" w:rsidRPr="00956638">
              <w:rPr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A" w:rsidRPr="00956638">
              <w:rPr>
                <w:color w:val="000000" w:themeColor="text1"/>
                <w:sz w:val="20"/>
                <w:szCs w:val="20"/>
              </w:rPr>
              <w:t>o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532BCAC9" w14:textId="0CDF096F" w:rsidR="00A94562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jednoczesnego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ukierunkowanych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6260" w:rsidRPr="00956638">
              <w:rPr>
                <w:color w:val="000000" w:themeColor="text1"/>
                <w:sz w:val="20"/>
                <w:szCs w:val="20"/>
              </w:rPr>
              <w:t>molekularnie;</w:t>
            </w:r>
          </w:p>
          <w:p w14:paraId="520F753C" w14:textId="3F45D0C9" w:rsidR="00A94562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zmniejszenie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związanych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925E3" w:rsidRPr="00956638">
              <w:rPr>
                <w:color w:val="000000" w:themeColor="text1"/>
                <w:sz w:val="20"/>
                <w:szCs w:val="20"/>
              </w:rPr>
              <w:t>(wyjątek: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6B4B" w:rsidRPr="00956638">
              <w:rPr>
                <w:color w:val="000000" w:themeColor="text1"/>
                <w:sz w:val="20"/>
                <w:szCs w:val="20"/>
              </w:rPr>
              <w:t>utrata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6B4B" w:rsidRPr="00956638">
              <w:rPr>
                <w:color w:val="000000" w:themeColor="text1"/>
                <w:sz w:val="20"/>
                <w:szCs w:val="20"/>
              </w:rPr>
              <w:t>włosów)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36114E12" w14:textId="7D88F2DD" w:rsidR="00A94562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4562" w:rsidRPr="00956638">
              <w:rPr>
                <w:color w:val="000000" w:themeColor="text1"/>
                <w:sz w:val="20"/>
                <w:szCs w:val="20"/>
              </w:rPr>
              <w:t>le</w:t>
            </w:r>
            <w:r w:rsidRPr="00956638">
              <w:rPr>
                <w:color w:val="000000" w:themeColor="text1"/>
                <w:sz w:val="20"/>
                <w:szCs w:val="20"/>
              </w:rPr>
              <w:t>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radykalnym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169717A3" w14:textId="3FC52614" w:rsidR="00C9090B" w:rsidRDefault="00A94562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6A82C16C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BB82946" w14:textId="19392A29" w:rsidR="00B12EE1" w:rsidRPr="00956638" w:rsidRDefault="0075072A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(chorzy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niepowodzeniem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wcześniejszej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wielolekowej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udziałem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pochodnych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platyny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stosowanej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08215F" w:rsidRPr="00956638">
              <w:rPr>
                <w:b/>
                <w:color w:val="000000" w:themeColor="text1"/>
                <w:sz w:val="20"/>
                <w:szCs w:val="20"/>
              </w:rPr>
              <w:t>wodu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8215F" w:rsidRPr="00956638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8215F" w:rsidRPr="00956638">
              <w:rPr>
                <w:b/>
                <w:color w:val="000000" w:themeColor="text1"/>
                <w:sz w:val="20"/>
                <w:szCs w:val="20"/>
              </w:rPr>
              <w:t>nowotworu)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8215F"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8215F" w:rsidRPr="00956638">
              <w:rPr>
                <w:b/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color w:val="000000" w:themeColor="text1"/>
                <w:sz w:val="20"/>
                <w:szCs w:val="20"/>
              </w:rPr>
              <w:t>nintedanib</w:t>
            </w:r>
            <w:r w:rsidR="0008215F" w:rsidRPr="00956638">
              <w:rPr>
                <w:b/>
                <w:color w:val="000000" w:themeColor="text1"/>
                <w:sz w:val="20"/>
                <w:szCs w:val="20"/>
              </w:rPr>
              <w:t>u</w:t>
            </w:r>
            <w:proofErr w:type="spellEnd"/>
          </w:p>
          <w:p w14:paraId="53142231" w14:textId="34AF6E7F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gruczołowego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072A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przewagą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gruczolakoraka;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670A1BE" w14:textId="073B3620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miejscowe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przypadków,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zastosowanie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072A"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75072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chirurgicznego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uogólnienie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IV);</w:t>
            </w:r>
          </w:p>
          <w:p w14:paraId="69F9DE19" w14:textId="64B781F4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zmierzenia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przeprowadzenia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systemu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1.1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niemierzalnych;</w:t>
            </w:r>
          </w:p>
          <w:p w14:paraId="31CA4A63" w14:textId="25E5E56C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63A" w:rsidRPr="00956638">
              <w:rPr>
                <w:color w:val="000000" w:themeColor="text1"/>
                <w:sz w:val="20"/>
                <w:szCs w:val="20"/>
              </w:rPr>
              <w:t>objawowych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cech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nerwowym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chirurgiczne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radioterapia)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istotnych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neurologicznych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potrzeby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zwiększania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lastRenderedPageBreak/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072A" w:rsidRPr="00956638">
              <w:rPr>
                <w:color w:val="000000" w:themeColor="text1"/>
                <w:sz w:val="20"/>
                <w:szCs w:val="20"/>
              </w:rPr>
              <w:t>glikokortykosteroidów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ostatniego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programu;</w:t>
            </w:r>
          </w:p>
          <w:p w14:paraId="3894819F" w14:textId="1261F4A0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18.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343D7971" w14:textId="3D123384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prawność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0-2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072A" w:rsidRPr="00956638">
              <w:rPr>
                <w:color w:val="000000" w:themeColor="text1"/>
                <w:sz w:val="20"/>
                <w:szCs w:val="20"/>
              </w:rPr>
              <w:t>Zubroda</w:t>
            </w:r>
            <w:proofErr w:type="spellEnd"/>
            <w:r w:rsidR="0075072A" w:rsidRPr="00956638">
              <w:rPr>
                <w:color w:val="000000" w:themeColor="text1"/>
                <w:sz w:val="20"/>
                <w:szCs w:val="20"/>
              </w:rPr>
              <w:t>-WHO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3568C53C" w14:textId="57099C1F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pomocą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właściwego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leczenia;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(ze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szczególnym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uwzględnieniem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nadciśnienia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tętniczego);</w:t>
            </w:r>
          </w:p>
          <w:p w14:paraId="0F6358D4" w14:textId="022E0CF8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przeszłości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zakrzepowo-zatorowej;</w:t>
            </w:r>
          </w:p>
          <w:p w14:paraId="7153822C" w14:textId="1EAB80EE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ukła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aktualną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2BB5C4ED" w14:textId="7B488976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normy);</w:t>
            </w:r>
          </w:p>
          <w:p w14:paraId="77508426" w14:textId="45331EF0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66EA8DA7" w14:textId="1C240307" w:rsidR="0075072A" w:rsidRPr="00956638" w:rsidRDefault="0075072A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normy,</w:t>
            </w:r>
          </w:p>
          <w:p w14:paraId="4F493694" w14:textId="5CD32832" w:rsidR="0075072A" w:rsidRPr="00956638" w:rsidRDefault="0075072A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46BFAFB8" w14:textId="06E119EB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072A" w:rsidRPr="00956638">
              <w:rPr>
                <w:color w:val="000000" w:themeColor="text1"/>
                <w:sz w:val="20"/>
                <w:szCs w:val="20"/>
              </w:rPr>
              <w:t>nintedanibu</w:t>
            </w:r>
            <w:proofErr w:type="spellEnd"/>
            <w:r w:rsidR="0075072A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42C50B86" w14:textId="47E45993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wcześniejszego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072A" w:rsidRPr="00956638">
              <w:rPr>
                <w:color w:val="000000" w:themeColor="text1"/>
                <w:sz w:val="20"/>
                <w:szCs w:val="20"/>
              </w:rPr>
              <w:t>docetakselu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antyangiogennych;</w:t>
            </w:r>
          </w:p>
          <w:p w14:paraId="1C57D9D1" w14:textId="18BC12EA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zmniejszenie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związanych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(wyjątek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utrata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włosów);</w:t>
            </w:r>
          </w:p>
          <w:p w14:paraId="714BDB00" w14:textId="17418692" w:rsidR="0075072A" w:rsidRPr="00956638" w:rsidRDefault="00370C1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072A" w:rsidRPr="00956638">
              <w:rPr>
                <w:color w:val="000000" w:themeColor="text1"/>
                <w:sz w:val="20"/>
                <w:szCs w:val="20"/>
              </w:rPr>
              <w:t>le</w:t>
            </w:r>
            <w:r w:rsidRPr="00956638">
              <w:rPr>
                <w:color w:val="000000" w:themeColor="text1"/>
                <w:sz w:val="20"/>
                <w:szCs w:val="20"/>
              </w:rPr>
              <w:t>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radykalnym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6D789607" w14:textId="17F38643" w:rsidR="00C9090B" w:rsidRDefault="0075072A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2C967C2D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FC85DDD" w14:textId="6F22530D" w:rsidR="003D5D8F" w:rsidRPr="00956638" w:rsidRDefault="003D5D8F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miejscowo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zaawansowanego,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nieoperacyjnego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konsolidującego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durwalumabem</w:t>
            </w:r>
            <w:proofErr w:type="spellEnd"/>
          </w:p>
          <w:p w14:paraId="028E2074" w14:textId="4AE926B9" w:rsidR="00312335" w:rsidRPr="00956638" w:rsidRDefault="00312335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płuca;</w:t>
            </w:r>
          </w:p>
          <w:p w14:paraId="7F3DB882" w14:textId="5C64E836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kliniczne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III,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chorzy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poddani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radykalnej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jednoczasowej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2335"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pochodnych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platyny;</w:t>
            </w:r>
          </w:p>
          <w:p w14:paraId="631B8521" w14:textId="531B5267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horzy,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nastąpiła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progresja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2335"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stan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potwierdzony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badaniu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TK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klatki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piersiowej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objęciem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nadbrzusza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wykonanym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okresie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tygodni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zakończeniu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napromieniania;</w:t>
            </w:r>
          </w:p>
          <w:p w14:paraId="5C632B68" w14:textId="418A3F40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zmniejszenie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związanych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wcześniejszym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(wyjątek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utrata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włosów);</w:t>
            </w:r>
          </w:p>
          <w:p w14:paraId="37313733" w14:textId="4981A4EB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sprawności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0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32E797B7" w14:textId="35E57888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18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79B7E8C5" w14:textId="41E7BFE3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pomocą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właściwego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7F26914E" w14:textId="4EF6D23F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aktywnych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autoimmunologicznych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wyłączeniem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cukrzycy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1.,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niedoczynności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tarczycy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suplementacji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hormonalnej,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łuszczycy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bielactwa;</w:t>
            </w:r>
          </w:p>
          <w:p w14:paraId="7361F634" w14:textId="32D8BDED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krwiotwórczego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aktualną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5F46EF27" w14:textId="7DD90A58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normy);</w:t>
            </w:r>
          </w:p>
          <w:p w14:paraId="3A7AE042" w14:textId="0B15E951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leczenie:</w:t>
            </w:r>
          </w:p>
          <w:p w14:paraId="3E764F1C" w14:textId="6DA57BC4" w:rsidR="00312335" w:rsidRPr="00956638" w:rsidRDefault="00312335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0576200B" w14:textId="0B6E36B4" w:rsidR="00312335" w:rsidRPr="00956638" w:rsidRDefault="00312335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2,5-krotnie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70F01317" w14:textId="7C42FBCB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2335" w:rsidRPr="00956638">
              <w:rPr>
                <w:color w:val="000000" w:themeColor="text1"/>
                <w:sz w:val="20"/>
                <w:szCs w:val="20"/>
              </w:rPr>
              <w:t>durwalumabu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5C744279" w14:textId="236310C7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W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jednoczesnego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ukierunkowanych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molekularnie;</w:t>
            </w:r>
          </w:p>
          <w:p w14:paraId="7DE3F7AD" w14:textId="03A89730" w:rsidR="00312335" w:rsidRPr="00956638" w:rsidRDefault="00031BD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ykluczenie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współwystępowania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2335" w:rsidRPr="00956638">
              <w:rPr>
                <w:color w:val="000000" w:themeColor="text1"/>
                <w:sz w:val="20"/>
                <w:szCs w:val="20"/>
              </w:rPr>
              <w:t>radykalnym);</w:t>
            </w:r>
          </w:p>
          <w:p w14:paraId="68FBF89E" w14:textId="1E365178" w:rsidR="00C9090B" w:rsidRDefault="00312335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66C42BA1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D066E14" w14:textId="69D407B7" w:rsidR="009D34EA" w:rsidRPr="00956638" w:rsidRDefault="009D34EA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drobnokomórkowego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B198A" w:rsidRPr="00956638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82186D"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186D" w:rsidRPr="00956638">
              <w:rPr>
                <w:b/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186D"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2186D" w:rsidRPr="00956638">
              <w:rPr>
                <w:b/>
                <w:color w:val="000000" w:themeColor="text1"/>
                <w:sz w:val="20"/>
                <w:szCs w:val="20"/>
              </w:rPr>
              <w:t>karboplatyną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186D" w:rsidRPr="00956638">
              <w:rPr>
                <w:b/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2186D" w:rsidRPr="00956638">
              <w:rPr>
                <w:b/>
                <w:color w:val="000000" w:themeColor="text1"/>
                <w:sz w:val="20"/>
                <w:szCs w:val="20"/>
              </w:rPr>
              <w:t>etopozydem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B198A"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B198A" w:rsidRPr="00956638">
              <w:rPr>
                <w:b/>
                <w:color w:val="000000" w:themeColor="text1"/>
                <w:sz w:val="20"/>
                <w:szCs w:val="20"/>
              </w:rPr>
              <w:t>fazie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B198A" w:rsidRPr="00956638">
              <w:rPr>
                <w:b/>
                <w:color w:val="000000" w:themeColor="text1"/>
                <w:sz w:val="20"/>
                <w:szCs w:val="20"/>
              </w:rPr>
              <w:t>indukcji)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97A2F21" w14:textId="09B7C42D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Rozpoznanie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histologiczne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drobnokomórkowego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324DE6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1352C861" w14:textId="06427BBD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Zaawansowanie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kliniczne: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stadium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rozległej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VA</w:t>
            </w:r>
            <w:r w:rsidR="00324DE6" w:rsidRPr="00956638">
              <w:rPr>
                <w:color w:val="000000" w:themeColor="text1"/>
                <w:sz w:val="20"/>
                <w:szCs w:val="20"/>
              </w:rPr>
              <w:t>S</w:t>
            </w:r>
            <w:r w:rsidRPr="00956638">
              <w:rPr>
                <w:color w:val="000000" w:themeColor="text1"/>
                <w:sz w:val="20"/>
                <w:szCs w:val="20"/>
              </w:rPr>
              <w:t>LG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(ang.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extensive-stage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small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cell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lung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cancer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ES-SCLC)</w:t>
            </w:r>
            <w:r w:rsidR="00324DE6" w:rsidRPr="00956638">
              <w:rPr>
                <w:color w:val="000000" w:themeColor="text1"/>
                <w:sz w:val="20"/>
                <w:szCs w:val="20"/>
              </w:rPr>
              <w:t>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154F60" w14:textId="3848547B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możliwych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obiektywnej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aktualnych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RECIST;</w:t>
            </w:r>
          </w:p>
          <w:p w14:paraId="4244DBF5" w14:textId="65369851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ośrodkowym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nerwowym;</w:t>
            </w:r>
          </w:p>
          <w:p w14:paraId="03EAAA9B" w14:textId="37944DFA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Wiek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≥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18.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życia;</w:t>
            </w:r>
          </w:p>
          <w:p w14:paraId="3ABC59B2" w14:textId="0D7CE07F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sprawności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0-1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WHO/ECOG;</w:t>
            </w:r>
          </w:p>
          <w:p w14:paraId="484A16A4" w14:textId="51E89950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Brak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współwystępujących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możliwości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kontroli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pomocą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odpowiedniego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1D07D393" w14:textId="2C5ADA25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układu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krwiotwórczego;</w:t>
            </w:r>
          </w:p>
          <w:p w14:paraId="07628589" w14:textId="399C56AA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Czynność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nerek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umożliwiająca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normy);</w:t>
            </w:r>
          </w:p>
          <w:p w14:paraId="751E1046" w14:textId="36374103" w:rsidR="009D34EA" w:rsidRPr="00956638" w:rsidRDefault="001D799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D34EA" w:rsidRPr="00956638">
              <w:rPr>
                <w:color w:val="000000" w:themeColor="text1"/>
                <w:sz w:val="20"/>
                <w:szCs w:val="20"/>
              </w:rPr>
              <w:t>Czynność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D34EA" w:rsidRPr="00956638">
              <w:rPr>
                <w:color w:val="000000" w:themeColor="text1"/>
                <w:sz w:val="20"/>
                <w:szCs w:val="20"/>
              </w:rPr>
              <w:t>wątroby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D34EA" w:rsidRPr="00956638">
              <w:rPr>
                <w:color w:val="000000" w:themeColor="text1"/>
                <w:sz w:val="20"/>
                <w:szCs w:val="20"/>
              </w:rPr>
              <w:t>umożliwiająca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D34EA" w:rsidRPr="00956638">
              <w:rPr>
                <w:color w:val="000000" w:themeColor="text1"/>
                <w:sz w:val="20"/>
                <w:szCs w:val="20"/>
              </w:rPr>
              <w:t>leczenie</w:t>
            </w:r>
          </w:p>
          <w:p w14:paraId="0F455615" w14:textId="04011D16" w:rsidR="009D34EA" w:rsidRPr="00956638" w:rsidRDefault="009D34EA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zespołem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Gilberta,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stężenie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normy);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C0AA496" w14:textId="51EF16E3" w:rsidR="009D34EA" w:rsidRPr="00956638" w:rsidRDefault="009D34EA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aktywność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zasadowej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nieprzekraczająca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wątroby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5E4AF634" w14:textId="4D77052C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przeciwwskazań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określonych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charakterystyce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24C74FEF" w14:textId="4B4FB627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Niewystępowanie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złośliwych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paliatywnym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(niezależnie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uzyskanej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odpowiedzi)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nieuzyskanie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założeniem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radykalnym;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11B70A5" w14:textId="35C917DA" w:rsidR="009D34EA" w:rsidRPr="00956638" w:rsidRDefault="009D34EA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Nieobecność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aktywnych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chorób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autoimmunologicznych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cukrzycy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niedoczynności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tarczycy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suplementacji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hormonalnej,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łuszczycy,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wyprysku,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liszaja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płaskiego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bielactwa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978D268" w14:textId="3AF71A09" w:rsidR="009D34EA" w:rsidRDefault="009D34EA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spełnione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33A407D5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2E933D2" w14:textId="14277D52" w:rsidR="009D34EA" w:rsidRPr="00956638" w:rsidRDefault="009D34EA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5E149C85" w14:textId="21BFBABE" w:rsidR="0054669A" w:rsidRPr="00932263" w:rsidRDefault="00E640A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32263">
              <w:rPr>
                <w:b/>
                <w:color w:val="000000" w:themeColor="text1"/>
                <w:sz w:val="20"/>
                <w:szCs w:val="20"/>
              </w:rPr>
              <w:t>Inhibitory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tyrozynowej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kinazy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179CA" w:rsidRPr="00932263">
              <w:rPr>
                <w:b/>
                <w:color w:val="000000" w:themeColor="text1"/>
                <w:sz w:val="20"/>
                <w:szCs w:val="20"/>
              </w:rPr>
              <w:t>afatynib</w:t>
            </w:r>
            <w:proofErr w:type="spellEnd"/>
            <w:r w:rsidR="003179CA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F356C" w:rsidRPr="00932263">
              <w:rPr>
                <w:b/>
                <w:color w:val="000000" w:themeColor="text1"/>
                <w:sz w:val="20"/>
                <w:szCs w:val="20"/>
              </w:rPr>
              <w:t>dakomitynib</w:t>
            </w:r>
            <w:proofErr w:type="spellEnd"/>
            <w:r w:rsidR="001F356C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71F53" w:rsidRPr="00932263">
              <w:rPr>
                <w:b/>
                <w:color w:val="000000" w:themeColor="text1"/>
                <w:sz w:val="20"/>
                <w:szCs w:val="20"/>
              </w:rPr>
              <w:t>ozymertynib</w:t>
            </w:r>
            <w:proofErr w:type="spellEnd"/>
            <w:r w:rsidR="00071F53" w:rsidRPr="00932263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1F53"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765E" w:rsidRPr="00932263">
              <w:rPr>
                <w:b/>
                <w:color w:val="000000" w:themeColor="text1"/>
                <w:sz w:val="20"/>
                <w:szCs w:val="20"/>
              </w:rPr>
              <w:t>ALK/</w:t>
            </w:r>
            <w:r w:rsidR="00E00AA1" w:rsidRPr="00932263">
              <w:rPr>
                <w:b/>
                <w:color w:val="000000" w:themeColor="text1"/>
                <w:sz w:val="20"/>
                <w:szCs w:val="20"/>
              </w:rPr>
              <w:t>ROS1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32263">
              <w:rPr>
                <w:b/>
                <w:color w:val="000000" w:themeColor="text1"/>
                <w:sz w:val="20"/>
                <w:szCs w:val="20"/>
              </w:rPr>
              <w:t>kryzotynib</w:t>
            </w:r>
            <w:proofErr w:type="spellEnd"/>
            <w:r w:rsidR="007A55E8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A55E8" w:rsidRPr="00932263">
              <w:rPr>
                <w:b/>
                <w:color w:val="000000" w:themeColor="text1"/>
                <w:sz w:val="20"/>
                <w:szCs w:val="20"/>
              </w:rPr>
              <w:t>alektynib</w:t>
            </w:r>
            <w:proofErr w:type="spellEnd"/>
            <w:r w:rsidR="00D63DE0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3DE0" w:rsidRPr="00932263">
              <w:rPr>
                <w:b/>
                <w:color w:val="000000" w:themeColor="text1"/>
                <w:sz w:val="20"/>
                <w:szCs w:val="20"/>
              </w:rPr>
              <w:t>cerytynib</w:t>
            </w:r>
            <w:proofErr w:type="spellEnd"/>
            <w:r w:rsidR="00043541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43541" w:rsidRPr="00932263">
              <w:rPr>
                <w:b/>
                <w:color w:val="000000" w:themeColor="text1"/>
                <w:sz w:val="20"/>
                <w:szCs w:val="20"/>
              </w:rPr>
              <w:t>brygatynib</w:t>
            </w:r>
            <w:proofErr w:type="spellEnd"/>
            <w:r w:rsidR="00484592" w:rsidRPr="0093226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4592" w:rsidRPr="00932263">
              <w:rPr>
                <w:b/>
                <w:color w:val="000000" w:themeColor="text1"/>
                <w:sz w:val="20"/>
                <w:szCs w:val="20"/>
              </w:rPr>
              <w:t>lorlatynib</w:t>
            </w:r>
            <w:proofErr w:type="spellEnd"/>
            <w:r w:rsidRPr="00932263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4449" w:rsidRPr="00932263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669A" w:rsidRPr="00932263">
              <w:rPr>
                <w:b/>
                <w:color w:val="000000" w:themeColor="text1"/>
                <w:sz w:val="20"/>
                <w:szCs w:val="20"/>
              </w:rPr>
              <w:t>inhibitor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669A" w:rsidRPr="00932263">
              <w:rPr>
                <w:b/>
                <w:color w:val="000000" w:themeColor="text1"/>
                <w:sz w:val="20"/>
                <w:szCs w:val="20"/>
              </w:rPr>
              <w:t>angiogenezy</w:t>
            </w:r>
            <w:proofErr w:type="spellEnd"/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669A" w:rsidRPr="00932263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54669A" w:rsidRPr="00932263">
              <w:rPr>
                <w:b/>
                <w:color w:val="000000" w:themeColor="text1"/>
                <w:sz w:val="20"/>
                <w:szCs w:val="20"/>
              </w:rPr>
              <w:t>nintedanib</w:t>
            </w:r>
            <w:proofErr w:type="spellEnd"/>
            <w:r w:rsidR="0054669A" w:rsidRPr="00932263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4EE5B5E5" w14:textId="6B44DF50" w:rsidR="006570B2" w:rsidRPr="00932263" w:rsidRDefault="008B709D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trwa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czasu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podjęcia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lekarza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prowadzącego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decyzji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wyłączeniu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świadczeniobiorcy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zasadami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określonymi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40A9" w:rsidRPr="00932263">
              <w:rPr>
                <w:color w:val="000000" w:themeColor="text1"/>
                <w:sz w:val="20"/>
                <w:szCs w:val="20"/>
              </w:rPr>
              <w:t>punktach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.1</w:t>
            </w:r>
            <w:r w:rsidR="00E640A9" w:rsidRPr="00932263">
              <w:rPr>
                <w:color w:val="000000" w:themeColor="text1"/>
                <w:sz w:val="20"/>
                <w:szCs w:val="20"/>
              </w:rPr>
              <w:t>.1.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Pr="00932263">
              <w:rPr>
                <w:color w:val="000000" w:themeColor="text1"/>
                <w:sz w:val="20"/>
                <w:szCs w:val="20"/>
              </w:rPr>
              <w:t>.</w:t>
            </w:r>
            <w:r w:rsidR="00E640A9" w:rsidRPr="00932263">
              <w:rPr>
                <w:color w:val="000000" w:themeColor="text1"/>
                <w:sz w:val="20"/>
                <w:szCs w:val="20"/>
              </w:rPr>
              <w:t>1.</w:t>
            </w:r>
            <w:r w:rsidRPr="00932263">
              <w:rPr>
                <w:color w:val="000000" w:themeColor="text1"/>
                <w:sz w:val="20"/>
                <w:szCs w:val="20"/>
              </w:rPr>
              <w:t>2</w:t>
            </w:r>
            <w:r w:rsidR="00E640A9" w:rsidRPr="00932263">
              <w:rPr>
                <w:color w:val="000000" w:themeColor="text1"/>
                <w:sz w:val="20"/>
                <w:szCs w:val="20"/>
              </w:rPr>
              <w:t>.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="00E640A9" w:rsidRPr="00932263">
              <w:rPr>
                <w:color w:val="000000" w:themeColor="text1"/>
                <w:sz w:val="20"/>
                <w:szCs w:val="20"/>
              </w:rPr>
              <w:t>.1.</w:t>
            </w:r>
            <w:r w:rsidR="003B6538" w:rsidRPr="00932263">
              <w:rPr>
                <w:color w:val="000000" w:themeColor="text1"/>
                <w:sz w:val="20"/>
                <w:szCs w:val="20"/>
              </w:rPr>
              <w:t>3</w:t>
            </w:r>
            <w:r w:rsidR="00692FD0" w:rsidRPr="00932263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kryteriami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wyłączenia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programu,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40A9" w:rsidRPr="00932263">
              <w:rPr>
                <w:color w:val="000000" w:themeColor="text1"/>
                <w:sz w:val="20"/>
                <w:szCs w:val="20"/>
              </w:rPr>
              <w:t>punkcie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10</w:t>
            </w:r>
            <w:r w:rsidRPr="00932263">
              <w:rPr>
                <w:color w:val="000000" w:themeColor="text1"/>
                <w:sz w:val="20"/>
                <w:szCs w:val="20"/>
              </w:rPr>
              <w:t>.</w:t>
            </w:r>
          </w:p>
          <w:p w14:paraId="5D7FDE9E" w14:textId="3B58FC97" w:rsidR="008B709D" w:rsidRPr="00956638" w:rsidRDefault="00E640A9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anty-EGFR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(w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356C"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356C" w:rsidRPr="0095663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F356C" w:rsidRPr="00956638">
              <w:rPr>
                <w:color w:val="000000" w:themeColor="text1"/>
                <w:sz w:val="20"/>
                <w:szCs w:val="20"/>
              </w:rPr>
              <w:t>afatynib</w:t>
            </w:r>
            <w:proofErr w:type="spellEnd"/>
            <w:r w:rsidR="001F356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F356C" w:rsidRPr="00956638">
              <w:rPr>
                <w:color w:val="000000" w:themeColor="text1"/>
                <w:sz w:val="20"/>
                <w:szCs w:val="20"/>
              </w:rPr>
              <w:t>dakomitynib</w:t>
            </w:r>
            <w:proofErr w:type="spellEnd"/>
            <w:r w:rsidR="001F356C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F356C" w:rsidRPr="00956638">
              <w:rPr>
                <w:color w:val="000000" w:themeColor="text1"/>
                <w:sz w:val="20"/>
                <w:szCs w:val="20"/>
              </w:rPr>
              <w:t>ozymetrynib</w:t>
            </w:r>
            <w:proofErr w:type="spellEnd"/>
            <w:r w:rsidR="001F356C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356C" w:rsidRPr="0095663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F356C" w:rsidRPr="00956638">
              <w:rPr>
                <w:color w:val="000000" w:themeColor="text1"/>
                <w:sz w:val="20"/>
                <w:szCs w:val="20"/>
              </w:rPr>
              <w:t>ozymetrynib</w:t>
            </w:r>
            <w:proofErr w:type="spellEnd"/>
            <w:r w:rsidR="001F356C" w:rsidRPr="00956638">
              <w:rPr>
                <w:color w:val="000000" w:themeColor="text1"/>
                <w:sz w:val="20"/>
                <w:szCs w:val="20"/>
              </w:rPr>
              <w:t>)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anty-ROS1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F53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anty-ALK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(w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00AA1" w:rsidRPr="00956638">
              <w:rPr>
                <w:color w:val="000000" w:themeColor="text1"/>
                <w:sz w:val="20"/>
                <w:szCs w:val="20"/>
              </w:rPr>
              <w:t>pierwszej,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00AA1" w:rsidRPr="00956638">
              <w:rPr>
                <w:color w:val="000000" w:themeColor="text1"/>
                <w:sz w:val="20"/>
                <w:szCs w:val="20"/>
              </w:rPr>
              <w:t>drugiej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00AA1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trzeciej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linii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3C7"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4449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4449" w:rsidRPr="00956638">
              <w:rPr>
                <w:color w:val="000000" w:themeColor="text1"/>
                <w:sz w:val="20"/>
                <w:szCs w:val="20"/>
              </w:rPr>
              <w:t>inhibitorów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24449" w:rsidRPr="00956638">
              <w:rPr>
                <w:color w:val="000000" w:themeColor="text1"/>
                <w:sz w:val="20"/>
                <w:szCs w:val="20"/>
              </w:rPr>
              <w:t>angiogenezy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prowadzone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stwierdzenia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wystąpienia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poważnych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niepożądanych;</w:t>
            </w:r>
          </w:p>
          <w:p w14:paraId="0D8C37BB" w14:textId="10443E92" w:rsidR="008B709D" w:rsidRPr="00956638" w:rsidRDefault="008B709D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czasie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konieczne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wykonywanie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(dodatkowe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wykonuje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zależności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sytuacji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klinicznej):</w:t>
            </w:r>
          </w:p>
          <w:p w14:paraId="5742BCBA" w14:textId="14132E7B" w:rsidR="008B709D" w:rsidRPr="00956638" w:rsidRDefault="008B709D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28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leku;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64F0376" w14:textId="10D61F29" w:rsidR="008B709D" w:rsidRPr="00956638" w:rsidRDefault="008B709D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czasie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miesiące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40A9" w:rsidRPr="00956638">
              <w:rPr>
                <w:color w:val="000000" w:themeColor="text1"/>
                <w:sz w:val="20"/>
                <w:szCs w:val="20"/>
              </w:rPr>
              <w:t>(w</w:t>
            </w:r>
            <w:r w:rsidR="004C3F12" w:rsidRPr="00956638">
              <w:rPr>
                <w:color w:val="000000" w:themeColor="text1"/>
                <w:sz w:val="20"/>
                <w:szCs w:val="20"/>
              </w:rPr>
              <w:t>ażność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3F12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34B10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3F12" w:rsidRPr="00956638">
              <w:rPr>
                <w:color w:val="000000" w:themeColor="text1"/>
                <w:sz w:val="20"/>
                <w:szCs w:val="20"/>
              </w:rPr>
              <w:t>14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3F12" w:rsidRPr="00956638">
              <w:rPr>
                <w:color w:val="000000" w:themeColor="text1"/>
                <w:sz w:val="20"/>
                <w:szCs w:val="20"/>
              </w:rPr>
              <w:t>dni</w:t>
            </w:r>
            <w:r w:rsidR="00E640A9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7D76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7D76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7D76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7D76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77D76" w:rsidRPr="00956638">
              <w:rPr>
                <w:color w:val="000000" w:themeColor="text1"/>
                <w:sz w:val="20"/>
                <w:szCs w:val="20"/>
              </w:rPr>
              <w:t>nintedanibu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są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cykle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oznacza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to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konieczność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wykonania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tyg.,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natomiast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4AC1" w:rsidRPr="0095663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4AC1" w:rsidRPr="00956638">
              <w:rPr>
                <w:color w:val="000000" w:themeColor="text1"/>
                <w:sz w:val="20"/>
                <w:szCs w:val="20"/>
              </w:rPr>
              <w:t>nintedanibem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4AC1" w:rsidRPr="00956638">
              <w:rPr>
                <w:color w:val="000000" w:themeColor="text1"/>
                <w:sz w:val="20"/>
                <w:szCs w:val="20"/>
              </w:rPr>
              <w:t>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tyg.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(ważność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14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dni);</w:t>
            </w:r>
          </w:p>
          <w:p w14:paraId="1044A22F" w14:textId="26D568A7" w:rsidR="008B709D" w:rsidRPr="00956638" w:rsidRDefault="008B709D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obejmują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1.1.</w:t>
            </w:r>
            <w:r w:rsidRPr="00956638">
              <w:rPr>
                <w:color w:val="000000" w:themeColor="text1"/>
                <w:sz w:val="20"/>
                <w:szCs w:val="20"/>
              </w:rPr>
              <w:t>:</w:t>
            </w:r>
          </w:p>
          <w:p w14:paraId="340E9029" w14:textId="143EF6AF" w:rsidR="00E640A9" w:rsidRPr="00956638" w:rsidRDefault="00915C5C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zmiany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badanie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tomografii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komputerowej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40A9" w:rsidRPr="00956638">
              <w:rPr>
                <w:color w:val="000000" w:themeColor="text1"/>
                <w:sz w:val="20"/>
                <w:szCs w:val="20"/>
              </w:rPr>
              <w:t>(TK)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klatki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piersiowej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objęciem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nadbrzusza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(jeżeli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guz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istnieje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stanu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resekcji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miąższu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rozpoznania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ustalenia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ogniska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pierwotnego,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konieczne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wykazanie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mierzalnych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niemierzalnych);</w:t>
            </w:r>
          </w:p>
          <w:p w14:paraId="5E58DFFB" w14:textId="370FB1F6" w:rsidR="00DA65B7" w:rsidRDefault="0063308B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przerzutowych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badanie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TK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inne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699C" w:rsidRPr="00956638">
              <w:rPr>
                <w:color w:val="000000" w:themeColor="text1"/>
                <w:sz w:val="20"/>
                <w:szCs w:val="20"/>
              </w:rPr>
              <w:t>(np.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ultrasonografia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USG,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magnetyczny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rezonans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MR,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scyntygrafia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inne),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przy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czym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obejmować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ocenę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stwierdzonych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rozpoczęciem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C5C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pojawienia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przynajmniej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jednej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nowej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zmiany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obrębie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systemowo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inhibitorami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dopuszcza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kontynuowanie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radioterapią.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Wówczas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okresie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dni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zaleca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przerwanie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4367" w:rsidRPr="00956638">
              <w:rPr>
                <w:color w:val="000000" w:themeColor="text1"/>
                <w:sz w:val="20"/>
                <w:szCs w:val="20"/>
              </w:rPr>
              <w:t>systemowego</w:t>
            </w:r>
            <w:r w:rsidR="00211635" w:rsidRPr="00956638">
              <w:rPr>
                <w:color w:val="000000" w:themeColor="text1"/>
                <w:sz w:val="20"/>
                <w:szCs w:val="20"/>
              </w:rPr>
              <w:t>);</w:t>
            </w:r>
          </w:p>
          <w:p w14:paraId="7A3C774B" w14:textId="77777777" w:rsidR="00932263" w:rsidRPr="00956638" w:rsidRDefault="00932263" w:rsidP="001D79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87847A5" w14:textId="77777777" w:rsidR="004405D9" w:rsidRPr="00956638" w:rsidRDefault="004405D9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vanish/>
                <w:color w:val="000000" w:themeColor="text1"/>
                <w:sz w:val="20"/>
                <w:szCs w:val="20"/>
              </w:rPr>
            </w:pPr>
          </w:p>
          <w:p w14:paraId="29615B7C" w14:textId="78C35FEA" w:rsidR="009D203F" w:rsidRPr="00956638" w:rsidRDefault="00CC2BF0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Inhibitory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PD1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56638">
              <w:rPr>
                <w:b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Pr="00956638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b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Pr="00956638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956638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956638">
              <w:rPr>
                <w:b/>
                <w:color w:val="000000" w:themeColor="text1"/>
                <w:sz w:val="20"/>
                <w:szCs w:val="20"/>
              </w:rPr>
              <w:t>PDL1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956638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47848" w:rsidRPr="00956638">
              <w:rPr>
                <w:b/>
                <w:color w:val="000000" w:themeColor="text1"/>
                <w:sz w:val="20"/>
                <w:szCs w:val="20"/>
              </w:rPr>
              <w:t>atezolizumab</w:t>
            </w:r>
            <w:proofErr w:type="spellEnd"/>
            <w:r w:rsidR="00147848" w:rsidRPr="00956638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6F5023BE" w14:textId="6B70A31F" w:rsidR="0054669A" w:rsidRPr="00932263" w:rsidRDefault="00CC2BF0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trwa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czasu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podjęcia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lekarza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prowadzącego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decyzji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wyłączeniu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świadczeniobiorcy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zasadami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określonymi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punktach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Pr="00932263">
              <w:rPr>
                <w:color w:val="000000" w:themeColor="text1"/>
                <w:sz w:val="20"/>
                <w:szCs w:val="20"/>
              </w:rPr>
              <w:t>.2.1.,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Pr="00932263">
              <w:rPr>
                <w:color w:val="000000" w:themeColor="text1"/>
                <w:sz w:val="20"/>
                <w:szCs w:val="20"/>
              </w:rPr>
              <w:t>.2.2.,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Pr="00932263">
              <w:rPr>
                <w:color w:val="000000" w:themeColor="text1"/>
                <w:sz w:val="20"/>
                <w:szCs w:val="20"/>
              </w:rPr>
              <w:t>.2.3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kryteriami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wyłączenia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programu,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punkcie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10</w:t>
            </w:r>
            <w:r w:rsidRPr="00932263">
              <w:rPr>
                <w:color w:val="000000" w:themeColor="text1"/>
                <w:sz w:val="20"/>
                <w:szCs w:val="20"/>
              </w:rPr>
              <w:t>.</w:t>
            </w:r>
          </w:p>
          <w:p w14:paraId="70781446" w14:textId="26314A76" w:rsidR="00CC2BF0" w:rsidRPr="00956638" w:rsidRDefault="007C2408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pochodnymi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platyny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paklitakselem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karboplatyną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linia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leczenia),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2C73" w:rsidRPr="00956638">
              <w:rPr>
                <w:color w:val="000000" w:themeColor="text1"/>
                <w:sz w:val="20"/>
                <w:szCs w:val="20"/>
              </w:rPr>
              <w:t>niwolumabu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FDC" w:rsidRPr="00956638">
              <w:rPr>
                <w:color w:val="000000" w:themeColor="text1"/>
                <w:sz w:val="20"/>
                <w:szCs w:val="20"/>
              </w:rPr>
              <w:t>(II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FDC" w:rsidRPr="00956638">
              <w:rPr>
                <w:color w:val="000000" w:themeColor="text1"/>
                <w:sz w:val="20"/>
                <w:szCs w:val="20"/>
              </w:rPr>
              <w:t>linia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FDC" w:rsidRPr="00956638">
              <w:rPr>
                <w:color w:val="000000" w:themeColor="text1"/>
                <w:sz w:val="20"/>
                <w:szCs w:val="20"/>
              </w:rPr>
              <w:t>leczenia)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30F4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30F4" w:rsidRPr="00956638">
              <w:rPr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30F4" w:rsidRPr="00956638">
              <w:rPr>
                <w:color w:val="000000" w:themeColor="text1"/>
                <w:sz w:val="20"/>
                <w:szCs w:val="20"/>
              </w:rPr>
              <w:t>(II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30F4" w:rsidRPr="00956638">
              <w:rPr>
                <w:color w:val="000000" w:themeColor="text1"/>
                <w:sz w:val="20"/>
                <w:szCs w:val="20"/>
              </w:rPr>
              <w:t>linia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30F4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21797" w:rsidRPr="00956638">
              <w:rPr>
                <w:color w:val="000000" w:themeColor="text1"/>
                <w:sz w:val="20"/>
                <w:szCs w:val="20"/>
              </w:rPr>
              <w:t>niedrobnokórkowego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lastRenderedPageBreak/>
              <w:t>płuc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linia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drobnokomórkowego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97" w:rsidRPr="00956638">
              <w:rPr>
                <w:color w:val="000000" w:themeColor="text1"/>
                <w:sz w:val="20"/>
                <w:szCs w:val="20"/>
              </w:rPr>
              <w:t>płu</w:t>
            </w:r>
            <w:r w:rsidR="00A22519" w:rsidRPr="00956638">
              <w:rPr>
                <w:color w:val="000000" w:themeColor="text1"/>
                <w:sz w:val="20"/>
                <w:szCs w:val="20"/>
              </w:rPr>
              <w:t>c</w:t>
            </w:r>
            <w:r w:rsidR="00A530F4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prowadzone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stwierdzenia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wg.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CTC-AE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wersji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4.03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wystąpienia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poważnych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uniemożliwiających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kontynuację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2F6E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w/w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okresowe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przerwanie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przypadkach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1318" w:rsidRPr="00956638">
              <w:rPr>
                <w:color w:val="000000" w:themeColor="text1"/>
                <w:sz w:val="20"/>
                <w:szCs w:val="20"/>
              </w:rPr>
              <w:t>wystąpienia:</w:t>
            </w:r>
          </w:p>
          <w:p w14:paraId="49AEC321" w14:textId="7867D5E8" w:rsidR="00ED1318" w:rsidRPr="00956638" w:rsidRDefault="00ED131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zapalenia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2.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większym;</w:t>
            </w:r>
          </w:p>
          <w:p w14:paraId="5080B303" w14:textId="6977A680" w:rsidR="00ED1318" w:rsidRPr="00956638" w:rsidRDefault="00ED131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biegunki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zapalenia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jelita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grubego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2.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większym;</w:t>
            </w:r>
          </w:p>
          <w:p w14:paraId="746054C0" w14:textId="556137BC" w:rsidR="00ED1318" w:rsidRPr="00956638" w:rsidRDefault="00ED131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transaminaz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większej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3-krotna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mniejszej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5-krotna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wartość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stężenia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bilirubiny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całkowitej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większej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mniejszej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3-krotna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wartość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normy;</w:t>
            </w:r>
          </w:p>
          <w:p w14:paraId="2EA041B6" w14:textId="716917E7" w:rsidR="00ED1318" w:rsidRPr="00956638" w:rsidRDefault="00ED131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stężenia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kreatyniny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większego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mniejszego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6-krotna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wartość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górnej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granicy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normy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zwiększenia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powyżej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1,5-krotności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wartości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stwierdzonej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leczeniem;</w:t>
            </w:r>
          </w:p>
          <w:p w14:paraId="5505B59D" w14:textId="0ED769F5" w:rsidR="00ED1318" w:rsidRPr="00956638" w:rsidRDefault="00ED1318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dzi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3.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większym;</w:t>
            </w:r>
          </w:p>
          <w:p w14:paraId="57152159" w14:textId="43B81826" w:rsidR="00CC2BF0" w:rsidRPr="00956638" w:rsidRDefault="00944A71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czasie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konieczne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wykonywanie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badań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(dodatkowe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wykonuje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zależności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sytuacji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2BF0" w:rsidRPr="00956638">
              <w:rPr>
                <w:color w:val="000000" w:themeColor="text1"/>
                <w:sz w:val="20"/>
                <w:szCs w:val="20"/>
              </w:rPr>
              <w:t>klinicznej):</w:t>
            </w:r>
          </w:p>
          <w:p w14:paraId="60AD40F3" w14:textId="1B4649B4" w:rsidR="00CC2BF0" w:rsidRPr="00956638" w:rsidRDefault="00CC2BF0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wcześniej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28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zastosowaniem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dawki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leku;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1A1A083" w14:textId="635F9399" w:rsidR="00CC2BF0" w:rsidRPr="00956638" w:rsidRDefault="00CC2BF0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czasie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miesiące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(w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22FA" w:rsidRPr="00956638">
              <w:rPr>
                <w:color w:val="000000" w:themeColor="text1"/>
                <w:sz w:val="20"/>
                <w:szCs w:val="20"/>
              </w:rPr>
              <w:t>atezolizumabem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drobnokomórkowym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2FA" w:rsidRPr="00956638">
              <w:rPr>
                <w:color w:val="000000" w:themeColor="text1"/>
                <w:sz w:val="20"/>
                <w:szCs w:val="20"/>
              </w:rPr>
              <w:t>cykle)</w:t>
            </w:r>
            <w:r w:rsidRPr="00956638">
              <w:rPr>
                <w:color w:val="000000" w:themeColor="text1"/>
                <w:sz w:val="20"/>
                <w:szCs w:val="20"/>
              </w:rPr>
              <w:t>(ważność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14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0C19" w:rsidRPr="00956638">
              <w:rPr>
                <w:color w:val="000000" w:themeColor="text1"/>
                <w:sz w:val="20"/>
                <w:szCs w:val="20"/>
              </w:rPr>
              <w:t>dni);</w:t>
            </w:r>
          </w:p>
          <w:p w14:paraId="6097B38E" w14:textId="14659844" w:rsidR="00CC2BF0" w:rsidRPr="00956638" w:rsidRDefault="00CC2BF0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obejmują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1.1.:</w:t>
            </w:r>
          </w:p>
          <w:p w14:paraId="290CE3EC" w14:textId="535EB55A" w:rsidR="009C41F9" w:rsidRPr="00956638" w:rsidRDefault="00CC2BF0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zmiany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tomografii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komputerowej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(TK)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klatki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piersiowej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nadbrzusza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(jeżeli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guz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istnieje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stanu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resekcji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miąższu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rozpoznania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nowotworu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ustalenia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ogniska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pierwotnego,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konieczne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wykazanie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mierzalnych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policzalnych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niemierzalnych);</w:t>
            </w:r>
          </w:p>
          <w:p w14:paraId="3B923C99" w14:textId="1BB21651" w:rsidR="009C41F9" w:rsidRPr="00956638" w:rsidRDefault="00CC2BF0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przerzutowych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inne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(np.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ultrasonografia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USG,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magnetyczny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rezonans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MR,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scyntygrafia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inne),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obejmować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stwierdzon</w:t>
            </w:r>
            <w:r w:rsidR="00A77E8F" w:rsidRPr="00956638">
              <w:rPr>
                <w:color w:val="000000" w:themeColor="text1"/>
                <w:sz w:val="20"/>
                <w:szCs w:val="20"/>
              </w:rPr>
              <w:t>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7E8F"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7E8F" w:rsidRPr="00956638">
              <w:rPr>
                <w:color w:val="000000" w:themeColor="text1"/>
                <w:sz w:val="20"/>
                <w:szCs w:val="20"/>
              </w:rPr>
              <w:t>rozpoczęciem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7E8F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61346BFF" w14:textId="637908FD" w:rsidR="005227D7" w:rsidRDefault="005227D7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color w:val="000000" w:themeColor="text1"/>
                <w:sz w:val="20"/>
                <w:szCs w:val="20"/>
              </w:rPr>
              <w:t>atezolizumabem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drobnokomórkowym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dopuszcza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profilaktyczną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radioterapię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fazie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podtrzymującego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62CD" w:rsidRPr="0093226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AE62CD" w:rsidRPr="00932263">
              <w:rPr>
                <w:color w:val="000000" w:themeColor="text1"/>
                <w:sz w:val="20"/>
                <w:szCs w:val="20"/>
              </w:rPr>
              <w:t>monoterapia</w:t>
            </w:r>
            <w:proofErr w:type="spellEnd"/>
            <w:r w:rsidR="00AE62CD" w:rsidRPr="00932263">
              <w:rPr>
                <w:color w:val="000000" w:themeColor="text1"/>
                <w:sz w:val="20"/>
                <w:szCs w:val="20"/>
              </w:rPr>
              <w:t>).</w:t>
            </w:r>
          </w:p>
          <w:p w14:paraId="5033E04C" w14:textId="77777777" w:rsidR="00932263" w:rsidRPr="00932263" w:rsidRDefault="00932263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D430769" w14:textId="141C72D1" w:rsidR="009C41F9" w:rsidRPr="00932263" w:rsidRDefault="009C41F9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2263">
              <w:rPr>
                <w:b/>
                <w:bCs/>
                <w:color w:val="000000" w:themeColor="text1"/>
                <w:sz w:val="20"/>
                <w:szCs w:val="20"/>
              </w:rPr>
              <w:t>Inhibitor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bCs/>
                <w:color w:val="000000" w:themeColor="text1"/>
                <w:sz w:val="20"/>
                <w:szCs w:val="20"/>
              </w:rPr>
              <w:t>PDL1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32263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122901" w:rsidRPr="00932263">
              <w:rPr>
                <w:b/>
                <w:bCs/>
                <w:color w:val="000000" w:themeColor="text1"/>
                <w:sz w:val="20"/>
                <w:szCs w:val="20"/>
              </w:rPr>
              <w:t>urwalumab</w:t>
            </w:r>
            <w:proofErr w:type="spellEnd"/>
            <w:r w:rsidRPr="00932263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9BD871D" w14:textId="1299EF7A" w:rsidR="006606D5" w:rsidRPr="00932263" w:rsidRDefault="006606D5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trwa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czasu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podjęcia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lekarza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prowadzącego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decyzji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wyłączeniu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świadczeniobiorcy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zasadami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określonymi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punktach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Pr="00932263">
              <w:rPr>
                <w:color w:val="000000" w:themeColor="text1"/>
                <w:sz w:val="20"/>
                <w:szCs w:val="20"/>
              </w:rPr>
              <w:t>.3.1.,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9.</w:t>
            </w:r>
            <w:r w:rsidR="00F10A72" w:rsidRPr="00932263">
              <w:rPr>
                <w:color w:val="000000" w:themeColor="text1"/>
                <w:sz w:val="20"/>
                <w:szCs w:val="20"/>
              </w:rPr>
              <w:t>3</w:t>
            </w:r>
            <w:r w:rsidRPr="00932263">
              <w:rPr>
                <w:color w:val="000000" w:themeColor="text1"/>
                <w:sz w:val="20"/>
                <w:szCs w:val="20"/>
              </w:rPr>
              <w:t>.2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9</w:t>
            </w:r>
            <w:r w:rsidR="00F10A72" w:rsidRPr="00932263">
              <w:rPr>
                <w:color w:val="000000" w:themeColor="text1"/>
                <w:sz w:val="20"/>
                <w:szCs w:val="20"/>
              </w:rPr>
              <w:t>.3</w:t>
            </w:r>
            <w:r w:rsidRPr="00932263">
              <w:rPr>
                <w:color w:val="000000" w:themeColor="text1"/>
                <w:sz w:val="20"/>
                <w:szCs w:val="20"/>
              </w:rPr>
              <w:t>.3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kryteriami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wyłączenia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programu,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punkcie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32263">
              <w:rPr>
                <w:color w:val="000000" w:themeColor="text1"/>
                <w:sz w:val="20"/>
                <w:szCs w:val="20"/>
              </w:rPr>
              <w:t>10</w:t>
            </w:r>
            <w:r w:rsidRPr="00932263">
              <w:rPr>
                <w:color w:val="000000" w:themeColor="text1"/>
                <w:sz w:val="20"/>
                <w:szCs w:val="20"/>
              </w:rPr>
              <w:t>.</w:t>
            </w:r>
          </w:p>
          <w:p w14:paraId="7FF259F3" w14:textId="5E883871" w:rsidR="004F4D27" w:rsidRPr="00956638" w:rsidRDefault="004F4D27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Stosowanie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durwalumabu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prowadzone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stwierdzenia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wystąpienia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nieakceptowalnej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toksyczności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maksymalnie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miesięcy.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durwalumabu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okresowe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Leczniczego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przypadkach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wystąpienia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działań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niepożądanych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wymienionych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sekcji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4.2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Charakterystyki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Leczniczego.</w:t>
            </w:r>
          </w:p>
          <w:p w14:paraId="4C98188E" w14:textId="4E0C847E" w:rsidR="004F4D27" w:rsidRPr="00956638" w:rsidRDefault="004F4D27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czasie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konieczne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wykonywanie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(dodatkowe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wykonuje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zależności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sytuacji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klinicznej):</w:t>
            </w:r>
          </w:p>
          <w:p w14:paraId="1A95B600" w14:textId="741180CB" w:rsidR="004F4D27" w:rsidRPr="00956638" w:rsidRDefault="004F4D27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okresie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tygodni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zakończenia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radiochemioterapii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1DDD0559" w14:textId="488E4506" w:rsidR="004F4D27" w:rsidRPr="00956638" w:rsidRDefault="004F4D27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czasie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miesiące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(ważność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dni).</w:t>
            </w:r>
          </w:p>
          <w:p w14:paraId="129B422F" w14:textId="728C4651" w:rsidR="004F4D27" w:rsidRPr="00956638" w:rsidRDefault="004F4D27" w:rsidP="001D799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obejmują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ocenę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1.1.:</w:t>
            </w:r>
          </w:p>
          <w:p w14:paraId="62D0B09C" w14:textId="34AE5DD7" w:rsidR="00C9090B" w:rsidRDefault="004F4D27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zmiany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pierwotnej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tomografii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komputerowej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(TK)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klatki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piersiowej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objęciem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nadbrzusza.</w:t>
            </w:r>
          </w:p>
          <w:p w14:paraId="314046B3" w14:textId="77777777" w:rsidR="00932263" w:rsidRPr="00956638" w:rsidRDefault="00932263" w:rsidP="001D79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FEAA99" w14:textId="3179086F" w:rsidR="0054669A" w:rsidRPr="00956638" w:rsidRDefault="000F5D97" w:rsidP="001D7998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wyłączenia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49E380F5" w14:textId="5025CB6C" w:rsidR="008B709D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ystąpienie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progresj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choroby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potwierdzonej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badaniu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F56" w:rsidRPr="00956638">
              <w:rPr>
                <w:color w:val="000000" w:themeColor="text1"/>
                <w:sz w:val="20"/>
                <w:szCs w:val="20"/>
              </w:rPr>
              <w:t>przedmiotowym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F56" w:rsidRPr="00956638">
              <w:rPr>
                <w:color w:val="000000" w:themeColor="text1"/>
                <w:sz w:val="20"/>
                <w:szCs w:val="20"/>
              </w:rPr>
              <w:t>lub/i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F56" w:rsidRPr="00956638">
              <w:rPr>
                <w:color w:val="000000" w:themeColor="text1"/>
                <w:sz w:val="20"/>
                <w:szCs w:val="20"/>
              </w:rPr>
              <w:t>obrazowym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ocenion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skali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433C" w:rsidRPr="00956638">
              <w:rPr>
                <w:color w:val="000000" w:themeColor="text1"/>
                <w:sz w:val="20"/>
                <w:szCs w:val="20"/>
              </w:rPr>
              <w:t>1.1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(wyjątek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stanowi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pojawienie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najmniej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jednej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nowej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zmiany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obrębie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kiedy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to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dopuszcza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kontynuowanie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22F5" w:rsidRPr="00956638">
              <w:rPr>
                <w:color w:val="000000" w:themeColor="text1"/>
                <w:sz w:val="20"/>
                <w:szCs w:val="20"/>
              </w:rPr>
              <w:t>inhibitorami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22F5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463B" w:rsidRPr="00956638">
              <w:rPr>
                <w:color w:val="000000" w:themeColor="text1"/>
                <w:sz w:val="20"/>
                <w:szCs w:val="20"/>
              </w:rPr>
              <w:t>leczeniem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463B" w:rsidRPr="00956638">
              <w:rPr>
                <w:color w:val="000000" w:themeColor="text1"/>
                <w:sz w:val="20"/>
                <w:szCs w:val="20"/>
              </w:rPr>
              <w:t>miejscowym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463B" w:rsidRPr="00956638">
              <w:rPr>
                <w:color w:val="000000" w:themeColor="text1"/>
                <w:sz w:val="20"/>
                <w:szCs w:val="20"/>
              </w:rPr>
              <w:t>(radioterapia,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463B" w:rsidRPr="00956638">
              <w:rPr>
                <w:color w:val="000000" w:themeColor="text1"/>
                <w:sz w:val="20"/>
                <w:szCs w:val="20"/>
              </w:rPr>
              <w:t>chirurgia)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punkt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numer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5E46" w:rsidRPr="00956638">
              <w:rPr>
                <w:color w:val="000000" w:themeColor="text1"/>
                <w:sz w:val="20"/>
                <w:szCs w:val="20"/>
              </w:rPr>
              <w:t>9</w:t>
            </w:r>
            <w:r w:rsidR="00666A1C" w:rsidRPr="00956638">
              <w:rPr>
                <w:color w:val="000000" w:themeColor="text1"/>
                <w:sz w:val="20"/>
                <w:szCs w:val="20"/>
              </w:rPr>
              <w:t>.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1.3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pkt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62DC" w:rsidRPr="00956638">
              <w:rPr>
                <w:color w:val="000000" w:themeColor="text1"/>
                <w:sz w:val="20"/>
                <w:szCs w:val="20"/>
              </w:rPr>
              <w:t>b</w:t>
            </w:r>
            <w:r w:rsidR="00C07257" w:rsidRPr="00956638">
              <w:rPr>
                <w:color w:val="000000" w:themeColor="text1"/>
                <w:sz w:val="20"/>
                <w:szCs w:val="20"/>
              </w:rPr>
              <w:t>)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:</w:t>
            </w:r>
          </w:p>
          <w:p w14:paraId="37D70B86" w14:textId="1CD19B1A" w:rsidR="008B709D" w:rsidRPr="00956638" w:rsidRDefault="008B709D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powiększenie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istnie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przynajmniej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20%</w:t>
            </w:r>
            <w:r w:rsidR="006A7462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</w:p>
          <w:p w14:paraId="074417F1" w14:textId="7B75AD8F" w:rsidR="00C83149" w:rsidRPr="00956638" w:rsidRDefault="005027AA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wyraźne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powiększenia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istniejących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niemierzalnych,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DBC159" w14:textId="5D6BEC15" w:rsidR="00C83149" w:rsidRPr="00956638" w:rsidRDefault="00C83149" w:rsidP="001D7998">
            <w:pPr>
              <w:pStyle w:val="Akapitzlist"/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pojawienie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przynajmniej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jednej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zmiany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progresją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obrębie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kryzotynibem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alektynibem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cerytynibem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brygatynibem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A769A"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A769A" w:rsidRPr="00956638">
              <w:rPr>
                <w:color w:val="000000" w:themeColor="text1"/>
                <w:sz w:val="20"/>
                <w:szCs w:val="20"/>
              </w:rPr>
              <w:t>lorlatynibem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dopuszcza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kontynuowanie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radioterapią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(wówczas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okresie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radioterapii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OUN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konieczność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przerwania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kryzotynibem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alektynibem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cerytynibem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brygatynibem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A769A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A769A" w:rsidRPr="00956638">
              <w:rPr>
                <w:color w:val="000000" w:themeColor="text1"/>
                <w:sz w:val="20"/>
                <w:szCs w:val="20"/>
              </w:rPr>
              <w:t>lorlatynibem</w:t>
            </w:r>
            <w:proofErr w:type="spellEnd"/>
            <w:r w:rsidRPr="00956638">
              <w:rPr>
                <w:color w:val="000000" w:themeColor="text1"/>
                <w:sz w:val="20"/>
                <w:szCs w:val="20"/>
              </w:rPr>
              <w:t>);</w:t>
            </w:r>
          </w:p>
          <w:p w14:paraId="28C0E03B" w14:textId="022663F7" w:rsidR="008B709D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</w:t>
            </w:r>
            <w:r w:rsidR="00767F56" w:rsidRPr="00956638">
              <w:rPr>
                <w:color w:val="000000" w:themeColor="text1"/>
                <w:sz w:val="20"/>
                <w:szCs w:val="20"/>
              </w:rPr>
              <w:t>ogorszenie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F56" w:rsidRPr="00956638">
              <w:rPr>
                <w:color w:val="000000" w:themeColor="text1"/>
                <w:sz w:val="20"/>
                <w:szCs w:val="20"/>
              </w:rPr>
              <w:t>(istotne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F56" w:rsidRPr="00956638">
              <w:rPr>
                <w:color w:val="000000" w:themeColor="text1"/>
                <w:sz w:val="20"/>
                <w:szCs w:val="20"/>
              </w:rPr>
              <w:t>klinicznie)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stanu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chorego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związku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nowotworem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bez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progresji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potwierdzonej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badaniu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przedmiotowym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obrazowym;</w:t>
            </w:r>
          </w:p>
          <w:p w14:paraId="0A67116D" w14:textId="558327D4" w:rsidR="00C122EE" w:rsidRPr="00956638" w:rsidRDefault="00A77E8F" w:rsidP="001D7998">
            <w:pPr>
              <w:pStyle w:val="Zwykytekst"/>
              <w:numPr>
                <w:ilvl w:val="1"/>
                <w:numId w:val="3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ystąpienie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klinicznie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istotnej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toksyczności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przynajmniej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jednego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działania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niepożądanego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będącego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zagrożeniem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życia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CTC-AE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wersji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4.03</w:t>
            </w:r>
            <w:r w:rsidR="00481D53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F5D97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ang.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D97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ommon</w:t>
            </w:r>
            <w:proofErr w:type="spellEnd"/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D97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erminology</w:t>
            </w:r>
            <w:proofErr w:type="spellEnd"/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D97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riteria</w:t>
            </w:r>
            <w:proofErr w:type="spellEnd"/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D97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dverse</w:t>
            </w:r>
            <w:proofErr w:type="spellEnd"/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D97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vents</w:t>
            </w:r>
            <w:proofErr w:type="spellEnd"/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version</w:t>
            </w:r>
            <w:r w:rsidR="001D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4.03</w:t>
            </w:r>
            <w:r w:rsidR="00481D53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122EE" w:rsidRPr="00956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14:paraId="2F143BD8" w14:textId="05B61B26" w:rsidR="00C122EE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ystąpienie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nawracającej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nieakceptowalnej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toksyczności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stopniu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3.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4.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CTC-AE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wersji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4.03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(wznowienie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możliwe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ustąpieniu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objawów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toksyczności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zmniejszeniu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nasilenia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2.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klasyfikacji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CTC-AE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wersji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4.03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.</w:t>
            </w:r>
            <w:r w:rsidR="00C122EE" w:rsidRPr="00956638">
              <w:rPr>
                <w:color w:val="000000" w:themeColor="text1"/>
                <w:sz w:val="20"/>
                <w:szCs w:val="20"/>
              </w:rPr>
              <w:t>);</w:t>
            </w:r>
          </w:p>
          <w:p w14:paraId="36489E9E" w14:textId="35139C95" w:rsidR="008B709D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ystąpienie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nadwrażliwoś</w:t>
            </w:r>
            <w:r w:rsidR="008E0CAB" w:rsidRPr="00956638">
              <w:rPr>
                <w:color w:val="000000" w:themeColor="text1"/>
                <w:sz w:val="20"/>
                <w:szCs w:val="20"/>
              </w:rPr>
              <w:t>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lek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substancję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pomocniczą;</w:t>
            </w:r>
          </w:p>
          <w:p w14:paraId="1AF9E260" w14:textId="4800EC0D" w:rsidR="00481D53" w:rsidRPr="00956638" w:rsidRDefault="00F50CD6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ystąpienie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autoimmunologicznego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zapalenia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narządowego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nasileniu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stopniach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wyższych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wymienione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punkcie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9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.2.1.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inhibitorów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PD1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0638" w:rsidRPr="00956638">
              <w:rPr>
                <w:color w:val="000000" w:themeColor="text1"/>
                <w:sz w:val="20"/>
                <w:szCs w:val="20"/>
              </w:rPr>
              <w:t>PDL1;</w:t>
            </w:r>
          </w:p>
          <w:p w14:paraId="7F6E4195" w14:textId="0F90A960" w:rsidR="008B709D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bniżenie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sprawności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stopnia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3-4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WHO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ECOG;</w:t>
            </w:r>
          </w:p>
          <w:p w14:paraId="2A3B3BB2" w14:textId="7E6511A1" w:rsidR="005F2F62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</w:t>
            </w:r>
            <w:r w:rsidR="00071A37" w:rsidRPr="00956638">
              <w:rPr>
                <w:color w:val="000000" w:themeColor="text1"/>
                <w:sz w:val="20"/>
                <w:szCs w:val="20"/>
              </w:rPr>
              <w:t>rzerwa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inhibitorów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ROS1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dłuższe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A37"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D97" w:rsidRPr="0095663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A37" w:rsidRPr="00956638">
              <w:rPr>
                <w:color w:val="000000" w:themeColor="text1"/>
                <w:sz w:val="20"/>
                <w:szCs w:val="20"/>
              </w:rPr>
              <w:t>tygodnie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wskutek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wystąpienia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A37" w:rsidRPr="00956638">
              <w:rPr>
                <w:color w:val="000000" w:themeColor="text1"/>
                <w:sz w:val="20"/>
                <w:szCs w:val="20"/>
              </w:rPr>
              <w:t>niepożądany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A37" w:rsidRPr="00956638">
              <w:rPr>
                <w:color w:val="000000" w:themeColor="text1"/>
                <w:sz w:val="20"/>
                <w:szCs w:val="20"/>
              </w:rPr>
              <w:t>działa</w:t>
            </w:r>
            <w:r w:rsidR="00481D53" w:rsidRPr="00956638">
              <w:rPr>
                <w:color w:val="000000" w:themeColor="text1"/>
                <w:sz w:val="20"/>
                <w:szCs w:val="20"/>
              </w:rPr>
              <w:t>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1A37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ED5F5B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1526F0E7" w14:textId="3C7012C1" w:rsidR="005F2F62" w:rsidRPr="00956638" w:rsidRDefault="00A77E8F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ogorszenie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jakości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życia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istotnym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znaczeniu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według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709D" w:rsidRPr="00956638">
              <w:rPr>
                <w:color w:val="000000" w:themeColor="text1"/>
                <w:sz w:val="20"/>
                <w:szCs w:val="20"/>
              </w:rPr>
              <w:t>lekarza;</w:t>
            </w:r>
          </w:p>
          <w:p w14:paraId="186A3E0C" w14:textId="3B9F3AB4" w:rsidR="005F2F62" w:rsidRPr="00956638" w:rsidRDefault="005F2F62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Wycofanie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zgody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udział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(rezygnacja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chorego)</w:t>
            </w:r>
            <w:r w:rsidR="00DE6663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53056EDA" w14:textId="134467BB" w:rsidR="00C9090B" w:rsidRDefault="00706078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P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upływie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12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miesięcznego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okresu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(maksymalnie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26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podań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6E6B" w:rsidRPr="00956638">
              <w:rPr>
                <w:color w:val="000000" w:themeColor="text1"/>
                <w:sz w:val="20"/>
                <w:szCs w:val="20"/>
              </w:rPr>
              <w:t>leku)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dotyczy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durwalumabu</w:t>
            </w:r>
            <w:proofErr w:type="spellEnd"/>
            <w:r w:rsidR="00C9090B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56496EA6" w14:textId="77777777" w:rsidR="00932263" w:rsidRPr="00956638" w:rsidRDefault="00932263" w:rsidP="001D79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4ECECE3" w14:textId="242D4FE1" w:rsidR="00A67080" w:rsidRPr="00956638" w:rsidRDefault="003E44D4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Kontynuacja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zakończeniu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finansowania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niestandardowej</w:t>
            </w:r>
          </w:p>
          <w:p w14:paraId="1048646F" w14:textId="36583D37" w:rsidR="00A67080" w:rsidRPr="00956638" w:rsidRDefault="003E44D4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kwietnia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2018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kwalifikowani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mogą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pacjenci,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było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finansowane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niestandardowej.</w:t>
            </w:r>
          </w:p>
          <w:p w14:paraId="4441B0FE" w14:textId="0C8A7545" w:rsidR="00A67080" w:rsidRPr="00956638" w:rsidRDefault="003E44D4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Kwalifikacja,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pkt.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6A1C" w:rsidRPr="00956638">
              <w:rPr>
                <w:color w:val="000000" w:themeColor="text1"/>
                <w:sz w:val="20"/>
                <w:szCs w:val="20"/>
              </w:rPr>
              <w:t>1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1</w:t>
            </w:r>
            <w:r w:rsidR="00871DF4" w:rsidRPr="00956638">
              <w:rPr>
                <w:color w:val="000000" w:themeColor="text1"/>
                <w:sz w:val="20"/>
                <w:szCs w:val="20"/>
              </w:rPr>
              <w:t>.</w:t>
            </w:r>
            <w:r w:rsidRPr="00956638">
              <w:rPr>
                <w:color w:val="000000" w:themeColor="text1"/>
                <w:sz w:val="20"/>
                <w:szCs w:val="20"/>
              </w:rPr>
              <w:t>1,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dotyczy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samą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substancją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czynną,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była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finansowana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niestandardowej.</w:t>
            </w:r>
          </w:p>
          <w:p w14:paraId="272FE2BB" w14:textId="6EAE1633" w:rsidR="00A67080" w:rsidRPr="00956638" w:rsidRDefault="005E095C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Pacjenci,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pkt.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6A1C" w:rsidRPr="00956638">
              <w:rPr>
                <w:color w:val="000000" w:themeColor="text1"/>
                <w:sz w:val="20"/>
                <w:szCs w:val="20"/>
              </w:rPr>
              <w:t>1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1</w:t>
            </w:r>
            <w:r w:rsidR="00871DF4" w:rsidRPr="00956638">
              <w:rPr>
                <w:color w:val="000000" w:themeColor="text1"/>
                <w:sz w:val="20"/>
                <w:szCs w:val="20"/>
              </w:rPr>
              <w:t>.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muszą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spełniać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chwili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kwalifikacji,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innych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wymaganych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włączenia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programu.</w:t>
            </w:r>
          </w:p>
          <w:p w14:paraId="6539EE9D" w14:textId="1FECDE5F" w:rsidR="00C9090B" w:rsidRPr="00932263" w:rsidRDefault="003E44D4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Pacjenci,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pkt.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6A1C" w:rsidRPr="00956638">
              <w:rPr>
                <w:color w:val="000000" w:themeColor="text1"/>
                <w:sz w:val="20"/>
                <w:szCs w:val="20"/>
              </w:rPr>
              <w:t>1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1</w:t>
            </w:r>
            <w:r w:rsidR="00871DF4" w:rsidRPr="00956638">
              <w:rPr>
                <w:color w:val="000000" w:themeColor="text1"/>
                <w:sz w:val="20"/>
                <w:szCs w:val="20"/>
              </w:rPr>
              <w:t>.</w:t>
            </w:r>
            <w:r w:rsidRPr="00956638">
              <w:rPr>
                <w:color w:val="000000" w:themeColor="text1"/>
                <w:sz w:val="20"/>
                <w:szCs w:val="20"/>
              </w:rPr>
              <w:t>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kontynuują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momentu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podjęcia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decyzji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lekarza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prowadzącego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zakończeniu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danym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lekiem.</w:t>
            </w:r>
          </w:p>
          <w:p w14:paraId="447B2DD4" w14:textId="77777777" w:rsidR="00932263" w:rsidRPr="00956638" w:rsidRDefault="00932263" w:rsidP="001D799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27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6664940F" w14:textId="77DFF371" w:rsidR="00666A1C" w:rsidRPr="00956638" w:rsidRDefault="005424C1" w:rsidP="001D799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włączenia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innego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sposobu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finansowania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terapii</w:t>
            </w:r>
          </w:p>
          <w:p w14:paraId="1F28D96B" w14:textId="4EDB1BCC" w:rsidR="000F17E1" w:rsidRPr="00956638" w:rsidRDefault="005424C1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włącza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uprzednio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afatynibem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ozyme</w:t>
            </w:r>
            <w:r w:rsidR="00343136" w:rsidRPr="00956638">
              <w:rPr>
                <w:color w:val="000000" w:themeColor="text1"/>
                <w:sz w:val="20"/>
                <w:szCs w:val="20"/>
              </w:rPr>
              <w:t>r</w:t>
            </w:r>
            <w:r w:rsidR="00EC7AAA" w:rsidRPr="00956638">
              <w:rPr>
                <w:color w:val="000000" w:themeColor="text1"/>
                <w:sz w:val="20"/>
                <w:szCs w:val="20"/>
              </w:rPr>
              <w:t>tynibem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kryzotynibem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alektynibem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brygatynibem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pembrolizumabem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niwolumabem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atezolizumabem</w:t>
            </w:r>
            <w:proofErr w:type="spellEnd"/>
            <w:r w:rsidR="00EC7AAA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nintedanibem</w:t>
            </w:r>
            <w:proofErr w:type="spellEnd"/>
            <w:r w:rsidR="00A52C26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AAA" w:rsidRPr="00956638">
              <w:rPr>
                <w:color w:val="000000" w:themeColor="text1"/>
                <w:sz w:val="20"/>
                <w:szCs w:val="20"/>
              </w:rPr>
              <w:t>dur</w:t>
            </w:r>
            <w:r w:rsidR="00075175" w:rsidRPr="00956638">
              <w:rPr>
                <w:color w:val="000000" w:themeColor="text1"/>
                <w:sz w:val="20"/>
                <w:szCs w:val="20"/>
              </w:rPr>
              <w:t>w</w:t>
            </w:r>
            <w:r w:rsidR="00EC7AAA" w:rsidRPr="00956638">
              <w:rPr>
                <w:color w:val="000000" w:themeColor="text1"/>
                <w:sz w:val="20"/>
                <w:szCs w:val="20"/>
              </w:rPr>
              <w:t>alumabem</w:t>
            </w:r>
            <w:proofErr w:type="spellEnd"/>
            <w:r w:rsidR="00A52C26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2C26" w:rsidRPr="00956638">
              <w:rPr>
                <w:color w:val="000000" w:themeColor="text1"/>
                <w:sz w:val="20"/>
                <w:szCs w:val="20"/>
              </w:rPr>
              <w:t>dako</w:t>
            </w:r>
            <w:r w:rsidR="00BE31C9" w:rsidRPr="00956638">
              <w:rPr>
                <w:color w:val="000000" w:themeColor="text1"/>
                <w:sz w:val="20"/>
                <w:szCs w:val="20"/>
              </w:rPr>
              <w:t>mi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2C26" w:rsidRPr="00956638">
              <w:rPr>
                <w:color w:val="000000" w:themeColor="text1"/>
                <w:sz w:val="20"/>
                <w:szCs w:val="20"/>
              </w:rPr>
              <w:t>lorlatynibem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innego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sposobu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finansowania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zapewnienia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kontynuacji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terapii,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ile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dzień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rozpoczęcia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spełnili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stosowne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0001" w:rsidRPr="00956638">
              <w:rPr>
                <w:color w:val="000000" w:themeColor="text1"/>
                <w:sz w:val="20"/>
                <w:szCs w:val="20"/>
              </w:rPr>
              <w:t>włączenia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spełniają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przeciwskazań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wyłączenia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3D2E" w:rsidRPr="00956638">
              <w:rPr>
                <w:color w:val="000000" w:themeColor="text1"/>
                <w:sz w:val="20"/>
                <w:szCs w:val="20"/>
              </w:rPr>
              <w:t>wskazanych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3D2E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3D2E" w:rsidRPr="00956638">
              <w:rPr>
                <w:color w:val="000000" w:themeColor="text1"/>
                <w:sz w:val="20"/>
                <w:szCs w:val="20"/>
              </w:rPr>
              <w:t>punkcie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10</w:t>
            </w:r>
            <w:r w:rsidR="00103D2E" w:rsidRPr="00956638">
              <w:rPr>
                <w:color w:val="000000" w:themeColor="text1"/>
                <w:sz w:val="20"/>
                <w:szCs w:val="20"/>
              </w:rPr>
              <w:t>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B0001" w:rsidRPr="00956638">
              <w:rPr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łączny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rozpoczęcia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dłuższy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niż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wskazano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punkcie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52C26" w:rsidRPr="00956638">
              <w:rPr>
                <w:color w:val="000000" w:themeColor="text1"/>
                <w:sz w:val="20"/>
                <w:szCs w:val="20"/>
              </w:rPr>
              <w:t>9</w:t>
            </w:r>
            <w:r w:rsidR="00103D2E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7319ED55" w14:textId="54FCBB6B" w:rsidR="00932263" w:rsidRPr="001D7998" w:rsidRDefault="006B0001" w:rsidP="001D799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włącza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pacjentów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leczonych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1.01.2021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ozymer</w:t>
            </w:r>
            <w:r w:rsidR="00A82555" w:rsidRPr="00956638">
              <w:rPr>
                <w:color w:val="000000" w:themeColor="text1"/>
                <w:sz w:val="20"/>
                <w:szCs w:val="20"/>
              </w:rPr>
              <w:t>t</w:t>
            </w:r>
            <w:r w:rsidRPr="00956638">
              <w:rPr>
                <w:color w:val="000000" w:themeColor="text1"/>
                <w:sz w:val="20"/>
                <w:szCs w:val="20"/>
              </w:rPr>
              <w:t>ynibem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17E1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17E1" w:rsidRPr="00956638">
              <w:rPr>
                <w:color w:val="000000" w:themeColor="text1"/>
                <w:sz w:val="20"/>
                <w:szCs w:val="20"/>
              </w:rPr>
              <w:t>pembrolizumabem</w:t>
            </w:r>
            <w:proofErr w:type="spellEnd"/>
            <w:r w:rsidR="000F17E1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dur</w:t>
            </w:r>
            <w:r w:rsidR="00075175" w:rsidRPr="00956638">
              <w:rPr>
                <w:color w:val="000000" w:themeColor="text1"/>
                <w:sz w:val="20"/>
                <w:szCs w:val="20"/>
              </w:rPr>
              <w:t>w</w:t>
            </w:r>
            <w:r w:rsidRPr="00956638">
              <w:rPr>
                <w:color w:val="000000" w:themeColor="text1"/>
                <w:sz w:val="20"/>
                <w:szCs w:val="20"/>
              </w:rPr>
              <w:t>alumabem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ramach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ratunkowego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dostępu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technologii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lekowych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(RDTL),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ile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zachodzą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przeciwwskazania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kontynuowania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834AD8" w:rsidRPr="0095663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23" w:type="dxa"/>
          </w:tcPr>
          <w:p w14:paraId="44B2C812" w14:textId="6523E4E8" w:rsidR="00404AFA" w:rsidRPr="00956638" w:rsidRDefault="00404AFA" w:rsidP="001D799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19B22D7D" w14:textId="467A2867" w:rsidR="00B2385C" w:rsidRPr="00932263" w:rsidRDefault="009F47D2" w:rsidP="0093226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Dawkowanie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programie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modyfikowanie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powinno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zgodne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Leczniczego.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387CACE" w14:textId="7BA8AA53" w:rsidR="006570B2" w:rsidRPr="00956638" w:rsidRDefault="001D7CB9" w:rsidP="001D799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kwalifik</w:t>
            </w:r>
            <w:r w:rsidR="00927291" w:rsidRPr="00956638">
              <w:rPr>
                <w:b/>
                <w:bCs/>
                <w:color w:val="000000" w:themeColor="text1"/>
                <w:sz w:val="20"/>
                <w:szCs w:val="20"/>
              </w:rPr>
              <w:t>owaniu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6B7C3C17" w14:textId="0E6EE7E6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H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istologiczne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A23D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A23DC" w:rsidRPr="00956638">
              <w:rPr>
                <w:color w:val="000000" w:themeColor="text1"/>
                <w:sz w:val="20"/>
                <w:szCs w:val="20"/>
              </w:rPr>
              <w:t>cytologiczne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potwierdzenie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określonego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typu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4932" w:rsidRPr="00956638">
              <w:rPr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493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4932" w:rsidRPr="00956638">
              <w:rPr>
                <w:color w:val="000000" w:themeColor="text1"/>
                <w:sz w:val="20"/>
                <w:szCs w:val="20"/>
              </w:rPr>
              <w:t>drobnokomórkowego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kryteriami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181A36D8" w14:textId="6F63D452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</w:t>
            </w:r>
            <w:r w:rsidR="009A23DC" w:rsidRPr="00956638">
              <w:rPr>
                <w:color w:val="000000" w:themeColor="text1"/>
                <w:sz w:val="20"/>
                <w:szCs w:val="20"/>
              </w:rPr>
              <w:t>otwierdzenie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obecności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odpowiednich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czynników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molekularnych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(stan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genów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ALK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7849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22C2" w:rsidRPr="00956638">
              <w:rPr>
                <w:color w:val="000000" w:themeColor="text1"/>
                <w:sz w:val="20"/>
                <w:szCs w:val="20"/>
              </w:rPr>
              <w:t>ROS1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immunohistochemicznych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79A" w:rsidRPr="00956638">
              <w:rPr>
                <w:color w:val="000000" w:themeColor="text1"/>
                <w:sz w:val="20"/>
                <w:szCs w:val="20"/>
              </w:rPr>
              <w:t>(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stopień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ekspresji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PDL1)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kryteriami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kwalifikowania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chorych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25D4" w:rsidRPr="00956638">
              <w:rPr>
                <w:color w:val="000000" w:themeColor="text1"/>
                <w:sz w:val="20"/>
                <w:szCs w:val="20"/>
              </w:rPr>
              <w:t>(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pierwszej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kolejności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należy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wykonać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badanie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kierunku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mutacji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genie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EGFR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uzasadniają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wytyczne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postępowania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0CD4" w:rsidRPr="00956638">
              <w:rPr>
                <w:color w:val="000000" w:themeColor="text1"/>
                <w:sz w:val="20"/>
                <w:szCs w:val="20"/>
              </w:rPr>
              <w:t>diagnostycznego</w:t>
            </w:r>
            <w:r w:rsidR="000D34D2" w:rsidRPr="00956638">
              <w:rPr>
                <w:color w:val="000000" w:themeColor="text1"/>
                <w:sz w:val="20"/>
                <w:szCs w:val="20"/>
              </w:rPr>
              <w:t>)</w:t>
            </w:r>
            <w:r w:rsidR="00B61DDB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40B6B2F1" w14:textId="742CE0C3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M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orfologia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krwi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3BFBA36A" w14:textId="4E1FA95E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znaczenia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stężenia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kreatyniny;</w:t>
            </w:r>
          </w:p>
          <w:p w14:paraId="3FB8E782" w14:textId="4215B50F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stężenia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bilirubiny;</w:t>
            </w:r>
          </w:p>
          <w:p w14:paraId="33964370" w14:textId="5DD9982D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aminotransferazy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alaninowej;</w:t>
            </w:r>
          </w:p>
          <w:p w14:paraId="26A5F808" w14:textId="45762848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aminotransferazy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asparaginianowej;</w:t>
            </w:r>
          </w:p>
          <w:p w14:paraId="4829044D" w14:textId="4DEB737F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zasadowej;</w:t>
            </w:r>
          </w:p>
          <w:p w14:paraId="6896DD0E" w14:textId="4880A80B" w:rsidR="009F47D2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O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T3,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TSH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inhibitorów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PD1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PD</w:t>
            </w:r>
            <w:r w:rsidR="00E7075D" w:rsidRPr="00956638">
              <w:rPr>
                <w:color w:val="000000" w:themeColor="text1"/>
                <w:sz w:val="20"/>
                <w:szCs w:val="20"/>
              </w:rPr>
              <w:t>-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L1;</w:t>
            </w:r>
          </w:p>
          <w:p w14:paraId="7EAB4F2E" w14:textId="34EB8BFE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T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ciążowy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kobiet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wieku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rozrodczym;</w:t>
            </w:r>
          </w:p>
          <w:p w14:paraId="0D098389" w14:textId="334E4A09" w:rsidR="009F47D2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E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lektrokardiografia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(EKG);</w:t>
            </w:r>
          </w:p>
          <w:p w14:paraId="4107E0EE" w14:textId="7351446C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klatki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piersiowej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objęciem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nadbrzusza;</w:t>
            </w:r>
          </w:p>
          <w:p w14:paraId="47E19976" w14:textId="72A21C99" w:rsidR="00C9090B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nne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za</w:t>
            </w:r>
            <w:r w:rsidRPr="00956638">
              <w:rPr>
                <w:color w:val="000000" w:themeColor="text1"/>
                <w:sz w:val="20"/>
                <w:szCs w:val="20"/>
              </w:rPr>
              <w:t>leżności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sytuacji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klinicznej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29674F43" w14:textId="77777777" w:rsidR="00932263" w:rsidRPr="00956638" w:rsidRDefault="00932263" w:rsidP="0093226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BEFF692" w14:textId="03A0DE44" w:rsidR="00B6275C" w:rsidRPr="00956638" w:rsidRDefault="009F47D2" w:rsidP="001D799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m</w:t>
            </w:r>
            <w:r w:rsidR="00EE4BBD" w:rsidRPr="00956638">
              <w:rPr>
                <w:b/>
                <w:color w:val="000000" w:themeColor="text1"/>
                <w:sz w:val="20"/>
                <w:szCs w:val="20"/>
              </w:rPr>
              <w:t>onitorowani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b/>
                <w:color w:val="000000" w:themeColor="text1"/>
                <w:sz w:val="20"/>
                <w:szCs w:val="20"/>
              </w:rPr>
              <w:t>bezpieczeństwa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b/>
                <w:color w:val="000000" w:themeColor="text1"/>
                <w:sz w:val="20"/>
                <w:szCs w:val="20"/>
              </w:rPr>
              <w:t>leczenia</w:t>
            </w:r>
          </w:p>
          <w:p w14:paraId="3FD33174" w14:textId="2F930171" w:rsidR="00B6275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M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orfologia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krwi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241D1711" w14:textId="1775322F" w:rsidR="00B6275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znaczenia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stężenia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kreatyniny;</w:t>
            </w:r>
          </w:p>
          <w:p w14:paraId="0B0ABE8C" w14:textId="2DF138E6" w:rsidR="00B6275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stężenia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bilirubiny;</w:t>
            </w:r>
          </w:p>
          <w:p w14:paraId="363CAC65" w14:textId="63288C22" w:rsidR="00B6275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aminotransferazy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alaninowej;</w:t>
            </w:r>
          </w:p>
          <w:p w14:paraId="50AE669F" w14:textId="287864C6" w:rsidR="00B6275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aminotransferazy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asparaginianowej;</w:t>
            </w:r>
          </w:p>
          <w:p w14:paraId="4DA3C9FD" w14:textId="3BDCD973" w:rsidR="00B6275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fosfatazy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75C" w:rsidRPr="00956638">
              <w:rPr>
                <w:color w:val="000000" w:themeColor="text1"/>
                <w:sz w:val="20"/>
                <w:szCs w:val="20"/>
              </w:rPr>
              <w:t>zasadowej;</w:t>
            </w:r>
          </w:p>
          <w:p w14:paraId="1F88BBCA" w14:textId="6581F530" w:rsidR="009F47D2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T3,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TSH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stosowania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inhibitorów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PD1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PD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7D2" w:rsidRPr="00956638">
              <w:rPr>
                <w:color w:val="000000" w:themeColor="text1"/>
                <w:sz w:val="20"/>
                <w:szCs w:val="20"/>
              </w:rPr>
              <w:t>L1;</w:t>
            </w:r>
          </w:p>
          <w:p w14:paraId="5B98F5CB" w14:textId="77777777" w:rsidR="001B0059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EKG;</w:t>
            </w:r>
          </w:p>
          <w:p w14:paraId="161A5C8B" w14:textId="2C1BD5E0" w:rsidR="00F17C9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O</w:t>
            </w:r>
            <w:r w:rsidR="00F17C9C" w:rsidRPr="00956638">
              <w:rPr>
                <w:color w:val="000000" w:themeColor="text1"/>
                <w:sz w:val="20"/>
                <w:szCs w:val="20"/>
              </w:rPr>
              <w:t>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17C9C" w:rsidRPr="0095663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17C9C" w:rsidRPr="00956638">
              <w:rPr>
                <w:color w:val="000000" w:themeColor="text1"/>
                <w:sz w:val="20"/>
                <w:szCs w:val="20"/>
              </w:rPr>
              <w:t>kinazy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17C9C" w:rsidRPr="00956638">
              <w:rPr>
                <w:color w:val="000000" w:themeColor="text1"/>
                <w:sz w:val="20"/>
                <w:szCs w:val="20"/>
              </w:rPr>
              <w:t>fosfokreatynowej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17C9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17C9C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17C9C" w:rsidRPr="00956638">
              <w:rPr>
                <w:color w:val="000000" w:themeColor="text1"/>
                <w:sz w:val="20"/>
                <w:szCs w:val="20"/>
              </w:rPr>
              <w:t>alektynibu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3A69" w:rsidRPr="0095663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C3A69" w:rsidRPr="00956638">
              <w:rPr>
                <w:color w:val="000000" w:themeColor="text1"/>
                <w:sz w:val="20"/>
                <w:szCs w:val="20"/>
              </w:rPr>
              <w:t>brygatynibu</w:t>
            </w:r>
            <w:proofErr w:type="spellEnd"/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59887638" w14:textId="5B71C831" w:rsidR="000C6A47" w:rsidRPr="00932263" w:rsidRDefault="000D34D2" w:rsidP="0093226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Wymienione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odstępach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tygodniowych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wyjąt</w:t>
            </w:r>
            <w:r w:rsidR="0087026F" w:rsidRPr="00932263">
              <w:rPr>
                <w:color w:val="000000" w:themeColor="text1"/>
                <w:sz w:val="20"/>
                <w:szCs w:val="20"/>
              </w:rPr>
              <w:t>k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badań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czynnościowych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tarczycy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które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055C" w:rsidRPr="00932263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tygodni.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3B51688" w14:textId="5D306AE5" w:rsidR="00F8463B" w:rsidRPr="00932263" w:rsidRDefault="00A02F6D" w:rsidP="0093226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lastRenderedPageBreak/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color w:val="000000" w:themeColor="text1"/>
                <w:sz w:val="20"/>
                <w:szCs w:val="20"/>
              </w:rPr>
              <w:t>pembrolizumabu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stosowanego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Pr="00932263">
              <w:rPr>
                <w:color w:val="000000" w:themeColor="text1"/>
                <w:sz w:val="20"/>
                <w:szCs w:val="20"/>
              </w:rPr>
              <w:t>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Punkty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a-h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6-12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tygodni.</w:t>
            </w:r>
          </w:p>
          <w:p w14:paraId="45CDB69C" w14:textId="49F47F34" w:rsidR="00A02F6D" w:rsidRPr="00932263" w:rsidRDefault="008B03DB" w:rsidP="0093226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color w:val="000000" w:themeColor="text1"/>
                <w:sz w:val="20"/>
                <w:szCs w:val="20"/>
              </w:rPr>
              <w:t>durwalumabu</w:t>
            </w:r>
            <w:proofErr w:type="spellEnd"/>
            <w:r w:rsidRPr="00932263">
              <w:rPr>
                <w:color w:val="000000" w:themeColor="text1"/>
                <w:sz w:val="20"/>
                <w:szCs w:val="20"/>
              </w:rPr>
              <w:t>: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9457C" w:rsidRPr="00932263">
              <w:rPr>
                <w:color w:val="000000" w:themeColor="text1"/>
                <w:sz w:val="20"/>
                <w:szCs w:val="20"/>
              </w:rPr>
              <w:t>P</w:t>
            </w:r>
            <w:r w:rsidRPr="00932263">
              <w:rPr>
                <w:color w:val="000000" w:themeColor="text1"/>
                <w:sz w:val="20"/>
                <w:szCs w:val="20"/>
              </w:rPr>
              <w:t>unkty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g-h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12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tygodni.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FE357AF" w14:textId="25FC6419" w:rsidR="00A02F6D" w:rsidRPr="00932263" w:rsidRDefault="00A02F6D" w:rsidP="0093226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2263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2263">
              <w:rPr>
                <w:color w:val="000000" w:themeColor="text1"/>
                <w:sz w:val="20"/>
                <w:szCs w:val="20"/>
              </w:rPr>
              <w:t>pembrolizumabem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2263">
              <w:rPr>
                <w:color w:val="000000" w:themeColor="text1"/>
                <w:sz w:val="20"/>
                <w:szCs w:val="20"/>
              </w:rPr>
              <w:t>chemioterapia:</w:t>
            </w:r>
          </w:p>
          <w:p w14:paraId="4FA7CCAF" w14:textId="72A59DDF" w:rsidR="00A02F6D" w:rsidRPr="00956638" w:rsidRDefault="00A02F6D" w:rsidP="001D79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Punkty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a-f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każdym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chemioterapii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(w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638">
              <w:rPr>
                <w:color w:val="000000" w:themeColor="text1"/>
                <w:sz w:val="20"/>
                <w:szCs w:val="20"/>
              </w:rPr>
              <w:t>pemetreksedu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podtrzymującej)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19E4E6F" w14:textId="3665E1C9" w:rsidR="00A02F6D" w:rsidRPr="00956638" w:rsidRDefault="00A02F6D" w:rsidP="001D79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Punkty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g-h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odstępach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6-12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color w:val="000000" w:themeColor="text1"/>
                <w:sz w:val="20"/>
                <w:szCs w:val="20"/>
              </w:rPr>
              <w:t>tygodniowych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D68EB7" w14:textId="637979D6" w:rsidR="00924932" w:rsidRPr="001D7998" w:rsidRDefault="002A25A9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4932"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4932" w:rsidRPr="001D799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4932" w:rsidRPr="001D7998">
              <w:rPr>
                <w:color w:val="000000" w:themeColor="text1"/>
                <w:sz w:val="20"/>
                <w:szCs w:val="20"/>
              </w:rPr>
              <w:t>niedrobnokórkowego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4932" w:rsidRPr="001D799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4932" w:rsidRPr="001D799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wymienione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odstępach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3-6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tygodniowych.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54943A" w14:textId="78312C72" w:rsidR="00924932" w:rsidRPr="001D7998" w:rsidRDefault="00924932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fazie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indukcji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(podawanie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atezolizumabu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skojarzeniu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karboplatyną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etopozydem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drobnokomórkowego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płuc)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wymienione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(z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tarczycy)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przed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każdym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cyklem.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fazie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podtrzymującego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atezolizumabem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drobnokomórkowego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raka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–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wymienione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(z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wyjątkiem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czynności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tarczycy)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odstępach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3-6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tygodniowych.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czynnościowe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tarczycy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12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tygodni.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C5CF446" w14:textId="0CE58807" w:rsidR="001B0059" w:rsidRPr="001D7998" w:rsidRDefault="000C6A47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niwolumabu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wymienione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odstępach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4-8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tygodniowych</w:t>
            </w:r>
          </w:p>
          <w:p w14:paraId="6513E89C" w14:textId="61AA8C31" w:rsidR="002E629D" w:rsidRPr="001D7998" w:rsidRDefault="002E629D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nintedanibu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cykle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lastRenderedPageBreak/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oznacza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konieczność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tyg.,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natomiast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nintedanibem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(ważność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14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dni).</w:t>
            </w:r>
          </w:p>
          <w:p w14:paraId="47CF97F1" w14:textId="011A52BD" w:rsidR="002E629D" w:rsidRPr="001D7998" w:rsidRDefault="002E629D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monitorowaniu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bezpieczeństwa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docetakselem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nintedanibem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należy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uwzględnić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inne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parametry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laboratoryjne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Leczniczego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docetaksel</w:t>
            </w:r>
            <w:proofErr w:type="spellEnd"/>
            <w:r w:rsidRPr="001D7998">
              <w:rPr>
                <w:color w:val="000000" w:themeColor="text1"/>
                <w:sz w:val="20"/>
                <w:szCs w:val="20"/>
              </w:rPr>
              <w:t>.</w:t>
            </w:r>
          </w:p>
          <w:p w14:paraId="761F700A" w14:textId="0CB1DA90" w:rsidR="00C9090B" w:rsidRDefault="00F17C9C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alektynibu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6A47" w:rsidRPr="001D7998">
              <w:rPr>
                <w:color w:val="000000" w:themeColor="text1"/>
                <w:sz w:val="20"/>
                <w:szCs w:val="20"/>
              </w:rPr>
              <w:t>albo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6A47" w:rsidRPr="001D7998">
              <w:rPr>
                <w:color w:val="000000" w:themeColor="text1"/>
                <w:sz w:val="20"/>
                <w:szCs w:val="20"/>
              </w:rPr>
              <w:t>brygatynibu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oznaczenie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aktywności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kinazy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fosfokreatynowej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ciągu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pierwszego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miesiąca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następnie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razie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wskazań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74FFEB0F" w14:textId="77777777" w:rsidR="001D7998" w:rsidRPr="001D7998" w:rsidRDefault="001D7998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06BBA27" w14:textId="678B1C4F" w:rsidR="00655372" w:rsidRPr="00956638" w:rsidRDefault="00655372" w:rsidP="001D799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bookmarkStart w:id="2" w:name="_Hlk52951758"/>
            <w:r w:rsidRPr="00956638">
              <w:rPr>
                <w:b/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celu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monitorowania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452E" w:rsidRPr="00956638">
              <w:rPr>
                <w:b/>
                <w:color w:val="000000" w:themeColor="text1"/>
                <w:sz w:val="20"/>
                <w:szCs w:val="20"/>
              </w:rPr>
              <w:t>skuteczności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leczenia</w:t>
            </w:r>
          </w:p>
          <w:bookmarkEnd w:id="2"/>
          <w:p w14:paraId="7FD1432B" w14:textId="00C33278" w:rsidR="00EE4BBD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B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adanie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TK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klatki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piersiowej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objęciem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nadbrzusza;</w:t>
            </w:r>
          </w:p>
          <w:p w14:paraId="1A0AD7D0" w14:textId="5D074F1C" w:rsidR="00345CF3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I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nne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4BBD" w:rsidRPr="00956638">
              <w:rPr>
                <w:color w:val="000000" w:themeColor="text1"/>
                <w:sz w:val="20"/>
                <w:szCs w:val="20"/>
              </w:rPr>
              <w:t>obrazowe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konieczne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oceny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zmian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w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edłu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g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kryteriów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RECIST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1.1.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zależności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762" w:rsidRPr="00956638">
              <w:rPr>
                <w:color w:val="000000" w:themeColor="text1"/>
                <w:sz w:val="20"/>
                <w:szCs w:val="20"/>
              </w:rPr>
              <w:t>od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3A32" w:rsidRPr="00956638">
              <w:rPr>
                <w:color w:val="000000" w:themeColor="text1"/>
                <w:sz w:val="20"/>
                <w:szCs w:val="20"/>
              </w:rPr>
              <w:t>sytuacji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3A32" w:rsidRPr="00956638">
              <w:rPr>
                <w:color w:val="000000" w:themeColor="text1"/>
                <w:sz w:val="20"/>
                <w:szCs w:val="20"/>
              </w:rPr>
              <w:t>klinicznej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2D05FE89" w14:textId="16E8ED73" w:rsidR="002A6AB4" w:rsidRPr="001D7998" w:rsidRDefault="009B2762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Określenie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odpowiedzi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wykorzystaniem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metody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identycznej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wykorzystanej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podczas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kwalifik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5FA60BD" w14:textId="14879B18" w:rsidR="008B0240" w:rsidRPr="001D7998" w:rsidRDefault="00EE4BBD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3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1D7998">
              <w:rPr>
                <w:color w:val="000000" w:themeColor="text1"/>
                <w:sz w:val="20"/>
                <w:szCs w:val="20"/>
              </w:rPr>
              <w:t>miesiące</w:t>
            </w:r>
            <w:r w:rsidRPr="001D799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042672A" w14:textId="52D0F44D" w:rsidR="00006775" w:rsidRPr="001D7998" w:rsidRDefault="00006775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terapii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atezolizumabem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drobnokomórkowym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raku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płuca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cykle.</w:t>
            </w:r>
          </w:p>
          <w:p w14:paraId="3116122B" w14:textId="01FCE1C8" w:rsidR="00397CFB" w:rsidRPr="001D7998" w:rsidRDefault="00397CFB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nintedanibu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wykonywane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2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cykle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oznacza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konieczność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wykonania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lastRenderedPageBreak/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6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tyg.,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natomiast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61B0"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trakcie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nintedanibem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8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tyg.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(ważność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badania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14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dni).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6877A06" w14:textId="3CC193DC" w:rsidR="00255404" w:rsidRPr="00956638" w:rsidRDefault="00255404" w:rsidP="001D7998">
            <w:pPr>
              <w:pStyle w:val="Tekstkomentarza"/>
              <w:spacing w:after="60" w:line="276" w:lineRule="auto"/>
              <w:jc w:val="both"/>
              <w:rPr>
                <w:color w:val="000000" w:themeColor="text1"/>
              </w:rPr>
            </w:pPr>
            <w:r w:rsidRPr="00956638">
              <w:rPr>
                <w:color w:val="000000" w:themeColor="text1"/>
              </w:rPr>
              <w:t>W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przypadku</w:t>
            </w:r>
            <w:r w:rsidR="001D7998">
              <w:rPr>
                <w:color w:val="000000" w:themeColor="text1"/>
              </w:rPr>
              <w:t xml:space="preserve"> </w:t>
            </w:r>
            <w:proofErr w:type="spellStart"/>
            <w:r w:rsidRPr="00956638">
              <w:rPr>
                <w:color w:val="000000" w:themeColor="text1"/>
              </w:rPr>
              <w:t>pembrolizumabu</w:t>
            </w:r>
            <w:proofErr w:type="spellEnd"/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stosowanego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w</w:t>
            </w:r>
            <w:r w:rsidR="001D7998">
              <w:rPr>
                <w:color w:val="000000" w:themeColor="text1"/>
              </w:rPr>
              <w:t xml:space="preserve"> </w:t>
            </w:r>
            <w:proofErr w:type="spellStart"/>
            <w:r w:rsidRPr="00956638">
              <w:rPr>
                <w:color w:val="000000" w:themeColor="text1"/>
              </w:rPr>
              <w:t>monoterapii</w:t>
            </w:r>
            <w:proofErr w:type="spellEnd"/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lub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w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skojarzeniu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z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chemioterapią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wymienione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badania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wykonywane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są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co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9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-12</w:t>
            </w:r>
            <w:r w:rsidR="001D7998">
              <w:rPr>
                <w:color w:val="000000" w:themeColor="text1"/>
              </w:rPr>
              <w:t xml:space="preserve"> </w:t>
            </w:r>
            <w:r w:rsidRPr="00956638">
              <w:rPr>
                <w:color w:val="000000" w:themeColor="text1"/>
              </w:rPr>
              <w:t>tygodni.</w:t>
            </w:r>
          </w:p>
          <w:p w14:paraId="36C3B9F6" w14:textId="15C608A9" w:rsidR="00397CFB" w:rsidRPr="001D7998" w:rsidRDefault="00397CFB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monitorowaniu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bezpieczeństwa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skojarzonego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docetakselem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nintedanibem</w:t>
            </w:r>
            <w:proofErr w:type="spellEnd"/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należy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uwzględnić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inne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parametry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laboratoryjne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Charakterystyką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Produktu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Leczniczego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7998">
              <w:rPr>
                <w:color w:val="000000" w:themeColor="text1"/>
                <w:sz w:val="20"/>
                <w:szCs w:val="20"/>
              </w:rPr>
              <w:t>docetaksel</w:t>
            </w:r>
            <w:proofErr w:type="spellEnd"/>
            <w:r w:rsidRPr="001D7998">
              <w:rPr>
                <w:color w:val="000000" w:themeColor="text1"/>
                <w:sz w:val="20"/>
                <w:szCs w:val="20"/>
              </w:rPr>
              <w:t>.</w:t>
            </w:r>
          </w:p>
          <w:p w14:paraId="1AF79313" w14:textId="35D6C7E4" w:rsidR="00C9090B" w:rsidRDefault="003E44D4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D7998">
              <w:rPr>
                <w:color w:val="000000" w:themeColor="text1"/>
                <w:sz w:val="20"/>
                <w:szCs w:val="20"/>
              </w:rPr>
              <w:t>Monitorowanie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skuteczności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bezpieczeństwa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pacjentów,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sekcji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Świadczeniobiorcy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2C59" w:rsidRPr="001D7998">
              <w:rPr>
                <w:color w:val="000000" w:themeColor="text1"/>
                <w:sz w:val="20"/>
                <w:szCs w:val="20"/>
              </w:rPr>
              <w:t>1</w:t>
            </w:r>
            <w:r w:rsidR="00385F78" w:rsidRPr="001D7998">
              <w:rPr>
                <w:color w:val="000000" w:themeColor="text1"/>
                <w:sz w:val="20"/>
                <w:szCs w:val="20"/>
              </w:rPr>
              <w:t>1</w:t>
            </w:r>
            <w:r w:rsidRPr="001D799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pkt.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2C59" w:rsidRPr="001D7998">
              <w:rPr>
                <w:color w:val="000000" w:themeColor="text1"/>
                <w:sz w:val="20"/>
                <w:szCs w:val="20"/>
              </w:rPr>
              <w:t>1</w:t>
            </w:r>
            <w:r w:rsidR="00385F78" w:rsidRPr="001D7998">
              <w:rPr>
                <w:color w:val="000000" w:themeColor="text1"/>
                <w:sz w:val="20"/>
                <w:szCs w:val="20"/>
              </w:rPr>
              <w:t>1</w:t>
            </w:r>
            <w:r w:rsidR="00902AE1" w:rsidRPr="001D7998">
              <w:rPr>
                <w:color w:val="000000" w:themeColor="text1"/>
                <w:sz w:val="20"/>
                <w:szCs w:val="20"/>
              </w:rPr>
              <w:t>.</w:t>
            </w:r>
            <w:r w:rsidRPr="001D7998">
              <w:rPr>
                <w:color w:val="000000" w:themeColor="text1"/>
                <w:sz w:val="20"/>
                <w:szCs w:val="20"/>
              </w:rPr>
              <w:t>1.,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powinno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być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prowadzone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jednakowo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5F78" w:rsidRPr="001D7998">
              <w:rPr>
                <w:color w:val="000000" w:themeColor="text1"/>
                <w:sz w:val="20"/>
                <w:szCs w:val="20"/>
              </w:rPr>
              <w:t>j</w:t>
            </w:r>
            <w:r w:rsidRPr="001D7998">
              <w:rPr>
                <w:color w:val="000000" w:themeColor="text1"/>
                <w:sz w:val="20"/>
                <w:szCs w:val="20"/>
              </w:rPr>
              <w:t>ak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pozostałych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7998">
              <w:rPr>
                <w:color w:val="000000" w:themeColor="text1"/>
                <w:sz w:val="20"/>
                <w:szCs w:val="20"/>
              </w:rPr>
              <w:t>pacjentów</w:t>
            </w:r>
            <w:r w:rsidR="002A6AB4" w:rsidRPr="001D7998">
              <w:rPr>
                <w:color w:val="000000" w:themeColor="text1"/>
                <w:sz w:val="20"/>
                <w:szCs w:val="20"/>
              </w:rPr>
              <w:t>.</w:t>
            </w:r>
          </w:p>
          <w:p w14:paraId="5952D091" w14:textId="77777777" w:rsidR="001D7998" w:rsidRPr="001D7998" w:rsidRDefault="001D7998" w:rsidP="001D79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A434D9D" w14:textId="440CF40E" w:rsidR="00914853" w:rsidRPr="00956638" w:rsidRDefault="0072633C" w:rsidP="001D799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1D79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6638">
              <w:rPr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23055096" w14:textId="2646719B" w:rsidR="009247B1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G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romadzenie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dokumentacji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medycznej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dotyczących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monitorowania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leczenia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każdorazowe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ich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przedstawianie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żądanie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kontrolerów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Narodowego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Funduszu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Zdrowia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(NFZ)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1DF14816" w14:textId="2E3C72E5" w:rsidR="009247B1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U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zupełnienie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zawartych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rejestrze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(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system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monitorowania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programów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terapeutycznych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EB8" w:rsidRPr="00956638">
              <w:rPr>
                <w:color w:val="000000" w:themeColor="text1"/>
                <w:sz w:val="20"/>
                <w:szCs w:val="20"/>
              </w:rPr>
              <w:t>-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SMPT)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dostępnym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pomocą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aplikacji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internetowej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udostępnionej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O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ddział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ojewódzki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NFZ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częstotliwością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zgodną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opisem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programu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oraz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zakończenie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4C67334E" w14:textId="720060CE" w:rsidR="0072633C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lastRenderedPageBreak/>
              <w:t>P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rzekazywanie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informacji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sprawozdawczo-rozliczeniowych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NFZ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(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informacje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przekazuje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się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do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NFZ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formie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papierowej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lub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formie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elektronicznej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zgodnie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wymaganiami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opublikowanymi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przez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633C" w:rsidRPr="00956638">
              <w:rPr>
                <w:color w:val="000000" w:themeColor="text1"/>
                <w:sz w:val="20"/>
                <w:szCs w:val="20"/>
              </w:rPr>
              <w:t>N</w:t>
            </w:r>
            <w:r w:rsidR="00655372" w:rsidRPr="00956638">
              <w:rPr>
                <w:color w:val="000000" w:themeColor="text1"/>
                <w:sz w:val="20"/>
                <w:szCs w:val="20"/>
              </w:rPr>
              <w:t>FZ)</w:t>
            </w:r>
            <w:r w:rsidR="0087026F" w:rsidRPr="00956638">
              <w:rPr>
                <w:color w:val="000000" w:themeColor="text1"/>
                <w:sz w:val="20"/>
                <w:szCs w:val="20"/>
              </w:rPr>
              <w:t>;</w:t>
            </w:r>
          </w:p>
          <w:p w14:paraId="2E2823D5" w14:textId="70EA8427" w:rsidR="003E44D4" w:rsidRPr="00956638" w:rsidRDefault="00955CE8" w:rsidP="001D79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ind w:left="248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przypadku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pacjentów,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o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których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mowa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4C0C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4C0C" w:rsidRPr="00956638">
              <w:rPr>
                <w:color w:val="000000" w:themeColor="text1"/>
                <w:sz w:val="20"/>
                <w:szCs w:val="20"/>
              </w:rPr>
              <w:t>sekcji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4C0C" w:rsidRPr="00956638">
              <w:rPr>
                <w:color w:val="000000" w:themeColor="text1"/>
                <w:sz w:val="20"/>
                <w:szCs w:val="20"/>
              </w:rPr>
              <w:t>Świadczeniobiorcy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2C59" w:rsidRPr="00956638">
              <w:rPr>
                <w:color w:val="000000" w:themeColor="text1"/>
                <w:sz w:val="20"/>
                <w:szCs w:val="20"/>
              </w:rPr>
              <w:t>1</w:t>
            </w:r>
            <w:r w:rsidR="00B02A55" w:rsidRPr="00956638">
              <w:rPr>
                <w:color w:val="000000" w:themeColor="text1"/>
                <w:sz w:val="20"/>
                <w:szCs w:val="20"/>
              </w:rPr>
              <w:t>1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pkt.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2C59" w:rsidRPr="00956638">
              <w:rPr>
                <w:color w:val="000000" w:themeColor="text1"/>
                <w:sz w:val="20"/>
                <w:szCs w:val="20"/>
              </w:rPr>
              <w:t>1</w:t>
            </w:r>
            <w:r w:rsidR="00B02A55" w:rsidRPr="00956638">
              <w:rPr>
                <w:color w:val="000000" w:themeColor="text1"/>
                <w:sz w:val="20"/>
                <w:szCs w:val="20"/>
              </w:rPr>
              <w:t>1</w:t>
            </w:r>
            <w:r w:rsidR="00C74988" w:rsidRPr="00956638">
              <w:rPr>
                <w:color w:val="000000" w:themeColor="text1"/>
                <w:sz w:val="20"/>
                <w:szCs w:val="20"/>
              </w:rPr>
              <w:t>.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1,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jest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wymagane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uzupełnianie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danych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informacji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elektronicznym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systemie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4D4" w:rsidRPr="00956638">
              <w:rPr>
                <w:color w:val="000000" w:themeColor="text1"/>
                <w:sz w:val="20"/>
                <w:szCs w:val="20"/>
              </w:rPr>
              <w:t>m</w:t>
            </w:r>
            <w:r w:rsidR="009A5213" w:rsidRPr="00956638">
              <w:rPr>
                <w:color w:val="000000" w:themeColor="text1"/>
                <w:sz w:val="20"/>
                <w:szCs w:val="20"/>
              </w:rPr>
              <w:t>onitorowania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A5213" w:rsidRPr="00956638">
              <w:rPr>
                <w:color w:val="000000" w:themeColor="text1"/>
                <w:sz w:val="20"/>
                <w:szCs w:val="20"/>
              </w:rPr>
              <w:t>programów</w:t>
            </w:r>
            <w:r w:rsidR="001D79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A5213" w:rsidRPr="00956638">
              <w:rPr>
                <w:color w:val="000000" w:themeColor="text1"/>
                <w:sz w:val="20"/>
                <w:szCs w:val="20"/>
              </w:rPr>
              <w:t>lekowych</w:t>
            </w:r>
            <w:r w:rsidR="00DA65B7" w:rsidRPr="00956638">
              <w:rPr>
                <w:color w:val="000000" w:themeColor="text1"/>
                <w:sz w:val="20"/>
                <w:szCs w:val="20"/>
              </w:rPr>
              <w:t>.</w:t>
            </w:r>
          </w:p>
          <w:p w14:paraId="54F37CD1" w14:textId="77777777" w:rsidR="0072633C" w:rsidRPr="00956638" w:rsidRDefault="0072633C" w:rsidP="0095663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3B1BBF9" w14:textId="77777777" w:rsidR="00743C43" w:rsidRPr="001D7998" w:rsidRDefault="00743C43">
      <w:pPr>
        <w:spacing w:line="276" w:lineRule="auto"/>
        <w:rPr>
          <w:color w:val="000000" w:themeColor="text1"/>
          <w:sz w:val="2"/>
          <w:szCs w:val="2"/>
        </w:rPr>
      </w:pPr>
    </w:p>
    <w:sectPr w:rsidR="00743C43" w:rsidRPr="001D7998" w:rsidSect="000F741E">
      <w:footerReference w:type="default" r:id="rId13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4D97" w14:textId="77777777" w:rsidR="00D248A4" w:rsidRDefault="00D248A4" w:rsidP="00EA21BD">
      <w:r>
        <w:separator/>
      </w:r>
    </w:p>
  </w:endnote>
  <w:endnote w:type="continuationSeparator" w:id="0">
    <w:p w14:paraId="1D668F05" w14:textId="77777777" w:rsidR="00D248A4" w:rsidRDefault="00D248A4" w:rsidP="00EA21BD">
      <w:r>
        <w:continuationSeparator/>
      </w:r>
    </w:p>
  </w:endnote>
  <w:endnote w:type="continuationNotice" w:id="1">
    <w:p w14:paraId="7128233C" w14:textId="77777777" w:rsidR="00D248A4" w:rsidRDefault="00D24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F9FC" w14:textId="77777777"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2782" w14:textId="77777777" w:rsidR="00D248A4" w:rsidRDefault="00D248A4" w:rsidP="00EA21BD">
      <w:r>
        <w:separator/>
      </w:r>
    </w:p>
  </w:footnote>
  <w:footnote w:type="continuationSeparator" w:id="0">
    <w:p w14:paraId="575B5914" w14:textId="77777777" w:rsidR="00D248A4" w:rsidRDefault="00D248A4" w:rsidP="00EA21BD">
      <w:r>
        <w:continuationSeparator/>
      </w:r>
    </w:p>
  </w:footnote>
  <w:footnote w:type="continuationNotice" w:id="1">
    <w:p w14:paraId="398A8711" w14:textId="77777777" w:rsidR="00D248A4" w:rsidRDefault="00D24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007E"/>
    <w:multiLevelType w:val="multilevel"/>
    <w:tmpl w:val="B03C69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BDC0954"/>
    <w:multiLevelType w:val="multilevel"/>
    <w:tmpl w:val="D520B7B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20F76D58"/>
    <w:multiLevelType w:val="multilevel"/>
    <w:tmpl w:val="C340167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31C0638"/>
    <w:multiLevelType w:val="multilevel"/>
    <w:tmpl w:val="BAD06BF8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3A406805"/>
    <w:multiLevelType w:val="multilevel"/>
    <w:tmpl w:val="C3CC1DD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A641C6B"/>
    <w:multiLevelType w:val="multilevel"/>
    <w:tmpl w:val="D520B7B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6775"/>
    <w:rsid w:val="00007E2B"/>
    <w:rsid w:val="00010CB6"/>
    <w:rsid w:val="00015D29"/>
    <w:rsid w:val="00016CEB"/>
    <w:rsid w:val="0002462E"/>
    <w:rsid w:val="00024F01"/>
    <w:rsid w:val="000265D5"/>
    <w:rsid w:val="00031BD0"/>
    <w:rsid w:val="00036878"/>
    <w:rsid w:val="00042072"/>
    <w:rsid w:val="00043484"/>
    <w:rsid w:val="00043541"/>
    <w:rsid w:val="00043594"/>
    <w:rsid w:val="00050638"/>
    <w:rsid w:val="00061231"/>
    <w:rsid w:val="000642FA"/>
    <w:rsid w:val="00066200"/>
    <w:rsid w:val="0006696F"/>
    <w:rsid w:val="000707EC"/>
    <w:rsid w:val="00071A37"/>
    <w:rsid w:val="00071F53"/>
    <w:rsid w:val="00075175"/>
    <w:rsid w:val="0007699C"/>
    <w:rsid w:val="00077406"/>
    <w:rsid w:val="00080162"/>
    <w:rsid w:val="00081EA0"/>
    <w:rsid w:val="0008215F"/>
    <w:rsid w:val="000849AC"/>
    <w:rsid w:val="00090F70"/>
    <w:rsid w:val="00097B65"/>
    <w:rsid w:val="000A0004"/>
    <w:rsid w:val="000A11CE"/>
    <w:rsid w:val="000A2D58"/>
    <w:rsid w:val="000A3985"/>
    <w:rsid w:val="000A765E"/>
    <w:rsid w:val="000B16FD"/>
    <w:rsid w:val="000B3751"/>
    <w:rsid w:val="000C12FD"/>
    <w:rsid w:val="000C16FC"/>
    <w:rsid w:val="000C3F1B"/>
    <w:rsid w:val="000C6A47"/>
    <w:rsid w:val="000D2612"/>
    <w:rsid w:val="000D34D2"/>
    <w:rsid w:val="000D422B"/>
    <w:rsid w:val="000E0FCC"/>
    <w:rsid w:val="000E25C8"/>
    <w:rsid w:val="000E7B7F"/>
    <w:rsid w:val="000F17A4"/>
    <w:rsid w:val="000F17E1"/>
    <w:rsid w:val="000F3501"/>
    <w:rsid w:val="000F5D97"/>
    <w:rsid w:val="000F741E"/>
    <w:rsid w:val="00100410"/>
    <w:rsid w:val="00100861"/>
    <w:rsid w:val="00103D2E"/>
    <w:rsid w:val="00107C99"/>
    <w:rsid w:val="001128C6"/>
    <w:rsid w:val="00112A7E"/>
    <w:rsid w:val="001147F7"/>
    <w:rsid w:val="001176F0"/>
    <w:rsid w:val="00122901"/>
    <w:rsid w:val="00136191"/>
    <w:rsid w:val="0014035D"/>
    <w:rsid w:val="00144C47"/>
    <w:rsid w:val="00147848"/>
    <w:rsid w:val="00150CF7"/>
    <w:rsid w:val="00152B52"/>
    <w:rsid w:val="00154275"/>
    <w:rsid w:val="00156047"/>
    <w:rsid w:val="00157AFB"/>
    <w:rsid w:val="001603AC"/>
    <w:rsid w:val="001653F2"/>
    <w:rsid w:val="00166DAF"/>
    <w:rsid w:val="00194C0C"/>
    <w:rsid w:val="001A03CD"/>
    <w:rsid w:val="001A16A4"/>
    <w:rsid w:val="001A23DB"/>
    <w:rsid w:val="001A2845"/>
    <w:rsid w:val="001A2B07"/>
    <w:rsid w:val="001A4A98"/>
    <w:rsid w:val="001A4AC1"/>
    <w:rsid w:val="001A696D"/>
    <w:rsid w:val="001B0059"/>
    <w:rsid w:val="001B2684"/>
    <w:rsid w:val="001C2457"/>
    <w:rsid w:val="001C77B1"/>
    <w:rsid w:val="001D2F51"/>
    <w:rsid w:val="001D35C7"/>
    <w:rsid w:val="001D4367"/>
    <w:rsid w:val="001D7998"/>
    <w:rsid w:val="001D7CB9"/>
    <w:rsid w:val="001E676A"/>
    <w:rsid w:val="001F1C8E"/>
    <w:rsid w:val="001F356C"/>
    <w:rsid w:val="001F3616"/>
    <w:rsid w:val="002030AC"/>
    <w:rsid w:val="0020596B"/>
    <w:rsid w:val="002108CF"/>
    <w:rsid w:val="00210B0D"/>
    <w:rsid w:val="00211635"/>
    <w:rsid w:val="0021688B"/>
    <w:rsid w:val="00221D34"/>
    <w:rsid w:val="00222A27"/>
    <w:rsid w:val="00230BFA"/>
    <w:rsid w:val="002351A0"/>
    <w:rsid w:val="002361B0"/>
    <w:rsid w:val="00237D71"/>
    <w:rsid w:val="0024095E"/>
    <w:rsid w:val="00240C92"/>
    <w:rsid w:val="00241A84"/>
    <w:rsid w:val="00245A80"/>
    <w:rsid w:val="00246D45"/>
    <w:rsid w:val="00252ABE"/>
    <w:rsid w:val="00255404"/>
    <w:rsid w:val="00256AFD"/>
    <w:rsid w:val="00260CD4"/>
    <w:rsid w:val="002617E0"/>
    <w:rsid w:val="002622F5"/>
    <w:rsid w:val="00272D59"/>
    <w:rsid w:val="00273EF5"/>
    <w:rsid w:val="00275747"/>
    <w:rsid w:val="00277FC8"/>
    <w:rsid w:val="00281A18"/>
    <w:rsid w:val="00281E6F"/>
    <w:rsid w:val="00290779"/>
    <w:rsid w:val="002976D8"/>
    <w:rsid w:val="002A0CD0"/>
    <w:rsid w:val="002A25A9"/>
    <w:rsid w:val="002A4315"/>
    <w:rsid w:val="002A6AB4"/>
    <w:rsid w:val="002B198A"/>
    <w:rsid w:val="002B35D9"/>
    <w:rsid w:val="002B7491"/>
    <w:rsid w:val="002C4AEC"/>
    <w:rsid w:val="002C628C"/>
    <w:rsid w:val="002D07A0"/>
    <w:rsid w:val="002D4016"/>
    <w:rsid w:val="002D5F2F"/>
    <w:rsid w:val="002D6884"/>
    <w:rsid w:val="002E1303"/>
    <w:rsid w:val="002E22B3"/>
    <w:rsid w:val="002E629D"/>
    <w:rsid w:val="002F724F"/>
    <w:rsid w:val="003033E5"/>
    <w:rsid w:val="00312335"/>
    <w:rsid w:val="00312E32"/>
    <w:rsid w:val="00313FB3"/>
    <w:rsid w:val="0031512E"/>
    <w:rsid w:val="00315F31"/>
    <w:rsid w:val="003179CA"/>
    <w:rsid w:val="00324DE6"/>
    <w:rsid w:val="0032679D"/>
    <w:rsid w:val="00327269"/>
    <w:rsid w:val="00331737"/>
    <w:rsid w:val="00333259"/>
    <w:rsid w:val="00333C7E"/>
    <w:rsid w:val="00336157"/>
    <w:rsid w:val="00343136"/>
    <w:rsid w:val="00345A6D"/>
    <w:rsid w:val="00345CF3"/>
    <w:rsid w:val="00346A9C"/>
    <w:rsid w:val="00347798"/>
    <w:rsid w:val="00354575"/>
    <w:rsid w:val="00354CC3"/>
    <w:rsid w:val="0035693B"/>
    <w:rsid w:val="00356D6B"/>
    <w:rsid w:val="00361E28"/>
    <w:rsid w:val="00362C81"/>
    <w:rsid w:val="00363EFE"/>
    <w:rsid w:val="00370C19"/>
    <w:rsid w:val="00372F8F"/>
    <w:rsid w:val="00380FAD"/>
    <w:rsid w:val="00385F78"/>
    <w:rsid w:val="00386341"/>
    <w:rsid w:val="0038781F"/>
    <w:rsid w:val="00391666"/>
    <w:rsid w:val="00391917"/>
    <w:rsid w:val="00397CFB"/>
    <w:rsid w:val="003A0A12"/>
    <w:rsid w:val="003A51F8"/>
    <w:rsid w:val="003B6538"/>
    <w:rsid w:val="003C1CD4"/>
    <w:rsid w:val="003C6D48"/>
    <w:rsid w:val="003C75B9"/>
    <w:rsid w:val="003D0BC1"/>
    <w:rsid w:val="003D5D8F"/>
    <w:rsid w:val="003E06DD"/>
    <w:rsid w:val="003E07BC"/>
    <w:rsid w:val="003E44D4"/>
    <w:rsid w:val="003E5936"/>
    <w:rsid w:val="003F13BE"/>
    <w:rsid w:val="003F2CAE"/>
    <w:rsid w:val="003F4A58"/>
    <w:rsid w:val="00403A32"/>
    <w:rsid w:val="00404AFA"/>
    <w:rsid w:val="00404CED"/>
    <w:rsid w:val="00406F49"/>
    <w:rsid w:val="004129F1"/>
    <w:rsid w:val="00414067"/>
    <w:rsid w:val="0042444E"/>
    <w:rsid w:val="004311BB"/>
    <w:rsid w:val="004318F8"/>
    <w:rsid w:val="00433AD9"/>
    <w:rsid w:val="004405D9"/>
    <w:rsid w:val="0044490C"/>
    <w:rsid w:val="00452C80"/>
    <w:rsid w:val="00457A1B"/>
    <w:rsid w:val="00463569"/>
    <w:rsid w:val="00467232"/>
    <w:rsid w:val="0047290D"/>
    <w:rsid w:val="00472B65"/>
    <w:rsid w:val="00476945"/>
    <w:rsid w:val="00476948"/>
    <w:rsid w:val="00481D53"/>
    <w:rsid w:val="00484592"/>
    <w:rsid w:val="00497A25"/>
    <w:rsid w:val="004A254E"/>
    <w:rsid w:val="004A567B"/>
    <w:rsid w:val="004A74F2"/>
    <w:rsid w:val="004B00B4"/>
    <w:rsid w:val="004C0083"/>
    <w:rsid w:val="004C3A69"/>
    <w:rsid w:val="004C3F12"/>
    <w:rsid w:val="004D21DD"/>
    <w:rsid w:val="004D51AB"/>
    <w:rsid w:val="004D5713"/>
    <w:rsid w:val="004E0CC6"/>
    <w:rsid w:val="004E150C"/>
    <w:rsid w:val="004F2EBC"/>
    <w:rsid w:val="004F4D27"/>
    <w:rsid w:val="004F5D44"/>
    <w:rsid w:val="0050050A"/>
    <w:rsid w:val="005027AA"/>
    <w:rsid w:val="0050767F"/>
    <w:rsid w:val="0051013B"/>
    <w:rsid w:val="0051352D"/>
    <w:rsid w:val="00513F30"/>
    <w:rsid w:val="00515665"/>
    <w:rsid w:val="00517719"/>
    <w:rsid w:val="005227D7"/>
    <w:rsid w:val="00522EC3"/>
    <w:rsid w:val="00523AB7"/>
    <w:rsid w:val="00524BCD"/>
    <w:rsid w:val="005413F9"/>
    <w:rsid w:val="005424C1"/>
    <w:rsid w:val="0054319B"/>
    <w:rsid w:val="0054669A"/>
    <w:rsid w:val="00547065"/>
    <w:rsid w:val="00550CA7"/>
    <w:rsid w:val="00553C0F"/>
    <w:rsid w:val="00554CAF"/>
    <w:rsid w:val="005557DB"/>
    <w:rsid w:val="00571CD6"/>
    <w:rsid w:val="00571EFF"/>
    <w:rsid w:val="00572F6E"/>
    <w:rsid w:val="005775A9"/>
    <w:rsid w:val="00577D76"/>
    <w:rsid w:val="00577F6A"/>
    <w:rsid w:val="00591EA4"/>
    <w:rsid w:val="005925D4"/>
    <w:rsid w:val="00593677"/>
    <w:rsid w:val="005A17F8"/>
    <w:rsid w:val="005A385F"/>
    <w:rsid w:val="005A3E8F"/>
    <w:rsid w:val="005B7E38"/>
    <w:rsid w:val="005C17F9"/>
    <w:rsid w:val="005C357B"/>
    <w:rsid w:val="005C4287"/>
    <w:rsid w:val="005C4EE1"/>
    <w:rsid w:val="005D4344"/>
    <w:rsid w:val="005D5E58"/>
    <w:rsid w:val="005D6D19"/>
    <w:rsid w:val="005D702F"/>
    <w:rsid w:val="005E095C"/>
    <w:rsid w:val="005E36DB"/>
    <w:rsid w:val="005E44D7"/>
    <w:rsid w:val="005E795C"/>
    <w:rsid w:val="005F2F62"/>
    <w:rsid w:val="005F6B9C"/>
    <w:rsid w:val="006018DE"/>
    <w:rsid w:val="00601F0B"/>
    <w:rsid w:val="00606D61"/>
    <w:rsid w:val="006110D3"/>
    <w:rsid w:val="0061452E"/>
    <w:rsid w:val="006152EB"/>
    <w:rsid w:val="00621004"/>
    <w:rsid w:val="00624A80"/>
    <w:rsid w:val="006262DC"/>
    <w:rsid w:val="00627382"/>
    <w:rsid w:val="00630552"/>
    <w:rsid w:val="0063308B"/>
    <w:rsid w:val="00637E38"/>
    <w:rsid w:val="00640D1A"/>
    <w:rsid w:val="006450E0"/>
    <w:rsid w:val="00646AFA"/>
    <w:rsid w:val="00650745"/>
    <w:rsid w:val="0065179C"/>
    <w:rsid w:val="00655372"/>
    <w:rsid w:val="0065616D"/>
    <w:rsid w:val="00656447"/>
    <w:rsid w:val="006570B2"/>
    <w:rsid w:val="006606D5"/>
    <w:rsid w:val="0066239D"/>
    <w:rsid w:val="0066564B"/>
    <w:rsid w:val="00666A1C"/>
    <w:rsid w:val="00667158"/>
    <w:rsid w:val="0066743D"/>
    <w:rsid w:val="00674072"/>
    <w:rsid w:val="00674810"/>
    <w:rsid w:val="00677B68"/>
    <w:rsid w:val="00681617"/>
    <w:rsid w:val="00681BA0"/>
    <w:rsid w:val="00681E75"/>
    <w:rsid w:val="00683977"/>
    <w:rsid w:val="00692FD0"/>
    <w:rsid w:val="006A45D7"/>
    <w:rsid w:val="006A58A8"/>
    <w:rsid w:val="006A7462"/>
    <w:rsid w:val="006A769A"/>
    <w:rsid w:val="006A791B"/>
    <w:rsid w:val="006B0001"/>
    <w:rsid w:val="006B10C1"/>
    <w:rsid w:val="006B289F"/>
    <w:rsid w:val="006B4F9B"/>
    <w:rsid w:val="006B544C"/>
    <w:rsid w:val="006C2C1D"/>
    <w:rsid w:val="006C30BD"/>
    <w:rsid w:val="006C5623"/>
    <w:rsid w:val="006C67CC"/>
    <w:rsid w:val="006D168E"/>
    <w:rsid w:val="006E0AB7"/>
    <w:rsid w:val="006E16AF"/>
    <w:rsid w:val="006E6A22"/>
    <w:rsid w:val="006E6E10"/>
    <w:rsid w:val="006E7B8C"/>
    <w:rsid w:val="006F03DC"/>
    <w:rsid w:val="006F1C43"/>
    <w:rsid w:val="006F67B5"/>
    <w:rsid w:val="006F67B9"/>
    <w:rsid w:val="0070093F"/>
    <w:rsid w:val="00702288"/>
    <w:rsid w:val="007045A2"/>
    <w:rsid w:val="007049DF"/>
    <w:rsid w:val="00704C7E"/>
    <w:rsid w:val="00705B10"/>
    <w:rsid w:val="00706078"/>
    <w:rsid w:val="007103A1"/>
    <w:rsid w:val="0071052E"/>
    <w:rsid w:val="00711AAB"/>
    <w:rsid w:val="00721797"/>
    <w:rsid w:val="0072633C"/>
    <w:rsid w:val="00726D3E"/>
    <w:rsid w:val="00731F4C"/>
    <w:rsid w:val="007369A7"/>
    <w:rsid w:val="007423D3"/>
    <w:rsid w:val="00743C43"/>
    <w:rsid w:val="00747C1C"/>
    <w:rsid w:val="0075072A"/>
    <w:rsid w:val="00751540"/>
    <w:rsid w:val="0076102E"/>
    <w:rsid w:val="00761279"/>
    <w:rsid w:val="00763935"/>
    <w:rsid w:val="00766766"/>
    <w:rsid w:val="00767F56"/>
    <w:rsid w:val="00775AEE"/>
    <w:rsid w:val="007765FA"/>
    <w:rsid w:val="00782B70"/>
    <w:rsid w:val="00785F41"/>
    <w:rsid w:val="0079112B"/>
    <w:rsid w:val="00791620"/>
    <w:rsid w:val="00792086"/>
    <w:rsid w:val="00793BCF"/>
    <w:rsid w:val="0079457C"/>
    <w:rsid w:val="00795BEC"/>
    <w:rsid w:val="0079670E"/>
    <w:rsid w:val="007A0A9A"/>
    <w:rsid w:val="007A1F54"/>
    <w:rsid w:val="007A405A"/>
    <w:rsid w:val="007A55E8"/>
    <w:rsid w:val="007B277B"/>
    <w:rsid w:val="007B34F4"/>
    <w:rsid w:val="007C2408"/>
    <w:rsid w:val="007D188D"/>
    <w:rsid w:val="007D19AB"/>
    <w:rsid w:val="007D2C73"/>
    <w:rsid w:val="007D5F39"/>
    <w:rsid w:val="007E2E5B"/>
    <w:rsid w:val="007E5C75"/>
    <w:rsid w:val="007F1327"/>
    <w:rsid w:val="007F7B11"/>
    <w:rsid w:val="007F7FD2"/>
    <w:rsid w:val="00800A84"/>
    <w:rsid w:val="00805A39"/>
    <w:rsid w:val="00807D02"/>
    <w:rsid w:val="008135DC"/>
    <w:rsid w:val="0082186D"/>
    <w:rsid w:val="008327DC"/>
    <w:rsid w:val="00834AD8"/>
    <w:rsid w:val="00835582"/>
    <w:rsid w:val="00835EE2"/>
    <w:rsid w:val="0084433C"/>
    <w:rsid w:val="00851130"/>
    <w:rsid w:val="00855D79"/>
    <w:rsid w:val="00860F43"/>
    <w:rsid w:val="00866C54"/>
    <w:rsid w:val="0087026F"/>
    <w:rsid w:val="008709D2"/>
    <w:rsid w:val="00871DF4"/>
    <w:rsid w:val="008820DE"/>
    <w:rsid w:val="00884D27"/>
    <w:rsid w:val="008857ED"/>
    <w:rsid w:val="0089160B"/>
    <w:rsid w:val="008A4FFC"/>
    <w:rsid w:val="008A63EB"/>
    <w:rsid w:val="008B0240"/>
    <w:rsid w:val="008B03DB"/>
    <w:rsid w:val="008B4894"/>
    <w:rsid w:val="008B709D"/>
    <w:rsid w:val="008B7773"/>
    <w:rsid w:val="008C063A"/>
    <w:rsid w:val="008C5F87"/>
    <w:rsid w:val="008C66F0"/>
    <w:rsid w:val="008D1777"/>
    <w:rsid w:val="008D68E8"/>
    <w:rsid w:val="008E0CAB"/>
    <w:rsid w:val="008E2992"/>
    <w:rsid w:val="008E3304"/>
    <w:rsid w:val="008E5BF7"/>
    <w:rsid w:val="008F2A25"/>
    <w:rsid w:val="00902AE1"/>
    <w:rsid w:val="00902E9F"/>
    <w:rsid w:val="00904576"/>
    <w:rsid w:val="00906CCF"/>
    <w:rsid w:val="00914853"/>
    <w:rsid w:val="00915C5C"/>
    <w:rsid w:val="00917A45"/>
    <w:rsid w:val="00923485"/>
    <w:rsid w:val="009247B1"/>
    <w:rsid w:val="00924932"/>
    <w:rsid w:val="0092725B"/>
    <w:rsid w:val="00927291"/>
    <w:rsid w:val="009310E5"/>
    <w:rsid w:val="00931AB5"/>
    <w:rsid w:val="00932263"/>
    <w:rsid w:val="00937694"/>
    <w:rsid w:val="009429D3"/>
    <w:rsid w:val="00944A71"/>
    <w:rsid w:val="009530A8"/>
    <w:rsid w:val="00955CE8"/>
    <w:rsid w:val="00956638"/>
    <w:rsid w:val="009625E7"/>
    <w:rsid w:val="0097520D"/>
    <w:rsid w:val="00985465"/>
    <w:rsid w:val="0098691F"/>
    <w:rsid w:val="009916C1"/>
    <w:rsid w:val="00992A4E"/>
    <w:rsid w:val="009941FB"/>
    <w:rsid w:val="0099464B"/>
    <w:rsid w:val="00996B4B"/>
    <w:rsid w:val="00996CE7"/>
    <w:rsid w:val="009978CA"/>
    <w:rsid w:val="009A1249"/>
    <w:rsid w:val="009A1530"/>
    <w:rsid w:val="009A23DC"/>
    <w:rsid w:val="009A2B66"/>
    <w:rsid w:val="009A3532"/>
    <w:rsid w:val="009A5213"/>
    <w:rsid w:val="009A5BED"/>
    <w:rsid w:val="009B2762"/>
    <w:rsid w:val="009B32ED"/>
    <w:rsid w:val="009B33C7"/>
    <w:rsid w:val="009B47E0"/>
    <w:rsid w:val="009C41F9"/>
    <w:rsid w:val="009C46D6"/>
    <w:rsid w:val="009C71F0"/>
    <w:rsid w:val="009D203F"/>
    <w:rsid w:val="009D34EA"/>
    <w:rsid w:val="009D423F"/>
    <w:rsid w:val="009D6E6B"/>
    <w:rsid w:val="009E4030"/>
    <w:rsid w:val="009E40FF"/>
    <w:rsid w:val="009F03B8"/>
    <w:rsid w:val="009F47D2"/>
    <w:rsid w:val="00A02493"/>
    <w:rsid w:val="00A02F6D"/>
    <w:rsid w:val="00A02F9D"/>
    <w:rsid w:val="00A0457D"/>
    <w:rsid w:val="00A07CC8"/>
    <w:rsid w:val="00A1111A"/>
    <w:rsid w:val="00A12133"/>
    <w:rsid w:val="00A12786"/>
    <w:rsid w:val="00A14079"/>
    <w:rsid w:val="00A17D87"/>
    <w:rsid w:val="00A22519"/>
    <w:rsid w:val="00A22F16"/>
    <w:rsid w:val="00A22F47"/>
    <w:rsid w:val="00A23F3F"/>
    <w:rsid w:val="00A24959"/>
    <w:rsid w:val="00A308A1"/>
    <w:rsid w:val="00A3770D"/>
    <w:rsid w:val="00A40EC4"/>
    <w:rsid w:val="00A50F5C"/>
    <w:rsid w:val="00A52043"/>
    <w:rsid w:val="00A52393"/>
    <w:rsid w:val="00A5297B"/>
    <w:rsid w:val="00A529BA"/>
    <w:rsid w:val="00A52C26"/>
    <w:rsid w:val="00A530F4"/>
    <w:rsid w:val="00A60F66"/>
    <w:rsid w:val="00A619B4"/>
    <w:rsid w:val="00A632FA"/>
    <w:rsid w:val="00A67080"/>
    <w:rsid w:val="00A717B6"/>
    <w:rsid w:val="00A765AE"/>
    <w:rsid w:val="00A77E8F"/>
    <w:rsid w:val="00A82555"/>
    <w:rsid w:val="00A8285C"/>
    <w:rsid w:val="00A854F0"/>
    <w:rsid w:val="00A93808"/>
    <w:rsid w:val="00A93C16"/>
    <w:rsid w:val="00A94562"/>
    <w:rsid w:val="00A9656B"/>
    <w:rsid w:val="00AA1D3A"/>
    <w:rsid w:val="00AA4F9F"/>
    <w:rsid w:val="00AA6108"/>
    <w:rsid w:val="00AA6979"/>
    <w:rsid w:val="00AA7E65"/>
    <w:rsid w:val="00AB1564"/>
    <w:rsid w:val="00AB5418"/>
    <w:rsid w:val="00AB7A9D"/>
    <w:rsid w:val="00AC12FB"/>
    <w:rsid w:val="00AC221E"/>
    <w:rsid w:val="00AC2991"/>
    <w:rsid w:val="00AC55AE"/>
    <w:rsid w:val="00AC597A"/>
    <w:rsid w:val="00AC5DDB"/>
    <w:rsid w:val="00AD272A"/>
    <w:rsid w:val="00AD2D09"/>
    <w:rsid w:val="00AD320C"/>
    <w:rsid w:val="00AD3AAF"/>
    <w:rsid w:val="00AE6205"/>
    <w:rsid w:val="00AE62CD"/>
    <w:rsid w:val="00AE69E8"/>
    <w:rsid w:val="00AF1DA6"/>
    <w:rsid w:val="00AF227A"/>
    <w:rsid w:val="00AF4B11"/>
    <w:rsid w:val="00AF5B2E"/>
    <w:rsid w:val="00AF6012"/>
    <w:rsid w:val="00B0055C"/>
    <w:rsid w:val="00B02A55"/>
    <w:rsid w:val="00B02C31"/>
    <w:rsid w:val="00B05A85"/>
    <w:rsid w:val="00B0610F"/>
    <w:rsid w:val="00B106EB"/>
    <w:rsid w:val="00B122C2"/>
    <w:rsid w:val="00B12EE1"/>
    <w:rsid w:val="00B13D6A"/>
    <w:rsid w:val="00B2385C"/>
    <w:rsid w:val="00B25366"/>
    <w:rsid w:val="00B25FCC"/>
    <w:rsid w:val="00B34542"/>
    <w:rsid w:val="00B451CE"/>
    <w:rsid w:val="00B55454"/>
    <w:rsid w:val="00B554DF"/>
    <w:rsid w:val="00B57377"/>
    <w:rsid w:val="00B61DDB"/>
    <w:rsid w:val="00B6275C"/>
    <w:rsid w:val="00B632CB"/>
    <w:rsid w:val="00B6522F"/>
    <w:rsid w:val="00B67301"/>
    <w:rsid w:val="00B71DE6"/>
    <w:rsid w:val="00B74756"/>
    <w:rsid w:val="00B75F06"/>
    <w:rsid w:val="00B76ADD"/>
    <w:rsid w:val="00B77F45"/>
    <w:rsid w:val="00B82C9A"/>
    <w:rsid w:val="00B83695"/>
    <w:rsid w:val="00B93824"/>
    <w:rsid w:val="00B95496"/>
    <w:rsid w:val="00BA06FB"/>
    <w:rsid w:val="00BA0A6B"/>
    <w:rsid w:val="00BA442B"/>
    <w:rsid w:val="00BA480E"/>
    <w:rsid w:val="00BA736C"/>
    <w:rsid w:val="00BB1DC0"/>
    <w:rsid w:val="00BB6199"/>
    <w:rsid w:val="00BC0B51"/>
    <w:rsid w:val="00BC17F5"/>
    <w:rsid w:val="00BC6455"/>
    <w:rsid w:val="00BC7849"/>
    <w:rsid w:val="00BD2CCC"/>
    <w:rsid w:val="00BD7E75"/>
    <w:rsid w:val="00BE31C9"/>
    <w:rsid w:val="00BE5C21"/>
    <w:rsid w:val="00BE6D1A"/>
    <w:rsid w:val="00BF1411"/>
    <w:rsid w:val="00BF26E7"/>
    <w:rsid w:val="00BF2A66"/>
    <w:rsid w:val="00BF2F7A"/>
    <w:rsid w:val="00BF3039"/>
    <w:rsid w:val="00BF607E"/>
    <w:rsid w:val="00C02A9B"/>
    <w:rsid w:val="00C02C28"/>
    <w:rsid w:val="00C038D4"/>
    <w:rsid w:val="00C0483C"/>
    <w:rsid w:val="00C07257"/>
    <w:rsid w:val="00C103F7"/>
    <w:rsid w:val="00C122EE"/>
    <w:rsid w:val="00C12728"/>
    <w:rsid w:val="00C14F14"/>
    <w:rsid w:val="00C14FDC"/>
    <w:rsid w:val="00C150ED"/>
    <w:rsid w:val="00C25F84"/>
    <w:rsid w:val="00C2602F"/>
    <w:rsid w:val="00C33C31"/>
    <w:rsid w:val="00C35188"/>
    <w:rsid w:val="00C35716"/>
    <w:rsid w:val="00C42C59"/>
    <w:rsid w:val="00C43BD5"/>
    <w:rsid w:val="00C442DD"/>
    <w:rsid w:val="00C45EB8"/>
    <w:rsid w:val="00C4732D"/>
    <w:rsid w:val="00C54569"/>
    <w:rsid w:val="00C546F8"/>
    <w:rsid w:val="00C556F6"/>
    <w:rsid w:val="00C70D3A"/>
    <w:rsid w:val="00C72D10"/>
    <w:rsid w:val="00C730DC"/>
    <w:rsid w:val="00C74988"/>
    <w:rsid w:val="00C76B69"/>
    <w:rsid w:val="00C83149"/>
    <w:rsid w:val="00C9090B"/>
    <w:rsid w:val="00C925E3"/>
    <w:rsid w:val="00C93102"/>
    <w:rsid w:val="00C957BE"/>
    <w:rsid w:val="00C9599F"/>
    <w:rsid w:val="00CA2CA9"/>
    <w:rsid w:val="00CA491B"/>
    <w:rsid w:val="00CA5958"/>
    <w:rsid w:val="00CC2BF0"/>
    <w:rsid w:val="00CE153E"/>
    <w:rsid w:val="00CE2530"/>
    <w:rsid w:val="00CE3F24"/>
    <w:rsid w:val="00CE567C"/>
    <w:rsid w:val="00CF3545"/>
    <w:rsid w:val="00CF4389"/>
    <w:rsid w:val="00CF5B75"/>
    <w:rsid w:val="00D03166"/>
    <w:rsid w:val="00D04BE1"/>
    <w:rsid w:val="00D07FAC"/>
    <w:rsid w:val="00D23C49"/>
    <w:rsid w:val="00D248A4"/>
    <w:rsid w:val="00D24D72"/>
    <w:rsid w:val="00D36A2F"/>
    <w:rsid w:val="00D56AD9"/>
    <w:rsid w:val="00D63DE0"/>
    <w:rsid w:val="00D671CE"/>
    <w:rsid w:val="00D712EB"/>
    <w:rsid w:val="00D9546A"/>
    <w:rsid w:val="00D96260"/>
    <w:rsid w:val="00D96E7D"/>
    <w:rsid w:val="00DA43A4"/>
    <w:rsid w:val="00DA447F"/>
    <w:rsid w:val="00DA6460"/>
    <w:rsid w:val="00DA65B7"/>
    <w:rsid w:val="00DB00A5"/>
    <w:rsid w:val="00DB31EA"/>
    <w:rsid w:val="00DB55E9"/>
    <w:rsid w:val="00DC09A2"/>
    <w:rsid w:val="00DE6663"/>
    <w:rsid w:val="00DE6C95"/>
    <w:rsid w:val="00DF3008"/>
    <w:rsid w:val="00DF37C5"/>
    <w:rsid w:val="00DF41A9"/>
    <w:rsid w:val="00DF4C2D"/>
    <w:rsid w:val="00E00AA1"/>
    <w:rsid w:val="00E03622"/>
    <w:rsid w:val="00E0389F"/>
    <w:rsid w:val="00E130EA"/>
    <w:rsid w:val="00E20976"/>
    <w:rsid w:val="00E21E09"/>
    <w:rsid w:val="00E24212"/>
    <w:rsid w:val="00E24449"/>
    <w:rsid w:val="00E24E80"/>
    <w:rsid w:val="00E259B1"/>
    <w:rsid w:val="00E3113B"/>
    <w:rsid w:val="00E317DA"/>
    <w:rsid w:val="00E31DC9"/>
    <w:rsid w:val="00E3391F"/>
    <w:rsid w:val="00E401DE"/>
    <w:rsid w:val="00E4665B"/>
    <w:rsid w:val="00E640A9"/>
    <w:rsid w:val="00E7075D"/>
    <w:rsid w:val="00E84597"/>
    <w:rsid w:val="00E86D50"/>
    <w:rsid w:val="00E94570"/>
    <w:rsid w:val="00E9482D"/>
    <w:rsid w:val="00E94F06"/>
    <w:rsid w:val="00E965EE"/>
    <w:rsid w:val="00EA21BD"/>
    <w:rsid w:val="00EA2449"/>
    <w:rsid w:val="00EB13EC"/>
    <w:rsid w:val="00EB5F1A"/>
    <w:rsid w:val="00EB70CA"/>
    <w:rsid w:val="00EB7672"/>
    <w:rsid w:val="00EC0E95"/>
    <w:rsid w:val="00EC17EF"/>
    <w:rsid w:val="00EC5854"/>
    <w:rsid w:val="00EC5B49"/>
    <w:rsid w:val="00EC7AAA"/>
    <w:rsid w:val="00ED1318"/>
    <w:rsid w:val="00ED1A4F"/>
    <w:rsid w:val="00ED279A"/>
    <w:rsid w:val="00ED314F"/>
    <w:rsid w:val="00ED3211"/>
    <w:rsid w:val="00ED34B1"/>
    <w:rsid w:val="00ED5F5B"/>
    <w:rsid w:val="00ED6FB8"/>
    <w:rsid w:val="00EE4332"/>
    <w:rsid w:val="00EE4569"/>
    <w:rsid w:val="00EE4BBD"/>
    <w:rsid w:val="00EF3608"/>
    <w:rsid w:val="00EF57C3"/>
    <w:rsid w:val="00F02EF3"/>
    <w:rsid w:val="00F0439D"/>
    <w:rsid w:val="00F10A72"/>
    <w:rsid w:val="00F17C9C"/>
    <w:rsid w:val="00F2594C"/>
    <w:rsid w:val="00F25E46"/>
    <w:rsid w:val="00F2642B"/>
    <w:rsid w:val="00F26B4E"/>
    <w:rsid w:val="00F30945"/>
    <w:rsid w:val="00F30FB8"/>
    <w:rsid w:val="00F34B10"/>
    <w:rsid w:val="00F4270A"/>
    <w:rsid w:val="00F43ACD"/>
    <w:rsid w:val="00F50CD6"/>
    <w:rsid w:val="00F56B1A"/>
    <w:rsid w:val="00F575C9"/>
    <w:rsid w:val="00F6391B"/>
    <w:rsid w:val="00F72D67"/>
    <w:rsid w:val="00F76362"/>
    <w:rsid w:val="00F815CE"/>
    <w:rsid w:val="00F8463B"/>
    <w:rsid w:val="00F8515A"/>
    <w:rsid w:val="00F87FAA"/>
    <w:rsid w:val="00F92886"/>
    <w:rsid w:val="00F942D1"/>
    <w:rsid w:val="00FA1DDF"/>
    <w:rsid w:val="00FB0FC1"/>
    <w:rsid w:val="00FB2120"/>
    <w:rsid w:val="00FB2F05"/>
    <w:rsid w:val="00FB690A"/>
    <w:rsid w:val="00FC104F"/>
    <w:rsid w:val="00FD4A37"/>
    <w:rsid w:val="00FD55FF"/>
    <w:rsid w:val="00FD7F70"/>
    <w:rsid w:val="00FE22FA"/>
    <w:rsid w:val="00FE263A"/>
    <w:rsid w:val="00FE3C5F"/>
    <w:rsid w:val="00FE4AED"/>
    <w:rsid w:val="00FE6E95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4FFAF"/>
  <w15:docId w15:val="{D7F7C2EB-0F95-4C11-ACD4-DFEADB9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C03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B2832B69204499D963A98C3638EEF" ma:contentTypeVersion="12" ma:contentTypeDescription="Create a new document." ma:contentTypeScope="" ma:versionID="90c4d64c25f85e6011914b5b3a5bdde6">
  <xsd:schema xmlns:xsd="http://www.w3.org/2001/XMLSchema" xmlns:xs="http://www.w3.org/2001/XMLSchema" xmlns:p="http://schemas.microsoft.com/office/2006/metadata/properties" xmlns:ns3="44a56295-c29e-4898-8136-a54736c65b82" xmlns:ns4="32690d91-1692-456b-a8a3-c232e2b60c06" targetNamespace="http://schemas.microsoft.com/office/2006/metadata/properties" ma:root="true" ma:fieldsID="334ad1bda80aaa8e9c38451b8b2bcbda" ns3:_="" ns4:_="">
    <xsd:import namespace="44a56295-c29e-4898-8136-a54736c65b82"/>
    <xsd:import namespace="32690d91-1692-456b-a8a3-c232e2b60c06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0d91-1692-456b-a8a3-c232e2b60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03EA-4FC4-46F3-81ED-22397A197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40E76-3B3F-4088-885A-9C3F5A74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32690d91-1692-456b-a8a3-c232e2b60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0A0DA-3B47-4799-9EE1-BB3EAACCB36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A9F6E9-9972-47E9-91EC-60B4995C68EB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5.xml><?xml version="1.0" encoding="utf-8"?>
<ds:datastoreItem xmlns:ds="http://schemas.openxmlformats.org/officeDocument/2006/customXml" ds:itemID="{F926DC5B-0C54-4E42-A87E-5F7336E0D771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48976478-6752-4585-A119-F11BF534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5230</Words>
  <Characters>36909</Characters>
  <Application>Microsoft Office Word</Application>
  <DocSecurity>0</DocSecurity>
  <Lines>307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Majcherek, Dawid</dc:creator>
  <cp:lastModifiedBy>Królak-Buzakowska Joanna</cp:lastModifiedBy>
  <cp:revision>3</cp:revision>
  <cp:lastPrinted>2020-10-06T10:56:00Z</cp:lastPrinted>
  <dcterms:created xsi:type="dcterms:W3CDTF">2021-06-15T11:26:00Z</dcterms:created>
  <dcterms:modified xsi:type="dcterms:W3CDTF">2021-06-15T11:55:00Z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bf00c69a-1567-4fe8-a10a-3b11fdd01ac0</vt:lpwstr>
  </property>
  <property fmtid="{D5CDD505-2E9C-101B-9397-08002B2CF9AE}" pid="3" name="bjSaver">
    <vt:lpwstr>B7UflNl/bcH8W8Rupi3yzPYYKqvuGBU1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0x0101007FDB2832B69204499D963A98C3638EEF</vt:lpwstr>
  </property>
</Properties>
</file>