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19174" w14:textId="6D5AE87F" w:rsidR="009258FC" w:rsidRDefault="000C402E" w:rsidP="00EB4357">
      <w:pPr>
        <w:pStyle w:val="Tytu"/>
        <w:spacing w:before="7080"/>
        <w:jc w:val="center"/>
        <w:rPr>
          <w:color w:val="0F4761"/>
          <w:sz w:val="40"/>
          <w:szCs w:val="40"/>
        </w:rPr>
      </w:pPr>
      <w:r>
        <w:t xml:space="preserve">Ocena </w:t>
      </w:r>
      <w:r w:rsidR="00747D81">
        <w:t>n</w:t>
      </w:r>
      <w:r>
        <w:t xml:space="preserve">admiernych </w:t>
      </w:r>
      <w:r w:rsidR="00747D81">
        <w:t>k</w:t>
      </w:r>
      <w:r>
        <w:t>osztów</w:t>
      </w:r>
      <w:r w:rsidR="001F6C06" w:rsidRPr="001F6C06">
        <w:t xml:space="preserve"> zapewnienia dostępności cyfrowej</w:t>
      </w:r>
      <w:r w:rsidR="009258FC">
        <w:br w:type="page"/>
      </w:r>
    </w:p>
    <w:p w14:paraId="0D9C7664" w14:textId="200B972E" w:rsidR="00FC1DC8" w:rsidRDefault="009258FC" w:rsidP="009258FC">
      <w:pPr>
        <w:pStyle w:val="Nagwek1"/>
      </w:pPr>
      <w:r>
        <w:lastRenderedPageBreak/>
        <w:t>Wstęp</w:t>
      </w:r>
    </w:p>
    <w:p w14:paraId="12D087E9" w14:textId="585FD4A4" w:rsidR="00B72445" w:rsidRPr="00B72445" w:rsidRDefault="00003CE2" w:rsidP="00B72445">
      <w:r>
        <w:t>P</w:t>
      </w:r>
      <w:r w:rsidR="00B72445" w:rsidRPr="00B72445">
        <w:t xml:space="preserve">odmiot publiczny może odstąpić od zapewnienia dostępności cyfrowej określonych elementów strony internetowej lub aplikacji mobilnej, jeżeli </w:t>
      </w:r>
      <w:r w:rsidR="00F205B2">
        <w:t>takie</w:t>
      </w:r>
      <w:r w:rsidR="00F205B2" w:rsidRPr="00B72445">
        <w:t xml:space="preserve"> </w:t>
      </w:r>
      <w:r w:rsidR="00B72445" w:rsidRPr="00B72445">
        <w:t>zapewnienie wiązałoby się z poniesieniem nadmiernych kosztów.</w:t>
      </w:r>
      <w:r w:rsidRPr="00003CE2">
        <w:t xml:space="preserve"> </w:t>
      </w:r>
      <w:r>
        <w:t>Podstawą do tego jest</w:t>
      </w:r>
      <w:r w:rsidRPr="00B72445">
        <w:t xml:space="preserve"> art. 8 ust. 1 ustawy z dnia 4 kwietnia 2019 r. o dostępności cyfrowej stron internetowych i aplikacji mobilnych podmiotów publicznych (Dz.U. z 2023 r. poz. 1440),</w:t>
      </w:r>
    </w:p>
    <w:p w14:paraId="7A0FCDC2" w14:textId="7BB661DE" w:rsidR="00B72445" w:rsidRDefault="00B72445" w:rsidP="00B72445">
      <w:r w:rsidRPr="00B72445">
        <w:t xml:space="preserve">W takiej sytuacji </w:t>
      </w:r>
      <w:r w:rsidR="00003CE2">
        <w:t>należy</w:t>
      </w:r>
      <w:r w:rsidRPr="00B72445">
        <w:t xml:space="preserve"> sporządz</w:t>
      </w:r>
      <w:r w:rsidR="00003CE2">
        <w:t>ić</w:t>
      </w:r>
      <w:r w:rsidRPr="00B72445">
        <w:t xml:space="preserve"> ocen</w:t>
      </w:r>
      <w:r w:rsidR="00003CE2">
        <w:t>ę</w:t>
      </w:r>
      <w:r w:rsidRPr="00B72445">
        <w:t xml:space="preserve"> nadmiernych kosztów, zgodnie z wymogami określonymi w art. 8 ust. 3 ww. ustawy. Ocena ta powinna zawierać szczegółowe uzasadnienie, w tym m.in.:</w:t>
      </w:r>
    </w:p>
    <w:p w14:paraId="222957E8" w14:textId="712C108E" w:rsidR="00B72445" w:rsidRDefault="00B72445" w:rsidP="00B72445">
      <w:pPr>
        <w:pStyle w:val="Akapitzlist"/>
        <w:numPr>
          <w:ilvl w:val="0"/>
          <w:numId w:val="13"/>
        </w:numPr>
      </w:pPr>
      <w:r w:rsidRPr="00B72445">
        <w:t>szacunkowy koszt wdrożenia rozwiązań zapewniających dostępność,</w:t>
      </w:r>
    </w:p>
    <w:p w14:paraId="438C9865" w14:textId="5E134ED7" w:rsidR="00B72445" w:rsidRDefault="00B72445" w:rsidP="00B72445">
      <w:pPr>
        <w:pStyle w:val="Akapitzlist"/>
        <w:numPr>
          <w:ilvl w:val="0"/>
          <w:numId w:val="13"/>
        </w:numPr>
      </w:pPr>
      <w:r w:rsidRPr="00B72445">
        <w:t>informację o dostępności technologii alternatywnych,</w:t>
      </w:r>
    </w:p>
    <w:p w14:paraId="64FAA2F9" w14:textId="7AEE5F6B" w:rsidR="00B72445" w:rsidRPr="00B72445" w:rsidRDefault="00B72445" w:rsidP="00B72445">
      <w:pPr>
        <w:pStyle w:val="Akapitzlist"/>
        <w:numPr>
          <w:ilvl w:val="0"/>
          <w:numId w:val="13"/>
        </w:numPr>
      </w:pPr>
      <w:r w:rsidRPr="00B72445">
        <w:t>ocenę wpływu braku dostępności na osoby ze szczególnymi potrzebami.</w:t>
      </w:r>
    </w:p>
    <w:p w14:paraId="7E4B2689" w14:textId="6779FE1A" w:rsidR="00B72445" w:rsidRPr="00B72445" w:rsidRDefault="00B72445" w:rsidP="00B72445">
      <w:r w:rsidRPr="00B72445">
        <w:t xml:space="preserve">Na nadmierne koszty </w:t>
      </w:r>
      <w:r w:rsidRPr="00B54213">
        <w:rPr>
          <w:b/>
          <w:bCs/>
        </w:rPr>
        <w:t>nie mogą</w:t>
      </w:r>
      <w:r w:rsidRPr="00B72445">
        <w:t xml:space="preserve"> </w:t>
      </w:r>
      <w:r w:rsidR="00F205B2">
        <w:t>powołać się</w:t>
      </w:r>
      <w:r w:rsidR="00F205B2" w:rsidRPr="00B72445">
        <w:t xml:space="preserve"> </w:t>
      </w:r>
      <w:r w:rsidRPr="00B72445">
        <w:t>podmioty, których</w:t>
      </w:r>
      <w:r w:rsidR="00921F42" w:rsidRPr="00921F42">
        <w:t xml:space="preserve"> zadaniem jest prowadzenie działalności na rzecz osób niepełnosprawnych lub osób starszych</w:t>
      </w:r>
      <w:r w:rsidRPr="00B72445">
        <w:t>.</w:t>
      </w:r>
    </w:p>
    <w:p w14:paraId="24124E2E" w14:textId="1FF7B8E7" w:rsidR="00B72445" w:rsidRPr="00B72445" w:rsidRDefault="00B72445" w:rsidP="00B72445">
      <w:r w:rsidRPr="00B72445">
        <w:t>Odstąpienie od zapewnienia dostępności może dotyczyć wyłącznie konkretnych</w:t>
      </w:r>
      <w:r w:rsidR="00921F42">
        <w:t xml:space="preserve"> i</w:t>
      </w:r>
      <w:r w:rsidRPr="00B72445">
        <w:t xml:space="preserve"> jednoznacznie wskazanych elementów strony internetowej lub aplikacji mobilnej. Nie jest dopuszczalne uzasadnianie braku dostępności całej witryny lub aplikacji </w:t>
      </w:r>
      <w:r w:rsidR="00921F42">
        <w:t>jedy</w:t>
      </w:r>
      <w:r w:rsidRPr="00B72445">
        <w:t>nie ograniczeniami budżetowymi.</w:t>
      </w:r>
    </w:p>
    <w:p w14:paraId="6D4E10A7" w14:textId="4B130756" w:rsidR="00B72445" w:rsidRPr="00B72445" w:rsidRDefault="00F205B2" w:rsidP="00B72445">
      <w:r>
        <w:t>P</w:t>
      </w:r>
      <w:r w:rsidR="00B72445" w:rsidRPr="00B72445">
        <w:t xml:space="preserve">owołanie się na nadmierne koszty nie zwalnia podmiotu z obowiązku zapewnienia dostępności cyfrowej w takim zakresie, w jakim jest to możliwe. Na przykład, jeżeli </w:t>
      </w:r>
      <w:r w:rsidR="00921F42" w:rsidRPr="00921F42">
        <w:t>przygotowanie napisów rozszerzonych do materiałów wideo nie jest możliwe ze względu na koszty, należy rozważyć zastosowanie automatycznych narzędzi do generowania napisów, co wiąże się z minimalnym nakładem pracy oraz środków finansowych</w:t>
      </w:r>
      <w:r w:rsidR="00B72445" w:rsidRPr="00B72445">
        <w:t>.</w:t>
      </w:r>
    </w:p>
    <w:p w14:paraId="66E1BD9E" w14:textId="7A7BB4BE" w:rsidR="00B72445" w:rsidRPr="00B72445" w:rsidRDefault="00F205B2" w:rsidP="00B72445">
      <w:r>
        <w:t>Aby</w:t>
      </w:r>
      <w:r w:rsidR="00B72445" w:rsidRPr="00B72445">
        <w:t xml:space="preserve"> ułatwi</w:t>
      </w:r>
      <w:r>
        <w:t>ć</w:t>
      </w:r>
      <w:r w:rsidR="00B72445" w:rsidRPr="00B72445">
        <w:t xml:space="preserve"> ocen</w:t>
      </w:r>
      <w:r>
        <w:t>ę</w:t>
      </w:r>
      <w:r w:rsidR="00B72445" w:rsidRPr="00B72445">
        <w:t xml:space="preserve"> nadmiernych kosztów, </w:t>
      </w:r>
      <w:r w:rsidR="00B72445" w:rsidRPr="00B54213">
        <w:rPr>
          <w:b/>
          <w:bCs/>
        </w:rPr>
        <w:t>udostępniamy przykładowy zakres informacji</w:t>
      </w:r>
      <w:r w:rsidR="00B72445" w:rsidRPr="00B72445">
        <w:t>, które mo</w:t>
      </w:r>
      <w:r>
        <w:t xml:space="preserve">żna </w:t>
      </w:r>
      <w:r w:rsidR="00B72445" w:rsidRPr="00B72445">
        <w:t>w niej uwzględni</w:t>
      </w:r>
      <w:r>
        <w:t>ć</w:t>
      </w:r>
      <w:r w:rsidR="00B72445" w:rsidRPr="00B72445">
        <w:t xml:space="preserve">. Dokument ten ma charakter pomocniczy i nie </w:t>
      </w:r>
      <w:r>
        <w:t>jest</w:t>
      </w:r>
      <w:r w:rsidRPr="00B72445">
        <w:t xml:space="preserve"> </w:t>
      </w:r>
      <w:r w:rsidR="00B72445" w:rsidRPr="00B72445">
        <w:t>obowiązując</w:t>
      </w:r>
      <w:r>
        <w:t>ym</w:t>
      </w:r>
      <w:r w:rsidR="00B72445" w:rsidRPr="00B72445">
        <w:t xml:space="preserve"> wzor</w:t>
      </w:r>
      <w:r>
        <w:t>em</w:t>
      </w:r>
      <w:r w:rsidR="00B72445" w:rsidRPr="00B72445">
        <w:t xml:space="preserve">. </w:t>
      </w:r>
      <w:r>
        <w:t xml:space="preserve">Ma </w:t>
      </w:r>
      <w:r w:rsidR="00B72445" w:rsidRPr="00B72445">
        <w:t>wskaza</w:t>
      </w:r>
      <w:r>
        <w:t>ć</w:t>
      </w:r>
      <w:r w:rsidR="00B72445" w:rsidRPr="00B72445">
        <w:t xml:space="preserve"> </w:t>
      </w:r>
      <w:r w:rsidR="00921F42">
        <w:t>kluczow</w:t>
      </w:r>
      <w:r>
        <w:t>e</w:t>
      </w:r>
      <w:r w:rsidR="00921F42">
        <w:t xml:space="preserve"> </w:t>
      </w:r>
      <w:r w:rsidR="00B72445" w:rsidRPr="00B72445">
        <w:t>obszar</w:t>
      </w:r>
      <w:r>
        <w:t>y</w:t>
      </w:r>
      <w:r w:rsidR="00B72445" w:rsidRPr="00B72445">
        <w:t>, które należy przeanalizować p</w:t>
      </w:r>
      <w:r>
        <w:t>rzy</w:t>
      </w:r>
      <w:r w:rsidR="00B72445" w:rsidRPr="00B72445">
        <w:t xml:space="preserve"> </w:t>
      </w:r>
      <w:r>
        <w:t>opracowywaniu</w:t>
      </w:r>
      <w:r w:rsidRPr="00B72445">
        <w:t xml:space="preserve"> </w:t>
      </w:r>
      <w:r w:rsidR="00B72445" w:rsidRPr="00B72445">
        <w:t>oceny.</w:t>
      </w:r>
    </w:p>
    <w:p w14:paraId="6A0EE20E" w14:textId="5B0BAC61" w:rsidR="00560989" w:rsidRDefault="00560989" w:rsidP="00BB124A">
      <w:pPr>
        <w:pStyle w:val="Nagwek2"/>
      </w:pPr>
      <w:r>
        <w:t>Ważne:</w:t>
      </w:r>
    </w:p>
    <w:p w14:paraId="32461D18" w14:textId="29447245" w:rsidR="00EB4357" w:rsidRDefault="00EB4357" w:rsidP="00EB4357">
      <w:pPr>
        <w:pStyle w:val="Akapitzlist"/>
        <w:numPr>
          <w:ilvl w:val="0"/>
          <w:numId w:val="11"/>
        </w:numPr>
      </w:pPr>
      <w:r>
        <w:t xml:space="preserve">Ocena nadmiernych kosztów powinna być przeprowadzona </w:t>
      </w:r>
      <w:r w:rsidRPr="00EB4357">
        <w:rPr>
          <w:b/>
          <w:bCs/>
        </w:rPr>
        <w:t>rzeteln</w:t>
      </w:r>
      <w:r w:rsidR="00921F42">
        <w:rPr>
          <w:b/>
          <w:bCs/>
        </w:rPr>
        <w:t>ie i</w:t>
      </w:r>
      <w:r w:rsidRPr="00EB4357">
        <w:rPr>
          <w:b/>
          <w:bCs/>
        </w:rPr>
        <w:t xml:space="preserve"> szczegółow</w:t>
      </w:r>
      <w:r w:rsidR="00921F42">
        <w:rPr>
          <w:b/>
          <w:bCs/>
        </w:rPr>
        <w:t>o, na podstawie</w:t>
      </w:r>
      <w:r w:rsidRPr="00EB4357">
        <w:rPr>
          <w:b/>
          <w:bCs/>
        </w:rPr>
        <w:t xml:space="preserve"> obiektywnych przesłan</w:t>
      </w:r>
      <w:r w:rsidR="00921F42">
        <w:rPr>
          <w:b/>
          <w:bCs/>
        </w:rPr>
        <w:t>ek</w:t>
      </w:r>
      <w:r w:rsidRPr="00EB4357">
        <w:rPr>
          <w:b/>
          <w:bCs/>
        </w:rPr>
        <w:t>.</w:t>
      </w:r>
      <w:r>
        <w:t xml:space="preserve"> </w:t>
      </w:r>
      <w:r w:rsidR="00921F42">
        <w:t>Należy w niej</w:t>
      </w:r>
      <w:r>
        <w:t xml:space="preserve"> uwzględniać wszystkie istotne okoliczności, które miały wpływ na podjęcie decyzji o </w:t>
      </w:r>
      <w:r w:rsidR="00921F42">
        <w:t>rezygnacji z</w:t>
      </w:r>
      <w:r>
        <w:t xml:space="preserve"> zapewnienia dostępności cyfrowej konkretnego elementu strony internetowej lub aplikacji mobilnej.</w:t>
      </w:r>
    </w:p>
    <w:p w14:paraId="3C501EBB" w14:textId="6BCF810E" w:rsidR="00EB4357" w:rsidRDefault="00EB4357" w:rsidP="00EB4357">
      <w:pPr>
        <w:pStyle w:val="Akapitzlist"/>
        <w:numPr>
          <w:ilvl w:val="0"/>
          <w:numId w:val="11"/>
        </w:numPr>
      </w:pPr>
      <w:r w:rsidRPr="00EB4357">
        <w:rPr>
          <w:b/>
          <w:bCs/>
        </w:rPr>
        <w:t>Nie można uzasadniać nadmiernych kosztów brakiem priorytetu, ograniczeniami czasowymi</w:t>
      </w:r>
      <w:r w:rsidR="00921F42">
        <w:rPr>
          <w:b/>
          <w:bCs/>
        </w:rPr>
        <w:t>,</w:t>
      </w:r>
      <w:r w:rsidRPr="00EB4357">
        <w:rPr>
          <w:b/>
          <w:bCs/>
        </w:rPr>
        <w:t xml:space="preserve"> brakiem kompetencji lub wiedzy technicznej</w:t>
      </w:r>
      <w:r>
        <w:t xml:space="preserve"> </w:t>
      </w:r>
      <w:r w:rsidR="00921F42">
        <w:t>w</w:t>
      </w:r>
      <w:r>
        <w:t xml:space="preserve"> podmio</w:t>
      </w:r>
      <w:r w:rsidR="00921F42">
        <w:t>cie</w:t>
      </w:r>
      <w:r>
        <w:t xml:space="preserve"> publiczn</w:t>
      </w:r>
      <w:r w:rsidR="00921F42">
        <w:t>ym</w:t>
      </w:r>
      <w:r>
        <w:t>.</w:t>
      </w:r>
    </w:p>
    <w:p w14:paraId="6835E246" w14:textId="2DA4C144" w:rsidR="00EB4357" w:rsidRDefault="00EB4357" w:rsidP="00EB4357">
      <w:pPr>
        <w:pStyle w:val="Akapitzlist"/>
        <w:numPr>
          <w:ilvl w:val="0"/>
          <w:numId w:val="11"/>
        </w:numPr>
      </w:pPr>
      <w:r>
        <w:t xml:space="preserve">Wyniki przeprowadzonej oceny muszą zostać </w:t>
      </w:r>
      <w:r w:rsidRPr="00EB4357">
        <w:rPr>
          <w:b/>
          <w:bCs/>
        </w:rPr>
        <w:t xml:space="preserve">udokumentowane i </w:t>
      </w:r>
      <w:r w:rsidR="00921F42">
        <w:rPr>
          <w:b/>
          <w:bCs/>
        </w:rPr>
        <w:t>do</w:t>
      </w:r>
      <w:r w:rsidRPr="00EB4357">
        <w:rPr>
          <w:b/>
          <w:bCs/>
        </w:rPr>
        <w:t>łączone do deklaracji dostępności</w:t>
      </w:r>
      <w:r>
        <w:t>, w części dotyczącej elementów</w:t>
      </w:r>
      <w:r w:rsidR="00921F42">
        <w:t xml:space="preserve">, które nie są </w:t>
      </w:r>
      <w:r>
        <w:t>dostępn</w:t>
      </w:r>
      <w:r w:rsidR="00921F42">
        <w:t>e</w:t>
      </w:r>
      <w:r>
        <w:t xml:space="preserve"> cyfrowo z powodu nadmiernych kosztów. W deklaracji należy także wskazać alternatywny sposób dostępu do treści lub funkcjonalności, które nie </w:t>
      </w:r>
      <w:r w:rsidR="00197393">
        <w:t>są</w:t>
      </w:r>
      <w:r>
        <w:t xml:space="preserve"> dostępn</w:t>
      </w:r>
      <w:r w:rsidR="00197393">
        <w:t>e</w:t>
      </w:r>
      <w:r>
        <w:t xml:space="preserve"> cyfrow</w:t>
      </w:r>
      <w:r w:rsidR="00197393">
        <w:t>o</w:t>
      </w:r>
      <w:r>
        <w:t>.</w:t>
      </w:r>
    </w:p>
    <w:p w14:paraId="11615B23" w14:textId="1C9BD809" w:rsidR="00FC1DC8" w:rsidRDefault="000C402E" w:rsidP="009258FC">
      <w:pPr>
        <w:pStyle w:val="Nagwek1"/>
      </w:pPr>
      <w:r>
        <w:t xml:space="preserve">Ocena </w:t>
      </w:r>
      <w:r w:rsidR="00747D81">
        <w:t>n</w:t>
      </w:r>
      <w:r>
        <w:t xml:space="preserve">admiernych </w:t>
      </w:r>
      <w:r w:rsidR="00747D81">
        <w:t>k</w:t>
      </w:r>
      <w:r>
        <w:t xml:space="preserve">osztów </w:t>
      </w:r>
      <w:r w:rsidR="00747D81">
        <w:t>z</w:t>
      </w:r>
      <w:r>
        <w:t xml:space="preserve">apewnienia </w:t>
      </w:r>
      <w:r w:rsidR="00747D81">
        <w:t>d</w:t>
      </w:r>
      <w:r>
        <w:t xml:space="preserve">ostępności </w:t>
      </w:r>
      <w:r w:rsidR="00747D81">
        <w:t>c</w:t>
      </w:r>
      <w:r>
        <w:t>yfrowej</w:t>
      </w:r>
      <w:r w:rsidR="00001237">
        <w:t xml:space="preserve"> — przykład</w:t>
      </w:r>
    </w:p>
    <w:p w14:paraId="5EF1F7E6" w14:textId="08F40E9B" w:rsidR="00FC1DC8" w:rsidRDefault="000C402E" w:rsidP="0094594B">
      <w:pPr>
        <w:pStyle w:val="Nagwek2"/>
        <w:numPr>
          <w:ilvl w:val="0"/>
          <w:numId w:val="14"/>
        </w:numPr>
      </w:pPr>
      <w:r w:rsidRPr="00BB124A">
        <w:t>Identyfikacja</w:t>
      </w:r>
      <w:r>
        <w:t xml:space="preserve"> elementu </w:t>
      </w:r>
      <w:r w:rsidR="00747D81">
        <w:t xml:space="preserve">do </w:t>
      </w:r>
      <w:r>
        <w:t>ocen</w:t>
      </w:r>
      <w:r w:rsidR="00747D81">
        <w:t>y</w:t>
      </w:r>
      <w:r>
        <w:t>:</w:t>
      </w:r>
    </w:p>
    <w:p w14:paraId="03C01683" w14:textId="77777777" w:rsidR="00FC1DC8" w:rsidRDefault="000C402E">
      <w:pPr>
        <w:pStyle w:val="Akapitzlist"/>
        <w:numPr>
          <w:ilvl w:val="0"/>
          <w:numId w:val="2"/>
        </w:numPr>
      </w:pPr>
      <w:r>
        <w:t>Nazwa strony internetowej / aplikacji mobilnej</w:t>
      </w:r>
    </w:p>
    <w:p w14:paraId="694C12CE" w14:textId="7CB3D739" w:rsidR="00EE3151" w:rsidRDefault="00EE3151">
      <w:pPr>
        <w:pStyle w:val="Akapitzlist"/>
        <w:numPr>
          <w:ilvl w:val="0"/>
          <w:numId w:val="2"/>
        </w:numPr>
      </w:pPr>
      <w:r>
        <w:lastRenderedPageBreak/>
        <w:t xml:space="preserve">Okres funkcjonowania strony internetowej / aplikacji mobilnej wraz z </w:t>
      </w:r>
      <w:r w:rsidR="00197393">
        <w:t xml:space="preserve">informacją, jak często publikowane są </w:t>
      </w:r>
      <w:r>
        <w:t>now</w:t>
      </w:r>
      <w:r w:rsidR="00197393">
        <w:t>e</w:t>
      </w:r>
      <w:r>
        <w:t xml:space="preserve"> treści</w:t>
      </w:r>
      <w:r w:rsidR="008635F4">
        <w:t xml:space="preserve">. </w:t>
      </w:r>
      <w:r w:rsidR="29B27F2E">
        <w:t>Jest to</w:t>
      </w:r>
      <w:r w:rsidR="00197393">
        <w:t xml:space="preserve"> szczególnie</w:t>
      </w:r>
      <w:r w:rsidR="29B27F2E">
        <w:t xml:space="preserve"> </w:t>
      </w:r>
      <w:r w:rsidR="00CB25B6">
        <w:t xml:space="preserve">ważne </w:t>
      </w:r>
      <w:r w:rsidR="008635F4">
        <w:t xml:space="preserve">w przypadku stron internetowych i aplikacji mobilnych tworzonych i publikowanych jedynie w określonym okresie, na przykład </w:t>
      </w:r>
      <w:r w:rsidR="00197393">
        <w:t>na potrzeby</w:t>
      </w:r>
      <w:r w:rsidR="008635F4">
        <w:t xml:space="preserve"> projekt</w:t>
      </w:r>
      <w:r w:rsidR="00197393">
        <w:t>ów realizowanych w określonym czasie</w:t>
      </w:r>
      <w:r w:rsidR="008635F4">
        <w:t xml:space="preserve">. </w:t>
      </w:r>
      <w:r w:rsidR="00197393">
        <w:t>Jeżeli</w:t>
      </w:r>
      <w:r w:rsidR="008635F4">
        <w:t xml:space="preserve"> stron</w:t>
      </w:r>
      <w:r w:rsidR="00197393">
        <w:t>a</w:t>
      </w:r>
      <w:r w:rsidR="008635F4">
        <w:t xml:space="preserve"> </w:t>
      </w:r>
      <w:r w:rsidR="003C4716">
        <w:t>internetow</w:t>
      </w:r>
      <w:r w:rsidR="00197393">
        <w:t>a</w:t>
      </w:r>
      <w:r w:rsidR="00CB25B6">
        <w:t xml:space="preserve"> </w:t>
      </w:r>
      <w:r w:rsidR="00197393">
        <w:t>/</w:t>
      </w:r>
      <w:r w:rsidR="003C4716">
        <w:t xml:space="preserve"> aplikacj</w:t>
      </w:r>
      <w:r w:rsidR="00197393">
        <w:t>a</w:t>
      </w:r>
      <w:r w:rsidR="003C4716">
        <w:t xml:space="preserve"> mobiln</w:t>
      </w:r>
      <w:r w:rsidR="00197393">
        <w:t>a</w:t>
      </w:r>
      <w:r w:rsidR="003C4716">
        <w:t xml:space="preserve"> </w:t>
      </w:r>
      <w:r w:rsidR="008635F4">
        <w:t>funkcjonuj</w:t>
      </w:r>
      <w:r w:rsidR="00197393">
        <w:t>e</w:t>
      </w:r>
      <w:r>
        <w:t xml:space="preserve"> </w:t>
      </w:r>
      <w:r w:rsidR="008635F4">
        <w:t>stale</w:t>
      </w:r>
      <w:r w:rsidR="00197393">
        <w:t>,</w:t>
      </w:r>
      <w:r w:rsidR="008635F4">
        <w:t xml:space="preserve"> </w:t>
      </w:r>
      <w:r w:rsidR="00197393">
        <w:t>wystarczy</w:t>
      </w:r>
      <w:r w:rsidR="003C4716">
        <w:t xml:space="preserve"> podać, że </w:t>
      </w:r>
      <w:r w:rsidR="00197393">
        <w:t>ma ona charakter stały</w:t>
      </w:r>
      <w:r w:rsidR="003C4716">
        <w:t>.</w:t>
      </w:r>
    </w:p>
    <w:p w14:paraId="7B2C5EE7" w14:textId="48000A02" w:rsidR="00FC1DC8" w:rsidRDefault="000C402E">
      <w:pPr>
        <w:pStyle w:val="Akapitzlist"/>
        <w:numPr>
          <w:ilvl w:val="0"/>
          <w:numId w:val="2"/>
        </w:numPr>
      </w:pPr>
      <w:r>
        <w:t>Konkretny element lub elementy, któr</w:t>
      </w:r>
      <w:r w:rsidR="00197393">
        <w:t>ych</w:t>
      </w:r>
      <w:r>
        <w:t xml:space="preserve"> dotyczy ocena </w:t>
      </w:r>
      <w:r w:rsidR="00197393">
        <w:t>(zgodnie z treścią art. 4 ust. 3 ustawy). Może to być</w:t>
      </w:r>
      <w:r>
        <w:t>(np. formularz, moduł wideo, dokument</w:t>
      </w:r>
      <w:r w:rsidR="00D30D5F">
        <w:t>.</w:t>
      </w:r>
    </w:p>
    <w:p w14:paraId="7041B069" w14:textId="34B61F7D" w:rsidR="00FC1DC8" w:rsidRPr="00AA7304" w:rsidRDefault="000C402E">
      <w:pPr>
        <w:pStyle w:val="Akapitzlist"/>
        <w:numPr>
          <w:ilvl w:val="0"/>
          <w:numId w:val="2"/>
        </w:numPr>
      </w:pPr>
      <w:r w:rsidRPr="00AA7304">
        <w:t>Opis funkcjonalności tego elementu</w:t>
      </w:r>
      <w:r w:rsidR="00197393" w:rsidRPr="00AA7304">
        <w:t>, czyli wskaza</w:t>
      </w:r>
      <w:r w:rsidR="00AA7304" w:rsidRPr="00AA7304">
        <w:t>nie</w:t>
      </w:r>
      <w:r w:rsidR="00197393" w:rsidRPr="00AA7304">
        <w:t>, do czego służy i jakie zadania lub działania umożliwia użytkownikowi</w:t>
      </w:r>
      <w:r w:rsidRPr="00AA7304">
        <w:t>.</w:t>
      </w:r>
    </w:p>
    <w:p w14:paraId="2319ACF3" w14:textId="76C50BE2" w:rsidR="00FC1DC8" w:rsidRDefault="002E5E5B" w:rsidP="0094594B">
      <w:pPr>
        <w:pStyle w:val="Nagwek2"/>
      </w:pPr>
      <w:r>
        <w:t>A</w:t>
      </w:r>
      <w:r w:rsidR="000C402E">
        <w:t>naliza wymagań dostępności cyfrowej:</w:t>
      </w:r>
    </w:p>
    <w:p w14:paraId="2B0CA30C" w14:textId="25E1FF41" w:rsidR="00FC1DC8" w:rsidRDefault="000C402E">
      <w:pPr>
        <w:pStyle w:val="Akapitzlist"/>
        <w:numPr>
          <w:ilvl w:val="0"/>
          <w:numId w:val="3"/>
        </w:numPr>
      </w:pPr>
      <w:r>
        <w:t xml:space="preserve">Wskazanie konkretnych kryteriów sukcesu </w:t>
      </w:r>
      <w:r w:rsidR="00F66CFC">
        <w:t>z</w:t>
      </w:r>
      <w:r>
        <w:t xml:space="preserve"> </w:t>
      </w:r>
      <w:r w:rsidR="002E5E5B">
        <w:t>z</w:t>
      </w:r>
      <w:r w:rsidR="00F66CFC">
        <w:t xml:space="preserve">ałącznika </w:t>
      </w:r>
      <w:r>
        <w:t>do ustawy, któr</w:t>
      </w:r>
      <w:r w:rsidR="00747D81">
        <w:t>ych</w:t>
      </w:r>
      <w:r>
        <w:t xml:space="preserve"> nie spełni</w:t>
      </w:r>
      <w:r w:rsidR="00747D81">
        <w:t>a</w:t>
      </w:r>
      <w:r>
        <w:t xml:space="preserve"> oceniany element.</w:t>
      </w:r>
    </w:p>
    <w:p w14:paraId="1ED7C2C0" w14:textId="5CC137ED" w:rsidR="00FC1DC8" w:rsidRDefault="000C402E">
      <w:pPr>
        <w:pStyle w:val="Akapitzlist"/>
        <w:numPr>
          <w:ilvl w:val="0"/>
          <w:numId w:val="3"/>
        </w:numPr>
      </w:pPr>
      <w:r>
        <w:t xml:space="preserve">Wskazanie innych problemów </w:t>
      </w:r>
      <w:r w:rsidR="00FD5B6E">
        <w:t xml:space="preserve">, </w:t>
      </w:r>
      <w:r w:rsidR="00FD5B6E" w:rsidRPr="00FD5B6E">
        <w:t>które nie są opisane w kryteriach sukcesu,</w:t>
      </w:r>
      <w:r w:rsidR="00FD5B6E">
        <w:t xml:space="preserve"> a </w:t>
      </w:r>
      <w:r w:rsidR="00F66CFC">
        <w:t>wiążą się</w:t>
      </w:r>
      <w:r w:rsidR="00747D81">
        <w:t xml:space="preserve"> z tym</w:t>
      </w:r>
      <w:r>
        <w:t xml:space="preserve"> element</w:t>
      </w:r>
      <w:r w:rsidR="00747D81">
        <w:t>em</w:t>
      </w:r>
      <w:r>
        <w:t xml:space="preserve">. </w:t>
      </w:r>
    </w:p>
    <w:p w14:paraId="56570CDA" w14:textId="394905A6" w:rsidR="00FC1DC8" w:rsidRDefault="000C402E">
      <w:pPr>
        <w:pStyle w:val="Akapitzlist"/>
        <w:numPr>
          <w:ilvl w:val="0"/>
          <w:numId w:val="3"/>
        </w:numPr>
      </w:pPr>
      <w:r>
        <w:t>Opis trudności technicznych i organizacyjnych</w:t>
      </w:r>
      <w:r w:rsidR="00FD5B6E">
        <w:t>, które utrudniają</w:t>
      </w:r>
      <w:r>
        <w:t xml:space="preserve"> </w:t>
      </w:r>
      <w:r w:rsidR="00220B1E">
        <w:t xml:space="preserve">dostosowanie </w:t>
      </w:r>
      <w:r>
        <w:t>danego elementu</w:t>
      </w:r>
      <w:r w:rsidR="00220B1E">
        <w:t xml:space="preserve"> (implementacją kryteriów)</w:t>
      </w:r>
      <w:r w:rsidR="00FD5B6E">
        <w:t xml:space="preserve"> do wymagań dostępności</w:t>
      </w:r>
      <w:r w:rsidR="00B54213">
        <w:t xml:space="preserve"> cyfrowej</w:t>
      </w:r>
      <w:r>
        <w:t>.</w:t>
      </w:r>
      <w:r w:rsidR="00C92F27">
        <w:t xml:space="preserve"> </w:t>
      </w:r>
      <w:r w:rsidR="00FD5B6E">
        <w:t>W szczególności należy wskazać t</w:t>
      </w:r>
      <w:r w:rsidR="00C92F27">
        <w:t>e aspekty wdrażania dostępności cyfrowej dla tego elementu</w:t>
      </w:r>
      <w:r w:rsidR="00FD5B6E">
        <w:t xml:space="preserve">, które powodują </w:t>
      </w:r>
      <w:r w:rsidR="00C92F27">
        <w:t>znacząc</w:t>
      </w:r>
      <w:r w:rsidR="00FD5B6E">
        <w:t>y wzrost</w:t>
      </w:r>
      <w:r w:rsidR="00C92F27">
        <w:t xml:space="preserve"> kosztów.</w:t>
      </w:r>
    </w:p>
    <w:p w14:paraId="6494DD83" w14:textId="15AC87D6" w:rsidR="00FC1DC8" w:rsidRDefault="000C402E">
      <w:pPr>
        <w:pStyle w:val="Akapitzlist"/>
        <w:numPr>
          <w:ilvl w:val="0"/>
          <w:numId w:val="3"/>
        </w:numPr>
      </w:pPr>
      <w:r>
        <w:t xml:space="preserve">Wskazanie, czy istnieją alternatywne sposoby prezentacji treści lub funkcjonalności, które mogłyby częściowo </w:t>
      </w:r>
      <w:r w:rsidR="00FD5B6E">
        <w:t>zmniejszyć</w:t>
      </w:r>
      <w:r>
        <w:t xml:space="preserve"> brak dostępności</w:t>
      </w:r>
      <w:r w:rsidR="00FD5B6E">
        <w:t xml:space="preserve">. Takie alternatywy należy krótko </w:t>
      </w:r>
      <w:r>
        <w:t>opis</w:t>
      </w:r>
      <w:r w:rsidR="00AF449C">
        <w:t>a</w:t>
      </w:r>
      <w:r w:rsidR="00FD5B6E">
        <w:t>ć</w:t>
      </w:r>
      <w:r w:rsidR="002E5E5B">
        <w:t xml:space="preserve"> (</w:t>
      </w:r>
      <w:r>
        <w:t>zgodnie z art. 7 ustawy</w:t>
      </w:r>
      <w:r w:rsidR="002E5E5B">
        <w:t>)</w:t>
      </w:r>
      <w:r>
        <w:t>.</w:t>
      </w:r>
    </w:p>
    <w:p w14:paraId="3E02CE05" w14:textId="77777777" w:rsidR="00FC1DC8" w:rsidRDefault="000C402E" w:rsidP="0094594B">
      <w:pPr>
        <w:pStyle w:val="Nagwek2"/>
      </w:pPr>
      <w:r>
        <w:t>Ocena szacowanych kosztów zapewnienia dostępności cyfrowej:</w:t>
      </w:r>
    </w:p>
    <w:p w14:paraId="0CA67115" w14:textId="28DAC275" w:rsidR="00FC1DC8" w:rsidRDefault="000C402E" w:rsidP="0094594B">
      <w:pPr>
        <w:pStyle w:val="Nagwek3"/>
      </w:pPr>
      <w:r>
        <w:t xml:space="preserve">Koszty </w:t>
      </w:r>
      <w:r w:rsidRPr="00BB124A">
        <w:t>finansowe</w:t>
      </w:r>
      <w:r w:rsidR="00AF449C">
        <w:t>.</w:t>
      </w:r>
    </w:p>
    <w:p w14:paraId="58FE2135" w14:textId="136FFC5A" w:rsidR="00F017D2" w:rsidRPr="00F017D2" w:rsidRDefault="00F017D2" w:rsidP="00F017D2">
      <w:pPr>
        <w:ind w:left="708"/>
      </w:pPr>
      <w:r>
        <w:t xml:space="preserve">Nie ma </w:t>
      </w:r>
      <w:r w:rsidR="00FD5B6E">
        <w:t>obowiązku</w:t>
      </w:r>
      <w:r>
        <w:t xml:space="preserve"> publikowania szczegółowego </w:t>
      </w:r>
      <w:r w:rsidR="00023D1F">
        <w:t>zestawienia</w:t>
      </w:r>
      <w:r>
        <w:t xml:space="preserve"> </w:t>
      </w:r>
      <w:r w:rsidR="00023D1F">
        <w:t>wszystkich</w:t>
      </w:r>
      <w:r>
        <w:t xml:space="preserve"> element</w:t>
      </w:r>
      <w:r w:rsidR="00023D1F">
        <w:t>ów</w:t>
      </w:r>
      <w:r>
        <w:t xml:space="preserve"> kosztów finansowych. Jednak </w:t>
      </w:r>
      <w:r w:rsidR="00023D1F">
        <w:t>przygotowując</w:t>
      </w:r>
      <w:r>
        <w:t xml:space="preserve"> ocen</w:t>
      </w:r>
      <w:r w:rsidR="00023D1F">
        <w:t>ę nadmiernych kosztów,</w:t>
      </w:r>
      <w:r>
        <w:t xml:space="preserve"> </w:t>
      </w:r>
      <w:r w:rsidR="00023D1F">
        <w:t xml:space="preserve">należy oprzeć się na </w:t>
      </w:r>
      <w:r>
        <w:t>realn</w:t>
      </w:r>
      <w:r w:rsidR="00023D1F">
        <w:t>ych</w:t>
      </w:r>
      <w:r>
        <w:t xml:space="preserve"> dan</w:t>
      </w:r>
      <w:r w:rsidR="00023D1F">
        <w:t>ych</w:t>
      </w:r>
      <w:r>
        <w:t xml:space="preserve"> finansow</w:t>
      </w:r>
      <w:r w:rsidR="00023D1F">
        <w:t>ych</w:t>
      </w:r>
      <w:r>
        <w:t>.</w:t>
      </w:r>
    </w:p>
    <w:p w14:paraId="684CEF3E" w14:textId="2DF057E4" w:rsidR="00FC1DC8" w:rsidRDefault="000C402E">
      <w:pPr>
        <w:pStyle w:val="Akapitzlist"/>
        <w:numPr>
          <w:ilvl w:val="1"/>
          <w:numId w:val="4"/>
        </w:numPr>
      </w:pPr>
      <w:r>
        <w:t xml:space="preserve">Szacowany koszt pracy </w:t>
      </w:r>
      <w:r w:rsidR="00C92F27" w:rsidRPr="00C92F27">
        <w:t xml:space="preserve">osób </w:t>
      </w:r>
      <w:r w:rsidR="00023D1F">
        <w:t xml:space="preserve">zaangażowanych </w:t>
      </w:r>
      <w:r w:rsidR="00BA4B01">
        <w:t>w</w:t>
      </w:r>
      <w:r w:rsidR="00C92F27" w:rsidRPr="00C92F27">
        <w:t xml:space="preserve"> </w:t>
      </w:r>
      <w:r w:rsidR="00BA4B01" w:rsidRPr="00C92F27">
        <w:t>zapewnieni</w:t>
      </w:r>
      <w:r w:rsidR="00BA4B01">
        <w:t>e</w:t>
      </w:r>
      <w:r w:rsidR="00BA4B01" w:rsidRPr="00C92F27">
        <w:t xml:space="preserve"> </w:t>
      </w:r>
      <w:r w:rsidR="00C92F27" w:rsidRPr="00C92F27">
        <w:t>dostępności</w:t>
      </w:r>
      <w:r w:rsidR="00BA4B01">
        <w:t xml:space="preserve"> cyfrowej</w:t>
      </w:r>
      <w:r w:rsidR="00023D1F">
        <w:t xml:space="preserve">, w tym osób wykonujących </w:t>
      </w:r>
      <w:r>
        <w:t xml:space="preserve">audyt, </w:t>
      </w:r>
      <w:r w:rsidR="00023D1F">
        <w:t>wdrażających</w:t>
      </w:r>
      <w:r>
        <w:t xml:space="preserve"> zmian</w:t>
      </w:r>
      <w:r w:rsidR="00023D1F">
        <w:t>y</w:t>
      </w:r>
      <w:r>
        <w:t xml:space="preserve">, </w:t>
      </w:r>
      <w:r w:rsidR="00023D1F">
        <w:t xml:space="preserve">przeprowadzających </w:t>
      </w:r>
      <w:r>
        <w:t>testy.</w:t>
      </w:r>
      <w:r w:rsidR="00C92F27">
        <w:t xml:space="preserve"> Dotyczy</w:t>
      </w:r>
      <w:r w:rsidR="00023D1F">
        <w:t xml:space="preserve"> </w:t>
      </w:r>
      <w:r w:rsidR="00023D1F" w:rsidRPr="00023D1F">
        <w:t>to zarówno pracowników instytucji, jak i ewentualnych podwykonawców</w:t>
      </w:r>
      <w:r w:rsidR="00C92F27">
        <w:t>.</w:t>
      </w:r>
    </w:p>
    <w:p w14:paraId="6A831BB3" w14:textId="2A78A8D7" w:rsidR="00FC1DC8" w:rsidRDefault="000C402E">
      <w:pPr>
        <w:pStyle w:val="Akapitzlist"/>
        <w:numPr>
          <w:ilvl w:val="1"/>
          <w:numId w:val="4"/>
        </w:numPr>
      </w:pPr>
      <w:r>
        <w:t>Koszty zakupu lub aktualizacji oprogramowania i narzędzi</w:t>
      </w:r>
      <w:r w:rsidR="00023D1F">
        <w:t>, które są</w:t>
      </w:r>
      <w:r>
        <w:t xml:space="preserve"> </w:t>
      </w:r>
      <w:r w:rsidR="00023D1F">
        <w:t>niezbędne</w:t>
      </w:r>
      <w:r>
        <w:t xml:space="preserve"> do zapewnienia dostępności</w:t>
      </w:r>
      <w:r w:rsidR="008A00C6">
        <w:t xml:space="preserve"> cyfrowej</w:t>
      </w:r>
      <w:r>
        <w:t>.</w:t>
      </w:r>
    </w:p>
    <w:p w14:paraId="42CA9DBC" w14:textId="40CA646C" w:rsidR="00FC1DC8" w:rsidRDefault="000C402E">
      <w:pPr>
        <w:pStyle w:val="Akapitzlist"/>
        <w:numPr>
          <w:ilvl w:val="1"/>
          <w:numId w:val="4"/>
        </w:numPr>
      </w:pPr>
      <w:r>
        <w:t>Koszty szkole</w:t>
      </w:r>
      <w:r w:rsidR="00023D1F">
        <w:t>ń</w:t>
      </w:r>
      <w:r>
        <w:t xml:space="preserve"> personelu</w:t>
      </w:r>
      <w:r w:rsidR="008126E8">
        <w:t xml:space="preserve"> </w:t>
      </w:r>
      <w:r w:rsidR="00023D1F">
        <w:t>w zakresie</w:t>
      </w:r>
      <w:r w:rsidR="008126E8">
        <w:t xml:space="preserve"> obsługi </w:t>
      </w:r>
      <w:r w:rsidR="00023D1F">
        <w:t xml:space="preserve">nowego </w:t>
      </w:r>
      <w:r w:rsidR="008126E8">
        <w:t>oprogramowania i narzędzi niezbędnych do zapewnienia dostępności cyfrowej</w:t>
      </w:r>
      <w:r>
        <w:t>.</w:t>
      </w:r>
    </w:p>
    <w:p w14:paraId="72120ADD" w14:textId="768B354E" w:rsidR="00FC1DC8" w:rsidRDefault="000C402E">
      <w:pPr>
        <w:pStyle w:val="Akapitzlist"/>
        <w:numPr>
          <w:ilvl w:val="1"/>
          <w:numId w:val="4"/>
        </w:numPr>
      </w:pPr>
      <w:r>
        <w:t>Inne przewidywane koszty bezpośrednie</w:t>
      </w:r>
      <w:r w:rsidR="00023D1F">
        <w:t>,</w:t>
      </w:r>
      <w:r w:rsidR="00023D1F" w:rsidRPr="00023D1F">
        <w:t xml:space="preserve"> które mają związek z dostosowaniem danego elementu do wymagań dostępności</w:t>
      </w:r>
      <w:r w:rsidR="00BA4B01">
        <w:t xml:space="preserve"> cyfrowej</w:t>
      </w:r>
      <w:r>
        <w:t>.</w:t>
      </w:r>
    </w:p>
    <w:p w14:paraId="3937AAC2" w14:textId="77777777" w:rsidR="00FC1DC8" w:rsidRDefault="000C402E" w:rsidP="0094594B">
      <w:pPr>
        <w:pStyle w:val="Nagwek3"/>
      </w:pPr>
      <w:r>
        <w:t>Koszty organizacyjne:</w:t>
      </w:r>
    </w:p>
    <w:p w14:paraId="2ACF0EA1" w14:textId="7C66C90B" w:rsidR="00F017D2" w:rsidRPr="00F017D2" w:rsidRDefault="00023D1F" w:rsidP="00F017D2">
      <w:pPr>
        <w:ind w:left="708"/>
      </w:pPr>
      <w:r>
        <w:t>Zakres s</w:t>
      </w:r>
      <w:r w:rsidR="00F017D2">
        <w:t>zczegółowoś</w:t>
      </w:r>
      <w:r>
        <w:t>ci</w:t>
      </w:r>
      <w:r w:rsidR="00F017D2">
        <w:t xml:space="preserve"> opisu każdego z poniższych </w:t>
      </w:r>
      <w:r w:rsidR="003118DC">
        <w:t xml:space="preserve">zagadnień </w:t>
      </w:r>
      <w:r>
        <w:t xml:space="preserve">powinien </w:t>
      </w:r>
      <w:r w:rsidR="00F017D2">
        <w:t>zależ</w:t>
      </w:r>
      <w:r>
        <w:t>eć</w:t>
      </w:r>
      <w:r w:rsidR="00F017D2">
        <w:t xml:space="preserve"> od tego, w jakim stopniu koszty organizacyjne mają wpływ na </w:t>
      </w:r>
      <w:r>
        <w:t xml:space="preserve">decyzję o </w:t>
      </w:r>
      <w:r w:rsidR="00F017D2">
        <w:t>odstąpieni</w:t>
      </w:r>
      <w:r>
        <w:t>u</w:t>
      </w:r>
      <w:r w:rsidR="00F017D2">
        <w:t xml:space="preserve"> od zapewnienia dostępności cyfrowej.</w:t>
      </w:r>
    </w:p>
    <w:p w14:paraId="52799FA4" w14:textId="564CB7F0" w:rsidR="00F16929" w:rsidRDefault="00F16929" w:rsidP="00F16929">
      <w:pPr>
        <w:pStyle w:val="Akapitzlist"/>
        <w:numPr>
          <w:ilvl w:val="1"/>
          <w:numId w:val="4"/>
        </w:numPr>
      </w:pPr>
      <w:r>
        <w:t>Złożoność dostosowania elementu</w:t>
      </w:r>
      <w:r w:rsidR="00023D1F">
        <w:t xml:space="preserve"> </w:t>
      </w:r>
      <w:r w:rsidR="00023D1F" w:rsidRPr="00023D1F">
        <w:t>do istniejącej infrastruktury i systemów wykorzystywanych przez podmiot</w:t>
      </w:r>
      <w:r>
        <w:t>.</w:t>
      </w:r>
    </w:p>
    <w:p w14:paraId="0E38E39A" w14:textId="5EDA2F2B" w:rsidR="00FC1DC8" w:rsidRDefault="000C402E">
      <w:pPr>
        <w:pStyle w:val="Akapitzlist"/>
        <w:numPr>
          <w:ilvl w:val="1"/>
          <w:numId w:val="4"/>
        </w:numPr>
      </w:pPr>
      <w:r>
        <w:t xml:space="preserve">Potencjalne zakłócenia w </w:t>
      </w:r>
      <w:r w:rsidR="008A00C6">
        <w:t xml:space="preserve">działaniu </w:t>
      </w:r>
      <w:r>
        <w:t>podmiotu</w:t>
      </w:r>
      <w:r w:rsidR="00023D1F">
        <w:t>, które mogą wystąpić w związku z</w:t>
      </w:r>
      <w:r>
        <w:t xml:space="preserve"> </w:t>
      </w:r>
      <w:r w:rsidR="00220B1E">
        <w:t>dostosowaniem</w:t>
      </w:r>
      <w:r w:rsidR="00BA4B01">
        <w:t xml:space="preserve"> i przeprowadzaniem</w:t>
      </w:r>
      <w:r w:rsidR="00220B1E">
        <w:t xml:space="preserve"> </w:t>
      </w:r>
      <w:r w:rsidR="00023D1F">
        <w:t>zmian</w:t>
      </w:r>
      <w:r>
        <w:t>.</w:t>
      </w:r>
    </w:p>
    <w:p w14:paraId="0191AB2E" w14:textId="756FFDEB" w:rsidR="00220B1E" w:rsidRDefault="000C402E" w:rsidP="00220B1E">
      <w:pPr>
        <w:pStyle w:val="Akapitzlist"/>
        <w:numPr>
          <w:ilvl w:val="1"/>
          <w:numId w:val="4"/>
        </w:numPr>
      </w:pPr>
      <w:r>
        <w:t xml:space="preserve">Możliwości </w:t>
      </w:r>
      <w:r w:rsidR="00220B1E">
        <w:t>dostosowania elementu</w:t>
      </w:r>
      <w:r w:rsidR="007D74C5">
        <w:t xml:space="preserve"> </w:t>
      </w:r>
      <w:r>
        <w:t xml:space="preserve">z uwzględnieniem specyfiki </w:t>
      </w:r>
      <w:r w:rsidR="00023D1F">
        <w:t xml:space="preserve">działania </w:t>
      </w:r>
      <w:r>
        <w:t>i organizacji podmiotu.</w:t>
      </w:r>
      <w:r w:rsidR="00220B1E" w:rsidRPr="00220B1E">
        <w:t xml:space="preserve"> </w:t>
      </w:r>
    </w:p>
    <w:p w14:paraId="4C8316F1" w14:textId="138430AE" w:rsidR="00FC1DC8" w:rsidRDefault="00023D1F" w:rsidP="00220B1E">
      <w:pPr>
        <w:pStyle w:val="Akapitzlist"/>
        <w:numPr>
          <w:ilvl w:val="1"/>
          <w:numId w:val="4"/>
        </w:numPr>
      </w:pPr>
      <w:r>
        <w:lastRenderedPageBreak/>
        <w:t>Szacowany c</w:t>
      </w:r>
      <w:r w:rsidR="00220B1E">
        <w:t xml:space="preserve">zas pracy zespołu </w:t>
      </w:r>
      <w:r>
        <w:t>potrzebny do</w:t>
      </w:r>
      <w:r w:rsidR="00220B1E">
        <w:t xml:space="preserve"> wprowadzeni</w:t>
      </w:r>
      <w:r>
        <w:t>a</w:t>
      </w:r>
      <w:r w:rsidR="00220B1E">
        <w:t xml:space="preserve"> zmian.</w:t>
      </w:r>
      <w:r w:rsidR="00B9734A">
        <w:t xml:space="preserve"> </w:t>
      </w:r>
      <w:r w:rsidR="00A31BC0">
        <w:t>Należy pamiętać, że s</w:t>
      </w:r>
      <w:r w:rsidR="00B9734A">
        <w:t>am nakład pracy nie może być jedyną przyczyną wskazania nadmiernych kosztów jako uzasadnienia niezapewnienia dostępności cyfrowej.</w:t>
      </w:r>
    </w:p>
    <w:p w14:paraId="5C14013A" w14:textId="65128162" w:rsidR="00FC1DC8" w:rsidRDefault="000C402E" w:rsidP="0094594B">
      <w:pPr>
        <w:pStyle w:val="Nagwek2"/>
      </w:pPr>
      <w:r>
        <w:t>Ocena szacowanej utraty korzyści</w:t>
      </w:r>
      <w:r w:rsidR="0093481B">
        <w:t xml:space="preserve"> z </w:t>
      </w:r>
      <w:r w:rsidR="00A31BC0">
        <w:t>nie</w:t>
      </w:r>
      <w:r w:rsidR="0093481B">
        <w:t>zapewnienia dostępności cyfrowej</w:t>
      </w:r>
      <w:r>
        <w:t>:</w:t>
      </w:r>
    </w:p>
    <w:p w14:paraId="067FFA92" w14:textId="44CCA80D" w:rsidR="00FC1DC8" w:rsidRDefault="000C402E">
      <w:pPr>
        <w:pStyle w:val="Akapitzlist"/>
        <w:numPr>
          <w:ilvl w:val="0"/>
          <w:numId w:val="5"/>
        </w:numPr>
      </w:pPr>
      <w:r>
        <w:t>O</w:t>
      </w:r>
      <w:r w:rsidR="00427665">
        <w:t>pisanie</w:t>
      </w:r>
      <w:r>
        <w:t xml:space="preserve">, w jaki sposób </w:t>
      </w:r>
      <w:r w:rsidR="002E5E5B">
        <w:t xml:space="preserve">brak </w:t>
      </w:r>
      <w:r>
        <w:t xml:space="preserve">dostępności cyfrowej danego elementu </w:t>
      </w:r>
      <w:r w:rsidR="00427665">
        <w:t xml:space="preserve">może utrudniać lub uniemożliwiać </w:t>
      </w:r>
      <w:r>
        <w:t>korzystani</w:t>
      </w:r>
      <w:r w:rsidR="00427665">
        <w:t>e</w:t>
      </w:r>
      <w:r>
        <w:t xml:space="preserve"> z niego </w:t>
      </w:r>
      <w:r w:rsidR="00427665">
        <w:t>osobom</w:t>
      </w:r>
      <w:r>
        <w:t xml:space="preserve"> z różnymi rodzajami niepełnosprawności (wzroku, słuchu, ruchową, poznawczą).</w:t>
      </w:r>
    </w:p>
    <w:p w14:paraId="76BC671C" w14:textId="5C5E9200" w:rsidR="00FC1DC8" w:rsidRDefault="000C402E">
      <w:pPr>
        <w:pStyle w:val="Akapitzlist"/>
        <w:numPr>
          <w:ilvl w:val="0"/>
          <w:numId w:val="5"/>
        </w:numPr>
      </w:pPr>
      <w:r>
        <w:t xml:space="preserve">Szacowana liczba użytkowników z niepełnosprawnościami, którzy potencjalnie nie skorzystają z </w:t>
      </w:r>
      <w:r w:rsidR="00F16929">
        <w:t xml:space="preserve">tego </w:t>
      </w:r>
      <w:r>
        <w:t>elementu.</w:t>
      </w:r>
    </w:p>
    <w:p w14:paraId="34CCA697" w14:textId="70857F87" w:rsidR="00FC1DC8" w:rsidRDefault="000C402E">
      <w:pPr>
        <w:pStyle w:val="Akapitzlist"/>
        <w:numPr>
          <w:ilvl w:val="0"/>
          <w:numId w:val="5"/>
        </w:numPr>
      </w:pPr>
      <w:r>
        <w:t>Znaczenie danego elementu z punktu widzenia realizacji zadań publicznych</w:t>
      </w:r>
      <w:r w:rsidR="00427665">
        <w:t>, szczególnie w kontekście potrzeb</w:t>
      </w:r>
      <w:r w:rsidR="00033EA7">
        <w:t xml:space="preserve"> osób </w:t>
      </w:r>
      <w:r>
        <w:t>z niepełnosprawnościami.</w:t>
      </w:r>
    </w:p>
    <w:p w14:paraId="2A1FCDCB" w14:textId="77777777" w:rsidR="00FC1DC8" w:rsidRDefault="000C402E" w:rsidP="0094594B">
      <w:pPr>
        <w:pStyle w:val="Nagwek2"/>
      </w:pPr>
      <w:r>
        <w:t>Ocena częstotliwości i czasu korzystania z elementu:</w:t>
      </w:r>
    </w:p>
    <w:p w14:paraId="21269D8B" w14:textId="0FAF719B" w:rsidR="00FC1DC8" w:rsidRDefault="00427665">
      <w:pPr>
        <w:pStyle w:val="Akapitzlist"/>
        <w:numPr>
          <w:ilvl w:val="0"/>
          <w:numId w:val="6"/>
        </w:numPr>
      </w:pPr>
      <w:r>
        <w:t>Wskazanie, j</w:t>
      </w:r>
      <w:r w:rsidR="000C402E">
        <w:t>ak często dany element jest używany przez użytkowników</w:t>
      </w:r>
      <w:r>
        <w:t>,</w:t>
      </w:r>
      <w:r w:rsidR="003A2FD7">
        <w:t xml:space="preserve"> bez </w:t>
      </w:r>
      <w:r>
        <w:t>roz</w:t>
      </w:r>
      <w:r w:rsidR="003A2FD7">
        <w:t xml:space="preserve">różniania </w:t>
      </w:r>
      <w:r>
        <w:t xml:space="preserve">na osoby </w:t>
      </w:r>
      <w:r w:rsidR="003A2FD7">
        <w:t xml:space="preserve">z niepełnosprawnościami </w:t>
      </w:r>
      <w:r>
        <w:t>i</w:t>
      </w:r>
      <w:r w:rsidR="003A2FD7">
        <w:t xml:space="preserve"> bez</w:t>
      </w:r>
      <w:r w:rsidR="007F428E">
        <w:t xml:space="preserve"> niepełnosprawności</w:t>
      </w:r>
      <w:r>
        <w:t>.</w:t>
      </w:r>
    </w:p>
    <w:p w14:paraId="6176AB32" w14:textId="39EAF133" w:rsidR="00FC1DC8" w:rsidRDefault="00427665">
      <w:pPr>
        <w:pStyle w:val="Akapitzlist"/>
        <w:numPr>
          <w:ilvl w:val="0"/>
          <w:numId w:val="6"/>
        </w:numPr>
      </w:pPr>
      <w:r>
        <w:t>Informacje</w:t>
      </w:r>
      <w:r w:rsidR="000C402E">
        <w:t xml:space="preserve"> dotyczące częstotliwości korzystania z tego elementu przez osoby z niepełnosprawnościami</w:t>
      </w:r>
      <w:r>
        <w:t xml:space="preserve">, zwłaszcza </w:t>
      </w:r>
      <w:r w:rsidR="000C402E">
        <w:t xml:space="preserve">jeśli </w:t>
      </w:r>
      <w:r w:rsidR="004B4D30">
        <w:t xml:space="preserve">element </w:t>
      </w:r>
      <w:r w:rsidR="003A2FD7">
        <w:t>był</w:t>
      </w:r>
      <w:r>
        <w:t xml:space="preserve"> wcześniej</w:t>
      </w:r>
      <w:r w:rsidR="004B4D30">
        <w:t xml:space="preserve"> </w:t>
      </w:r>
      <w:r w:rsidR="000C402E">
        <w:t>dostępn</w:t>
      </w:r>
      <w:r w:rsidR="00033EA7">
        <w:t xml:space="preserve">y </w:t>
      </w:r>
      <w:r w:rsidR="004B4D30">
        <w:t>cyfrowo</w:t>
      </w:r>
      <w:r>
        <w:t>.</w:t>
      </w:r>
    </w:p>
    <w:p w14:paraId="209284DE" w14:textId="3324BB1F" w:rsidR="00FC1DC8" w:rsidRDefault="00427665">
      <w:pPr>
        <w:pStyle w:val="Akapitzlist"/>
        <w:numPr>
          <w:ilvl w:val="0"/>
          <w:numId w:val="6"/>
        </w:numPr>
      </w:pPr>
      <w:r>
        <w:t>Wskazanie daty, o</w:t>
      </w:r>
      <w:r w:rsidR="00EE3151">
        <w:t>d kiedy niedostępny element jest udostępniony</w:t>
      </w:r>
      <w:r>
        <w:t>.</w:t>
      </w:r>
    </w:p>
    <w:p w14:paraId="2FFFFB1C" w14:textId="77777777" w:rsidR="00FC1DC8" w:rsidRDefault="000C402E" w:rsidP="0094594B">
      <w:pPr>
        <w:pStyle w:val="Nagwek2"/>
      </w:pPr>
      <w:r>
        <w:t xml:space="preserve"> Wielkość, zasoby i charakter podmiotu publicznego:</w:t>
      </w:r>
    </w:p>
    <w:p w14:paraId="0A513F6F" w14:textId="41715685" w:rsidR="00FC1DC8" w:rsidRDefault="000C402E">
      <w:pPr>
        <w:pStyle w:val="Akapitzlist"/>
        <w:numPr>
          <w:ilvl w:val="0"/>
          <w:numId w:val="7"/>
        </w:numPr>
      </w:pPr>
      <w:r>
        <w:t>Określenie wielkości podmiotu publicznego (np. liczba pracowników, budżet</w:t>
      </w:r>
      <w:r w:rsidR="00C007E6">
        <w:t>, budżet przeznaczony na stronę www lub aplikację mobilną, której dotyczy ocena</w:t>
      </w:r>
      <w:r>
        <w:t>).</w:t>
      </w:r>
    </w:p>
    <w:p w14:paraId="69FB4C21" w14:textId="77777777" w:rsidR="00FC1DC8" w:rsidRDefault="000C402E">
      <w:pPr>
        <w:pStyle w:val="Akapitzlist"/>
        <w:numPr>
          <w:ilvl w:val="0"/>
          <w:numId w:val="7"/>
        </w:numPr>
      </w:pPr>
      <w:r>
        <w:t>Dostępne zasoby finansowe, techniczne i kadrowe.</w:t>
      </w:r>
    </w:p>
    <w:p w14:paraId="68A480C7" w14:textId="77777777" w:rsidR="00FC1DC8" w:rsidRDefault="000C402E">
      <w:pPr>
        <w:pStyle w:val="Akapitzlist"/>
        <w:numPr>
          <w:ilvl w:val="0"/>
          <w:numId w:val="7"/>
        </w:numPr>
      </w:pPr>
      <w:r>
        <w:t>Charakter i misja podmiotu publicznego.</w:t>
      </w:r>
    </w:p>
    <w:p w14:paraId="6C5553EA" w14:textId="449D1A3E" w:rsidR="00FC1DC8" w:rsidRDefault="000C402E" w:rsidP="0094594B">
      <w:pPr>
        <w:pStyle w:val="Nagwek2"/>
      </w:pPr>
      <w:r>
        <w:t xml:space="preserve"> </w:t>
      </w:r>
      <w:r w:rsidR="4BFC8527">
        <w:t>O</w:t>
      </w:r>
      <w:r>
        <w:t xml:space="preserve">cena </w:t>
      </w:r>
      <w:r w:rsidR="002E0C58">
        <w:t>nadmiernych kosztów</w:t>
      </w:r>
      <w:r>
        <w:t>:</w:t>
      </w:r>
    </w:p>
    <w:p w14:paraId="20813644" w14:textId="7101FADF" w:rsidR="00FC1DC8" w:rsidRDefault="00033EA7">
      <w:pPr>
        <w:pStyle w:val="Akapitzlist"/>
        <w:numPr>
          <w:ilvl w:val="0"/>
          <w:numId w:val="8"/>
        </w:numPr>
      </w:pPr>
      <w:r>
        <w:t>O</w:t>
      </w:r>
      <w:r w:rsidR="000C402E">
        <w:t>cen</w:t>
      </w:r>
      <w:r w:rsidR="00DB24FB">
        <w:t>a</w:t>
      </w:r>
      <w:r w:rsidRPr="36E5D6B5">
        <w:rPr>
          <w:b/>
          <w:bCs/>
        </w:rPr>
        <w:t>,</w:t>
      </w:r>
      <w:r w:rsidR="002E0C58">
        <w:t xml:space="preserve"> na podstawie zebranych informacji</w:t>
      </w:r>
      <w:r w:rsidR="000C402E">
        <w:t xml:space="preserve">, czy koszty zapewnienia dostępności danego elementu są </w:t>
      </w:r>
      <w:r w:rsidR="000C402E" w:rsidRPr="36E5D6B5">
        <w:rPr>
          <w:b/>
          <w:bCs/>
        </w:rPr>
        <w:t>niewspółmiernie wysokie</w:t>
      </w:r>
      <w:r w:rsidR="000C402E">
        <w:t xml:space="preserve"> w stosunku do szacowanych korzyści dla osób z niepełnosprawnościami, uwzględniając zasoby i charakter podmiotu.</w:t>
      </w:r>
    </w:p>
    <w:p w14:paraId="180B84BB" w14:textId="131AA940" w:rsidR="00FC1DC8" w:rsidRDefault="000C402E">
      <w:pPr>
        <w:pStyle w:val="Akapitzlist"/>
        <w:numPr>
          <w:ilvl w:val="0"/>
          <w:numId w:val="8"/>
        </w:numPr>
      </w:pPr>
      <w:r w:rsidRPr="00033EA7">
        <w:t>Uzasadnienie</w:t>
      </w:r>
      <w:r>
        <w:t xml:space="preserve"> tej oceny, </w:t>
      </w:r>
      <w:r w:rsidR="00B7091D">
        <w:t xml:space="preserve">które </w:t>
      </w:r>
      <w:r>
        <w:t>odnos</w:t>
      </w:r>
      <w:r w:rsidR="00B7091D">
        <w:t>i</w:t>
      </w:r>
      <w:r>
        <w:t xml:space="preserve"> się do konkretnych danych i argumentów zebranych w poprzednich punktach.</w:t>
      </w:r>
    </w:p>
    <w:p w14:paraId="0CEFABFD" w14:textId="502F3B07" w:rsidR="00FC1DC8" w:rsidRDefault="00427665">
      <w:pPr>
        <w:pStyle w:val="Akapitzlist"/>
        <w:numPr>
          <w:ilvl w:val="0"/>
          <w:numId w:val="8"/>
        </w:numPr>
      </w:pPr>
      <w:r>
        <w:t>O</w:t>
      </w:r>
      <w:r w:rsidR="002E0C58">
        <w:t>kreślenie</w:t>
      </w:r>
      <w:r w:rsidR="00B7091D">
        <w:t xml:space="preserve"> </w:t>
      </w:r>
      <w:r w:rsidR="00C007E6">
        <w:rPr>
          <w:b/>
          <w:bCs/>
        </w:rPr>
        <w:t xml:space="preserve">zaplanowanych </w:t>
      </w:r>
      <w:r w:rsidR="000C402E" w:rsidRPr="39B5E43A">
        <w:rPr>
          <w:b/>
          <w:bCs/>
        </w:rPr>
        <w:t>działań</w:t>
      </w:r>
      <w:r w:rsidR="00C007E6">
        <w:rPr>
          <w:b/>
          <w:bCs/>
        </w:rPr>
        <w:t xml:space="preserve"> zastępczych</w:t>
      </w:r>
      <w:r w:rsidR="000C402E">
        <w:t xml:space="preserve"> </w:t>
      </w:r>
      <w:r w:rsidR="00B7091D">
        <w:t>—</w:t>
      </w:r>
      <w:r w:rsidR="000C402E">
        <w:t xml:space="preserve"> np. częściowe wdrożenie dostępności, zastosowanie alternatywnych sposobów dostępu, monitorowanie możliwości wdrożenia dostępności w przyszłości</w:t>
      </w:r>
      <w:r w:rsidR="00B7091D">
        <w:t xml:space="preserve"> (</w:t>
      </w:r>
      <w:r w:rsidR="002E0C58">
        <w:t>i za</w:t>
      </w:r>
      <w:r w:rsidR="00B7091D">
        <w:t>planowan</w:t>
      </w:r>
      <w:r w:rsidR="002E0C58">
        <w:t>i</w:t>
      </w:r>
      <w:r w:rsidR="00B7091D">
        <w:t xml:space="preserve">e </w:t>
      </w:r>
      <w:r w:rsidR="002E0C58">
        <w:t xml:space="preserve">przybliżonego </w:t>
      </w:r>
      <w:r w:rsidR="00B7091D">
        <w:t>terminu, przedziału czasu</w:t>
      </w:r>
      <w:r w:rsidR="002E0C58">
        <w:t xml:space="preserve"> jej wdrożenia</w:t>
      </w:r>
      <w:r w:rsidR="00B7091D">
        <w:t>)</w:t>
      </w:r>
      <w:r w:rsidR="000C402E">
        <w:t>.</w:t>
      </w:r>
    </w:p>
    <w:p w14:paraId="2DC4B27B" w14:textId="0A96EAEA" w:rsidR="00F27471" w:rsidRDefault="00F27471">
      <w:pPr>
        <w:pStyle w:val="Akapitzlist"/>
        <w:numPr>
          <w:ilvl w:val="0"/>
          <w:numId w:val="8"/>
        </w:numPr>
      </w:pPr>
      <w:r>
        <w:t xml:space="preserve">Określenie </w:t>
      </w:r>
      <w:r w:rsidR="00DB24FB">
        <w:t xml:space="preserve">czasu </w:t>
      </w:r>
      <w:r>
        <w:t xml:space="preserve">obowiązywania oceny jako podstawy do </w:t>
      </w:r>
      <w:r w:rsidR="00DB24FB">
        <w:t>niewdrożenia zasad dostępności cyfrowej.</w:t>
      </w:r>
    </w:p>
    <w:p w14:paraId="61A5C946" w14:textId="4D7FC8CD" w:rsidR="00FC1DC8" w:rsidRDefault="000C402E" w:rsidP="0094594B">
      <w:pPr>
        <w:pStyle w:val="Nagwek2"/>
      </w:pPr>
      <w:r>
        <w:t xml:space="preserve">Zatwierdzenie </w:t>
      </w:r>
      <w:r w:rsidR="004D7007">
        <w:t>o</w:t>
      </w:r>
      <w:r>
        <w:t>ceny:</w:t>
      </w:r>
    </w:p>
    <w:p w14:paraId="30275D65" w14:textId="77777777" w:rsidR="00FC1DC8" w:rsidRDefault="000C402E">
      <w:pPr>
        <w:pStyle w:val="Akapitzlist"/>
        <w:numPr>
          <w:ilvl w:val="0"/>
          <w:numId w:val="9"/>
        </w:numPr>
      </w:pPr>
      <w:r>
        <w:t>Data przeprowadzenia oceny.</w:t>
      </w:r>
    </w:p>
    <w:p w14:paraId="7136B2CC" w14:textId="77777777" w:rsidR="00FC1DC8" w:rsidRDefault="000C402E">
      <w:pPr>
        <w:pStyle w:val="Akapitzlist"/>
        <w:numPr>
          <w:ilvl w:val="0"/>
          <w:numId w:val="9"/>
        </w:numPr>
      </w:pPr>
      <w:r>
        <w:t>Imię i nazwisko oraz stanowisko osoby/osób przeprowadzających ocenę.</w:t>
      </w:r>
    </w:p>
    <w:p w14:paraId="5A762469" w14:textId="148AC43E" w:rsidR="00FC1DC8" w:rsidRDefault="000C402E">
      <w:pPr>
        <w:pStyle w:val="Akapitzlist"/>
        <w:numPr>
          <w:ilvl w:val="0"/>
          <w:numId w:val="9"/>
        </w:numPr>
      </w:pPr>
      <w:r>
        <w:t>Zatwierdzenie oceny przez kierownika podmiotu publicznego</w:t>
      </w:r>
      <w:r w:rsidR="003A524C">
        <w:t xml:space="preserve"> lub inną osobę uprawnioną</w:t>
      </w:r>
      <w:r>
        <w:t>.</w:t>
      </w:r>
    </w:p>
    <w:p w14:paraId="015FA3FE" w14:textId="3EF85A1A" w:rsidR="00FC1DC8" w:rsidRDefault="000C402E" w:rsidP="0094594B">
      <w:pPr>
        <w:pStyle w:val="Nagwek2"/>
        <w:numPr>
          <w:ilvl w:val="0"/>
          <w:numId w:val="0"/>
        </w:numPr>
      </w:pPr>
      <w:r>
        <w:t>Załączniki (opcjonalnie</w:t>
      </w:r>
      <w:r w:rsidR="00B74355">
        <w:t>, jeśli podmiot uzna</w:t>
      </w:r>
      <w:r w:rsidR="08905E02">
        <w:t>,</w:t>
      </w:r>
      <w:r w:rsidR="00B74355">
        <w:t xml:space="preserve"> że jest to konieczne</w:t>
      </w:r>
      <w:r>
        <w:t>):</w:t>
      </w:r>
    </w:p>
    <w:p w14:paraId="4D230490" w14:textId="77777777" w:rsidR="00FC1DC8" w:rsidRDefault="000C402E">
      <w:pPr>
        <w:pStyle w:val="Akapitzlist"/>
        <w:numPr>
          <w:ilvl w:val="0"/>
          <w:numId w:val="10"/>
        </w:numPr>
      </w:pPr>
      <w:r>
        <w:t>Dokumentacja kosztorysowa.</w:t>
      </w:r>
    </w:p>
    <w:p w14:paraId="5372F87B" w14:textId="77777777" w:rsidR="00FC1DC8" w:rsidRDefault="000C402E">
      <w:pPr>
        <w:pStyle w:val="Akapitzlist"/>
        <w:numPr>
          <w:ilvl w:val="0"/>
          <w:numId w:val="10"/>
        </w:numPr>
      </w:pPr>
      <w:r>
        <w:t>Wyniki analiz eksperckich.</w:t>
      </w:r>
    </w:p>
    <w:p w14:paraId="7CB368C3" w14:textId="77777777" w:rsidR="00FC1DC8" w:rsidRDefault="000C402E">
      <w:pPr>
        <w:pStyle w:val="Akapitzlist"/>
        <w:numPr>
          <w:ilvl w:val="0"/>
          <w:numId w:val="10"/>
        </w:numPr>
      </w:pPr>
      <w:r>
        <w:t>Opinie specjalistów ds. dostępności cyfrowej.</w:t>
      </w:r>
    </w:p>
    <w:p w14:paraId="09C6F821" w14:textId="3A4748F5" w:rsidR="00FC1DC8" w:rsidRDefault="000C402E">
      <w:pPr>
        <w:pStyle w:val="Akapitzlist"/>
        <w:numPr>
          <w:ilvl w:val="0"/>
          <w:numId w:val="10"/>
        </w:numPr>
      </w:pPr>
      <w:r>
        <w:t>Inne dokumenty</w:t>
      </w:r>
      <w:r w:rsidR="00B7091D">
        <w:t>, które</w:t>
      </w:r>
      <w:r>
        <w:t xml:space="preserve"> potwierdzają przeprowadzoną ocenę</w:t>
      </w:r>
      <w:r w:rsidR="00B7091D">
        <w:t xml:space="preserve"> i jej wyniki</w:t>
      </w:r>
      <w:r>
        <w:t>.</w:t>
      </w:r>
    </w:p>
    <w:p w14:paraId="74CC4675" w14:textId="407ED9B6" w:rsidR="00FC1DC8" w:rsidRDefault="001E6896" w:rsidP="001E6896">
      <w:r>
        <w:lastRenderedPageBreak/>
        <w:t xml:space="preserve">Przedstawiona </w:t>
      </w:r>
      <w:r w:rsidR="000C402E">
        <w:t xml:space="preserve">propozycja </w:t>
      </w:r>
      <w:r w:rsidR="00033EA7">
        <w:t xml:space="preserve">sposobu przeprowadzenia oceny nadmiernych kosztów </w:t>
      </w:r>
      <w:r w:rsidR="000C402E">
        <w:t>ma charakter pomocniczy i powinna być dostosowana do specyfiki ocenianego elementu oraz możliwości i charakteru danego podmiotu publicznego.</w:t>
      </w:r>
      <w:r>
        <w:t xml:space="preserve"> </w:t>
      </w:r>
    </w:p>
    <w:sectPr w:rsidR="00FC1DC8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309D5" w14:textId="77777777" w:rsidR="00353822" w:rsidRDefault="00353822">
      <w:pPr>
        <w:spacing w:after="0" w:line="240" w:lineRule="auto"/>
      </w:pPr>
      <w:r>
        <w:separator/>
      </w:r>
    </w:p>
  </w:endnote>
  <w:endnote w:type="continuationSeparator" w:id="0">
    <w:p w14:paraId="18521C79" w14:textId="77777777" w:rsidR="00353822" w:rsidRDefault="00353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279F" w14:textId="77777777" w:rsidR="00353822" w:rsidRDefault="0035382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7845C4" w14:textId="77777777" w:rsidR="00353822" w:rsidRDefault="00353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27F9" w14:textId="7720FF2F" w:rsidR="00057DAA" w:rsidRDefault="00057DAA">
    <w:pPr>
      <w:pStyle w:val="Nagwek"/>
    </w:pPr>
    <w:r>
      <w:t xml:space="preserve">Wersja </w:t>
    </w:r>
    <w:r w:rsidR="00BD2B80">
      <w:t>1</w:t>
    </w:r>
    <w:r>
      <w:t>.</w:t>
    </w:r>
    <w:r w:rsidR="00BD2B80"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3291"/>
    <w:multiLevelType w:val="hybridMultilevel"/>
    <w:tmpl w:val="368E6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C792F"/>
    <w:multiLevelType w:val="multilevel"/>
    <w:tmpl w:val="B4BC1E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68D63B6"/>
    <w:multiLevelType w:val="multilevel"/>
    <w:tmpl w:val="2174AE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8685553"/>
    <w:multiLevelType w:val="multilevel"/>
    <w:tmpl w:val="E34A3524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2B8672F8"/>
    <w:multiLevelType w:val="hybridMultilevel"/>
    <w:tmpl w:val="E9841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829B8"/>
    <w:multiLevelType w:val="multilevel"/>
    <w:tmpl w:val="86F277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20032BF"/>
    <w:multiLevelType w:val="multilevel"/>
    <w:tmpl w:val="18861A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7F8313C"/>
    <w:multiLevelType w:val="multilevel"/>
    <w:tmpl w:val="0A98DC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8B57FA9"/>
    <w:multiLevelType w:val="multilevel"/>
    <w:tmpl w:val="80AA5C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0B33C00"/>
    <w:multiLevelType w:val="multilevel"/>
    <w:tmpl w:val="17FA52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A923E4C"/>
    <w:multiLevelType w:val="multilevel"/>
    <w:tmpl w:val="FF609C9C"/>
    <w:lvl w:ilvl="0">
      <w:numFmt w:val="bullet"/>
      <w:pStyle w:val="Nagwek3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AC4407A"/>
    <w:multiLevelType w:val="multilevel"/>
    <w:tmpl w:val="AFC8FA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80650C0"/>
    <w:multiLevelType w:val="multilevel"/>
    <w:tmpl w:val="28349C0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84330674">
    <w:abstractNumId w:val="3"/>
  </w:num>
  <w:num w:numId="2" w16cid:durableId="1229996523">
    <w:abstractNumId w:val="12"/>
  </w:num>
  <w:num w:numId="3" w16cid:durableId="319504653">
    <w:abstractNumId w:val="9"/>
  </w:num>
  <w:num w:numId="4" w16cid:durableId="727069213">
    <w:abstractNumId w:val="10"/>
  </w:num>
  <w:num w:numId="5" w16cid:durableId="55517534">
    <w:abstractNumId w:val="7"/>
  </w:num>
  <w:num w:numId="6" w16cid:durableId="1109666640">
    <w:abstractNumId w:val="6"/>
  </w:num>
  <w:num w:numId="7" w16cid:durableId="1358894245">
    <w:abstractNumId w:val="8"/>
  </w:num>
  <w:num w:numId="8" w16cid:durableId="151068507">
    <w:abstractNumId w:val="11"/>
  </w:num>
  <w:num w:numId="9" w16cid:durableId="2112316628">
    <w:abstractNumId w:val="5"/>
  </w:num>
  <w:num w:numId="10" w16cid:durableId="1016616588">
    <w:abstractNumId w:val="1"/>
  </w:num>
  <w:num w:numId="11" w16cid:durableId="987130358">
    <w:abstractNumId w:val="2"/>
  </w:num>
  <w:num w:numId="12" w16cid:durableId="294026648">
    <w:abstractNumId w:val="0"/>
  </w:num>
  <w:num w:numId="13" w16cid:durableId="1943143858">
    <w:abstractNumId w:val="4"/>
  </w:num>
  <w:num w:numId="14" w16cid:durableId="12870019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DC8"/>
    <w:rsid w:val="00001237"/>
    <w:rsid w:val="00003CE2"/>
    <w:rsid w:val="00023D1F"/>
    <w:rsid w:val="00027E23"/>
    <w:rsid w:val="00033EA7"/>
    <w:rsid w:val="000376EA"/>
    <w:rsid w:val="00057DAA"/>
    <w:rsid w:val="00064521"/>
    <w:rsid w:val="000919E4"/>
    <w:rsid w:val="000C0EFD"/>
    <w:rsid w:val="000C402E"/>
    <w:rsid w:val="000F62FF"/>
    <w:rsid w:val="0011112D"/>
    <w:rsid w:val="00163CB5"/>
    <w:rsid w:val="00197393"/>
    <w:rsid w:val="001A0B70"/>
    <w:rsid w:val="001C40FC"/>
    <w:rsid w:val="001D6F15"/>
    <w:rsid w:val="001E24A5"/>
    <w:rsid w:val="001E6896"/>
    <w:rsid w:val="001F3AAB"/>
    <w:rsid w:val="001F4457"/>
    <w:rsid w:val="001F6C06"/>
    <w:rsid w:val="00220B1E"/>
    <w:rsid w:val="002B4C0C"/>
    <w:rsid w:val="002E0C58"/>
    <w:rsid w:val="002E5E5B"/>
    <w:rsid w:val="002E7109"/>
    <w:rsid w:val="003069A4"/>
    <w:rsid w:val="003118DC"/>
    <w:rsid w:val="00325347"/>
    <w:rsid w:val="00353822"/>
    <w:rsid w:val="00367A71"/>
    <w:rsid w:val="00372799"/>
    <w:rsid w:val="00394673"/>
    <w:rsid w:val="003A2FD7"/>
    <w:rsid w:val="003A524C"/>
    <w:rsid w:val="003C4716"/>
    <w:rsid w:val="003C7706"/>
    <w:rsid w:val="00427665"/>
    <w:rsid w:val="00465B1E"/>
    <w:rsid w:val="004A288C"/>
    <w:rsid w:val="004B4D30"/>
    <w:rsid w:val="004C7EC6"/>
    <w:rsid w:val="004D7007"/>
    <w:rsid w:val="004E1855"/>
    <w:rsid w:val="00506718"/>
    <w:rsid w:val="00516941"/>
    <w:rsid w:val="005277BB"/>
    <w:rsid w:val="005327E9"/>
    <w:rsid w:val="00560989"/>
    <w:rsid w:val="00594DFE"/>
    <w:rsid w:val="005954B6"/>
    <w:rsid w:val="00646FA2"/>
    <w:rsid w:val="00670623"/>
    <w:rsid w:val="00685B7D"/>
    <w:rsid w:val="006A29C8"/>
    <w:rsid w:val="006E404F"/>
    <w:rsid w:val="00747D81"/>
    <w:rsid w:val="007664C7"/>
    <w:rsid w:val="00773A27"/>
    <w:rsid w:val="00775B93"/>
    <w:rsid w:val="00782C7F"/>
    <w:rsid w:val="00786FB4"/>
    <w:rsid w:val="007B7FEE"/>
    <w:rsid w:val="007C7727"/>
    <w:rsid w:val="007D74C5"/>
    <w:rsid w:val="007F428E"/>
    <w:rsid w:val="0080507D"/>
    <w:rsid w:val="008126E8"/>
    <w:rsid w:val="00822644"/>
    <w:rsid w:val="0082597F"/>
    <w:rsid w:val="00832299"/>
    <w:rsid w:val="008363AE"/>
    <w:rsid w:val="0085547A"/>
    <w:rsid w:val="008635F4"/>
    <w:rsid w:val="008A00C6"/>
    <w:rsid w:val="008A5C19"/>
    <w:rsid w:val="008D73CD"/>
    <w:rsid w:val="00912C0E"/>
    <w:rsid w:val="00921F42"/>
    <w:rsid w:val="009258FC"/>
    <w:rsid w:val="0093481B"/>
    <w:rsid w:val="00944782"/>
    <w:rsid w:val="0094594B"/>
    <w:rsid w:val="00946CC1"/>
    <w:rsid w:val="009548AA"/>
    <w:rsid w:val="009710C4"/>
    <w:rsid w:val="009C5EB1"/>
    <w:rsid w:val="00A10FD5"/>
    <w:rsid w:val="00A31BC0"/>
    <w:rsid w:val="00A82C05"/>
    <w:rsid w:val="00AA7304"/>
    <w:rsid w:val="00AD039F"/>
    <w:rsid w:val="00AF449C"/>
    <w:rsid w:val="00B201AF"/>
    <w:rsid w:val="00B21584"/>
    <w:rsid w:val="00B45CF6"/>
    <w:rsid w:val="00B4622B"/>
    <w:rsid w:val="00B54213"/>
    <w:rsid w:val="00B62566"/>
    <w:rsid w:val="00B7091D"/>
    <w:rsid w:val="00B72445"/>
    <w:rsid w:val="00B74355"/>
    <w:rsid w:val="00B85A58"/>
    <w:rsid w:val="00B949FB"/>
    <w:rsid w:val="00B96E8B"/>
    <w:rsid w:val="00B9734A"/>
    <w:rsid w:val="00BA4B01"/>
    <w:rsid w:val="00BB124A"/>
    <w:rsid w:val="00BD2B80"/>
    <w:rsid w:val="00BE30BD"/>
    <w:rsid w:val="00C007E6"/>
    <w:rsid w:val="00C14D58"/>
    <w:rsid w:val="00C43F3C"/>
    <w:rsid w:val="00C4667E"/>
    <w:rsid w:val="00C55615"/>
    <w:rsid w:val="00C92F27"/>
    <w:rsid w:val="00CB25B6"/>
    <w:rsid w:val="00CF3506"/>
    <w:rsid w:val="00D1529A"/>
    <w:rsid w:val="00D30D5F"/>
    <w:rsid w:val="00D37706"/>
    <w:rsid w:val="00D45272"/>
    <w:rsid w:val="00D50808"/>
    <w:rsid w:val="00DB24FB"/>
    <w:rsid w:val="00DC3912"/>
    <w:rsid w:val="00DF1FA6"/>
    <w:rsid w:val="00E05665"/>
    <w:rsid w:val="00E13AC2"/>
    <w:rsid w:val="00E70B5D"/>
    <w:rsid w:val="00E9332A"/>
    <w:rsid w:val="00E9404A"/>
    <w:rsid w:val="00EB4357"/>
    <w:rsid w:val="00EC5FEC"/>
    <w:rsid w:val="00EE3151"/>
    <w:rsid w:val="00EF1326"/>
    <w:rsid w:val="00EF6DAB"/>
    <w:rsid w:val="00F001BB"/>
    <w:rsid w:val="00F017D2"/>
    <w:rsid w:val="00F16929"/>
    <w:rsid w:val="00F205B2"/>
    <w:rsid w:val="00F27471"/>
    <w:rsid w:val="00F624C6"/>
    <w:rsid w:val="00F66CFC"/>
    <w:rsid w:val="00F86ECC"/>
    <w:rsid w:val="00F87B3D"/>
    <w:rsid w:val="00F96100"/>
    <w:rsid w:val="00FA27AF"/>
    <w:rsid w:val="00FB5E76"/>
    <w:rsid w:val="00FC1DC8"/>
    <w:rsid w:val="00FD5B6E"/>
    <w:rsid w:val="08905E02"/>
    <w:rsid w:val="0AF72371"/>
    <w:rsid w:val="0E3FA45A"/>
    <w:rsid w:val="0F2D5097"/>
    <w:rsid w:val="0F7C0BB5"/>
    <w:rsid w:val="10547DBB"/>
    <w:rsid w:val="133084E8"/>
    <w:rsid w:val="134B32CF"/>
    <w:rsid w:val="14EB33A1"/>
    <w:rsid w:val="16CDB3F9"/>
    <w:rsid w:val="17DF148D"/>
    <w:rsid w:val="18BF9E54"/>
    <w:rsid w:val="1C13040F"/>
    <w:rsid w:val="1CA1E016"/>
    <w:rsid w:val="1FD89C6C"/>
    <w:rsid w:val="20A35D73"/>
    <w:rsid w:val="218C82D4"/>
    <w:rsid w:val="21E25E09"/>
    <w:rsid w:val="24883042"/>
    <w:rsid w:val="24C4D9F2"/>
    <w:rsid w:val="24DE4E98"/>
    <w:rsid w:val="262D6DE4"/>
    <w:rsid w:val="2811C2FB"/>
    <w:rsid w:val="29B27F2E"/>
    <w:rsid w:val="2F43F561"/>
    <w:rsid w:val="3010A31C"/>
    <w:rsid w:val="306FE863"/>
    <w:rsid w:val="30CE0ACE"/>
    <w:rsid w:val="324BDED4"/>
    <w:rsid w:val="35FB6075"/>
    <w:rsid w:val="36E5D6B5"/>
    <w:rsid w:val="3991E28A"/>
    <w:rsid w:val="39B5E43A"/>
    <w:rsid w:val="3A1F3509"/>
    <w:rsid w:val="3A7E1061"/>
    <w:rsid w:val="3AA530F7"/>
    <w:rsid w:val="3ED08F57"/>
    <w:rsid w:val="419FD999"/>
    <w:rsid w:val="41A8C57D"/>
    <w:rsid w:val="4304B2AC"/>
    <w:rsid w:val="4514DB40"/>
    <w:rsid w:val="4924E5A6"/>
    <w:rsid w:val="4BFC8527"/>
    <w:rsid w:val="4C4E0AC6"/>
    <w:rsid w:val="4CF03F94"/>
    <w:rsid w:val="555B4785"/>
    <w:rsid w:val="574D8C6C"/>
    <w:rsid w:val="583D1903"/>
    <w:rsid w:val="5A81F982"/>
    <w:rsid w:val="5A967411"/>
    <w:rsid w:val="5D546640"/>
    <w:rsid w:val="5DAB9179"/>
    <w:rsid w:val="5FB470AF"/>
    <w:rsid w:val="632EBB4E"/>
    <w:rsid w:val="63B9ACCA"/>
    <w:rsid w:val="6645026D"/>
    <w:rsid w:val="6EA964FB"/>
    <w:rsid w:val="72828AE2"/>
    <w:rsid w:val="7353144D"/>
    <w:rsid w:val="7B90D0BA"/>
    <w:rsid w:val="7F10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2C5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agwek4"/>
    <w:next w:val="Normalny"/>
    <w:uiPriority w:val="9"/>
    <w:unhideWhenUsed/>
    <w:qFormat/>
    <w:rsid w:val="00BB124A"/>
    <w:pPr>
      <w:numPr>
        <w:numId w:val="1"/>
      </w:numPr>
      <w:outlineLvl w:val="1"/>
    </w:pPr>
  </w:style>
  <w:style w:type="paragraph" w:styleId="Nagwek3">
    <w:name w:val="heading 3"/>
    <w:basedOn w:val="Nagwek5"/>
    <w:next w:val="Normalny"/>
    <w:uiPriority w:val="9"/>
    <w:unhideWhenUsed/>
    <w:qFormat/>
    <w:rsid w:val="00BB124A"/>
    <w:pPr>
      <w:numPr>
        <w:numId w:val="4"/>
      </w:numPr>
      <w:outlineLvl w:val="2"/>
    </w:p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Poprawka">
    <w:name w:val="Revision"/>
    <w:pPr>
      <w:spacing w:after="0" w:line="240" w:lineRule="auto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87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B3D"/>
  </w:style>
  <w:style w:type="paragraph" w:styleId="Stopka">
    <w:name w:val="footer"/>
    <w:basedOn w:val="Normalny"/>
    <w:link w:val="StopkaZnak"/>
    <w:uiPriority w:val="99"/>
    <w:unhideWhenUsed/>
    <w:rsid w:val="00F87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1220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nadmiernych kosztów zapewnienia dostępności cyfrowej_</vt:lpstr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nadmiernych kosztów zapewnienia dostępności cyfrowej_</dc:title>
  <dc:subject/>
  <dc:creator/>
  <cp:keywords/>
  <dc:description/>
  <cp:lastModifiedBy/>
  <cp:revision>1</cp:revision>
  <dcterms:created xsi:type="dcterms:W3CDTF">2025-08-14T07:46:00Z</dcterms:created>
  <dcterms:modified xsi:type="dcterms:W3CDTF">2025-08-14T07:46:00Z</dcterms:modified>
</cp:coreProperties>
</file>