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335C" w14:textId="77777777" w:rsidR="008A7042" w:rsidRDefault="008A7042" w:rsidP="00D14E61">
      <w:pPr>
        <w:spacing w:line="360" w:lineRule="auto"/>
        <w:rPr>
          <w:rFonts w:ascii="Arial" w:hAnsi="Arial" w:cs="Arial"/>
          <w:sz w:val="22"/>
          <w:szCs w:val="22"/>
        </w:rPr>
      </w:pPr>
    </w:p>
    <w:p w14:paraId="6A66C0A3" w14:textId="7CFFD64E" w:rsidR="008A7042" w:rsidRPr="00F303A3" w:rsidRDefault="008A7042" w:rsidP="008A7042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303A3">
        <w:rPr>
          <w:rFonts w:asciiTheme="majorHAnsi" w:hAnsiTheme="majorHAnsi" w:cstheme="majorHAnsi"/>
          <w:b/>
          <w:bCs/>
          <w:sz w:val="18"/>
          <w:szCs w:val="18"/>
        </w:rPr>
        <w:t>Załącznik Nr 1</w:t>
      </w:r>
      <w:r w:rsidRPr="00F303A3">
        <w:rPr>
          <w:rFonts w:asciiTheme="majorHAnsi" w:hAnsiTheme="majorHAnsi" w:cstheme="majorHAnsi"/>
          <w:sz w:val="18"/>
          <w:szCs w:val="18"/>
        </w:rPr>
        <w:t xml:space="preserve"> do zarządzenia</w:t>
      </w:r>
      <w:r>
        <w:rPr>
          <w:rFonts w:asciiTheme="majorHAnsi" w:hAnsiTheme="majorHAnsi" w:cstheme="majorHAnsi"/>
          <w:sz w:val="18"/>
          <w:szCs w:val="18"/>
        </w:rPr>
        <w:t xml:space="preserve"> Nr</w:t>
      </w:r>
      <w:r w:rsidRPr="00F303A3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10/202</w:t>
      </w:r>
      <w:r w:rsidR="00A54F42">
        <w:rPr>
          <w:rFonts w:asciiTheme="majorHAnsi" w:hAnsiTheme="majorHAnsi" w:cstheme="majorHAnsi"/>
          <w:sz w:val="18"/>
          <w:szCs w:val="18"/>
        </w:rPr>
        <w:t>5</w:t>
      </w:r>
    </w:p>
    <w:p w14:paraId="02F91DD6" w14:textId="0F0F2111" w:rsidR="008A7042" w:rsidRDefault="00A54F42" w:rsidP="008A7042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Państwowego Powiatowego Inspektora Sanitarnego </w:t>
      </w:r>
      <w:r w:rsidR="008A7042" w:rsidRPr="00F303A3">
        <w:rPr>
          <w:rFonts w:asciiTheme="majorHAnsi" w:hAnsiTheme="majorHAnsi" w:cstheme="majorHAnsi"/>
          <w:sz w:val="18"/>
          <w:szCs w:val="18"/>
        </w:rPr>
        <w:t xml:space="preserve">w Gołdapi </w:t>
      </w:r>
    </w:p>
    <w:p w14:paraId="41AE36AF" w14:textId="403B7594" w:rsidR="002C0CD3" w:rsidRDefault="002C0CD3" w:rsidP="002C0CD3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303A3">
        <w:rPr>
          <w:rFonts w:asciiTheme="majorHAnsi" w:hAnsiTheme="majorHAnsi" w:cstheme="majorHAnsi"/>
          <w:sz w:val="18"/>
          <w:szCs w:val="18"/>
        </w:rPr>
        <w:t xml:space="preserve">z dnia </w:t>
      </w:r>
      <w:r>
        <w:rPr>
          <w:rFonts w:asciiTheme="majorHAnsi" w:hAnsiTheme="majorHAnsi" w:cstheme="majorHAnsi"/>
          <w:sz w:val="18"/>
          <w:szCs w:val="18"/>
        </w:rPr>
        <w:t>15</w:t>
      </w:r>
      <w:r w:rsidRPr="00F303A3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grudnia</w:t>
      </w:r>
      <w:r w:rsidRPr="00F303A3">
        <w:rPr>
          <w:rFonts w:asciiTheme="majorHAnsi" w:hAnsiTheme="majorHAnsi" w:cstheme="majorHAnsi"/>
          <w:sz w:val="18"/>
          <w:szCs w:val="18"/>
        </w:rPr>
        <w:t xml:space="preserve"> 202</w:t>
      </w:r>
      <w:r>
        <w:rPr>
          <w:rFonts w:asciiTheme="majorHAnsi" w:hAnsiTheme="majorHAnsi" w:cstheme="majorHAnsi"/>
          <w:sz w:val="18"/>
          <w:szCs w:val="18"/>
        </w:rPr>
        <w:t>5</w:t>
      </w:r>
      <w:r w:rsidRPr="00F303A3">
        <w:rPr>
          <w:rFonts w:asciiTheme="majorHAnsi" w:hAnsiTheme="majorHAnsi" w:cstheme="majorHAnsi"/>
          <w:sz w:val="18"/>
          <w:szCs w:val="18"/>
        </w:rPr>
        <w:t xml:space="preserve"> r.</w:t>
      </w:r>
    </w:p>
    <w:p w14:paraId="4B337A3F" w14:textId="77777777" w:rsidR="002C0CD3" w:rsidRPr="002C0CD3" w:rsidRDefault="002C0CD3" w:rsidP="002C0CD3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2C0CD3" w:rsidRPr="002C0CD3" w14:paraId="4E2B0AD1" w14:textId="77777777" w:rsidTr="002C0CD3">
        <w:trPr>
          <w:trHeight w:val="370"/>
        </w:trPr>
        <w:tc>
          <w:tcPr>
            <w:tcW w:w="2263" w:type="dxa"/>
          </w:tcPr>
          <w:p w14:paraId="5374AEDD" w14:textId="77777777" w:rsidR="002C0CD3" w:rsidRPr="002C0CD3" w:rsidRDefault="002C0CD3" w:rsidP="00807348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Tytuł</w:t>
            </w:r>
          </w:p>
        </w:tc>
        <w:tc>
          <w:tcPr>
            <w:tcW w:w="7655" w:type="dxa"/>
          </w:tcPr>
          <w:p w14:paraId="3E654594" w14:textId="77777777" w:rsidR="002C0CD3" w:rsidRPr="002C0CD3" w:rsidRDefault="002C0CD3" w:rsidP="002C0CD3">
            <w:pPr>
              <w:spacing w:after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Procedura klasyfikacji ryzyka w działalności kontrolnej </w:t>
            </w:r>
          </w:p>
        </w:tc>
      </w:tr>
      <w:tr w:rsidR="002C0CD3" w:rsidRPr="002C0CD3" w14:paraId="35252952" w14:textId="77777777" w:rsidTr="002C0CD3">
        <w:trPr>
          <w:trHeight w:val="248"/>
        </w:trPr>
        <w:tc>
          <w:tcPr>
            <w:tcW w:w="2263" w:type="dxa"/>
          </w:tcPr>
          <w:p w14:paraId="644ADBC6" w14:textId="77777777" w:rsidR="002C0CD3" w:rsidRPr="002C0CD3" w:rsidRDefault="002C0CD3" w:rsidP="00807348">
            <w:pPr>
              <w:spacing w:after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Wersja obowiązująca</w:t>
            </w:r>
          </w:p>
        </w:tc>
        <w:tc>
          <w:tcPr>
            <w:tcW w:w="7655" w:type="dxa"/>
          </w:tcPr>
          <w:p w14:paraId="26DE31B1" w14:textId="77777777" w:rsidR="002C0CD3" w:rsidRPr="002C0CD3" w:rsidRDefault="002C0CD3" w:rsidP="00807348">
            <w:pPr>
              <w:spacing w:after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1.0 – </w:t>
            </w: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1 stycznia 2026 r.</w:t>
            </w:r>
          </w:p>
        </w:tc>
      </w:tr>
      <w:tr w:rsidR="002C0CD3" w:rsidRPr="002C0CD3" w14:paraId="27A3431D" w14:textId="77777777" w:rsidTr="002C0CD3">
        <w:trPr>
          <w:trHeight w:val="282"/>
        </w:trPr>
        <w:tc>
          <w:tcPr>
            <w:tcW w:w="2263" w:type="dxa"/>
          </w:tcPr>
          <w:p w14:paraId="6DAEF658" w14:textId="77777777" w:rsidR="002C0CD3" w:rsidRPr="002C0CD3" w:rsidRDefault="002C0CD3" w:rsidP="00807348">
            <w:pPr>
              <w:spacing w:after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</w:t>
            </w:r>
          </w:p>
        </w:tc>
        <w:tc>
          <w:tcPr>
            <w:tcW w:w="7655" w:type="dxa"/>
          </w:tcPr>
          <w:p w14:paraId="6C2D79B7" w14:textId="77777777" w:rsidR="002C0CD3" w:rsidRPr="002C0CD3" w:rsidRDefault="002C0CD3" w:rsidP="00807348">
            <w:pPr>
              <w:spacing w:after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Państwowy Powiatowy Inspektor Sanitarny w Gołdapi</w:t>
            </w:r>
          </w:p>
        </w:tc>
      </w:tr>
    </w:tbl>
    <w:p w14:paraId="3D527D16" w14:textId="77777777" w:rsidR="002C0CD3" w:rsidRPr="002C0CD3" w:rsidRDefault="002C0CD3" w:rsidP="002C0CD3">
      <w:pPr>
        <w:spacing w:after="120"/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14:paraId="20958EC2" w14:textId="77777777" w:rsidR="002C0CD3" w:rsidRPr="002C0CD3" w:rsidRDefault="002C0CD3" w:rsidP="002C0CD3">
      <w:pPr>
        <w:spacing w:before="240"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1. Podstawa prawna</w:t>
      </w:r>
    </w:p>
    <w:p w14:paraId="2492732F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Niniejsza procedura określa zasady klasyfikacji ryzyka związanego z prowadzeniem działalności gospodarczej, stosowane przy planowaniu i prowadzeniu kontroli obiektów nadzorowanych przez Państwowego Powiatowego Inspektora Sanitarnego w Gołdapi.</w:t>
      </w:r>
    </w:p>
    <w:p w14:paraId="21598939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Zasady określone w niniejszym dokumencie nie obejmują kontroli dotyczących bezpieczeństwa żywności i żywienia, które regulowane są odrębnymi zarządzeniami Głównego Inspektora Sanitarnego.</w:t>
      </w:r>
    </w:p>
    <w:p w14:paraId="02F21D90" w14:textId="0FFBEAAF" w:rsidR="002C0CD3" w:rsidRPr="002C0CD3" w:rsidRDefault="002C0CD3" w:rsidP="002C0CD3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Przedstawiony schemat stanowi realizację obowiązków wynikających z ustawy z dnia 6 marca 2018 r. – </w:t>
      </w:r>
      <w:r w:rsidRPr="002C0CD3">
        <w:rPr>
          <w:rFonts w:asciiTheme="majorHAnsi" w:hAnsiTheme="majorHAnsi" w:cstheme="majorHAnsi"/>
          <w:i/>
          <w:iCs/>
          <w:sz w:val="22"/>
          <w:szCs w:val="22"/>
        </w:rPr>
        <w:t xml:space="preserve">Prawo przedsiębiorców. </w:t>
      </w:r>
      <w:r w:rsidRPr="002C0CD3">
        <w:rPr>
          <w:rFonts w:asciiTheme="majorHAnsi" w:hAnsiTheme="majorHAnsi" w:cstheme="majorHAnsi"/>
          <w:sz w:val="22"/>
          <w:szCs w:val="22"/>
        </w:rPr>
        <w:t xml:space="preserve">Art. 47 ust. 1 zobowiązuje organy kontroli do udostępnienia na stronie Biuletynu Informacji Publicznej schematu klasyfikacji ryzyka </w:t>
      </w:r>
      <w:r w:rsidRPr="002C0CD3">
        <w:rPr>
          <w:rFonts w:asciiTheme="majorHAnsi" w:hAnsiTheme="majorHAnsi" w:cstheme="majorHAnsi"/>
          <w:sz w:val="22"/>
          <w:szCs w:val="22"/>
        </w:rPr>
        <w:br/>
        <w:t xml:space="preserve">w działalności kontrolnej, natomiast art. 55a określa maksymalną częstotliwość kontroli wobec przedsiębiorców zakwalifikowanych do poszczególnych kategorii ryzyka. </w:t>
      </w:r>
    </w:p>
    <w:p w14:paraId="1D64C63A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2. Cel dokumentu</w:t>
      </w:r>
    </w:p>
    <w:p w14:paraId="3E15594B" w14:textId="60E47540" w:rsidR="002C0CD3" w:rsidRPr="002C0CD3" w:rsidRDefault="002C0CD3" w:rsidP="002C0CD3">
      <w:pPr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Celem procedury jest zapewnienie jednolitych zasad prowadzenia kontroli, obiektywnej oceny poziomu ryzyka oraz przejrzystości działań organu wobec przedsiębiorców.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sz w:val="22"/>
          <w:szCs w:val="22"/>
        </w:rPr>
        <w:t>Klasyfikacja ryzyka ma na celu zwiększenie przewidywalności i transparentności kontroli.</w:t>
      </w:r>
    </w:p>
    <w:p w14:paraId="540F61E5" w14:textId="77777777" w:rsidR="002C0CD3" w:rsidRPr="002C0CD3" w:rsidRDefault="002C0CD3" w:rsidP="002C0CD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3. Zakres działania  </w:t>
      </w:r>
    </w:p>
    <w:p w14:paraId="6D2B6B40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Obejmuje kontrolę w poniższych obszarach:</w:t>
      </w:r>
    </w:p>
    <w:p w14:paraId="35BE6705" w14:textId="77777777" w:rsidR="002C0CD3" w:rsidRPr="002C0CD3" w:rsidRDefault="002C0CD3" w:rsidP="002C0CD3">
      <w:pPr>
        <w:pStyle w:val="Akapitzlist"/>
        <w:numPr>
          <w:ilvl w:val="0"/>
          <w:numId w:val="11"/>
        </w:numPr>
        <w:suppressAutoHyphens w:val="0"/>
        <w:overflowPunct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epidemiologii oraz szczepień ochronnych;</w:t>
      </w:r>
    </w:p>
    <w:p w14:paraId="6482EC87" w14:textId="77777777" w:rsidR="002C0CD3" w:rsidRPr="002C0CD3" w:rsidRDefault="002C0CD3" w:rsidP="002C0CD3">
      <w:pPr>
        <w:pStyle w:val="Akapitzlist"/>
        <w:numPr>
          <w:ilvl w:val="0"/>
          <w:numId w:val="11"/>
        </w:numPr>
        <w:suppressAutoHyphens w:val="0"/>
        <w:overflowPunct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higieny dzieci i młodzieży;</w:t>
      </w:r>
    </w:p>
    <w:p w14:paraId="0DB8DC59" w14:textId="77777777" w:rsidR="002C0CD3" w:rsidRPr="002C0CD3" w:rsidRDefault="002C0CD3" w:rsidP="002C0CD3">
      <w:pPr>
        <w:pStyle w:val="Akapitzlist"/>
        <w:numPr>
          <w:ilvl w:val="0"/>
          <w:numId w:val="11"/>
        </w:numPr>
        <w:suppressAutoHyphens w:val="0"/>
        <w:overflowPunct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higieny pracy i nadzoru nad chemikaliami;</w:t>
      </w:r>
    </w:p>
    <w:p w14:paraId="07EA0BFE" w14:textId="77777777" w:rsidR="002C0CD3" w:rsidRPr="002C0CD3" w:rsidRDefault="002C0CD3" w:rsidP="002C0CD3">
      <w:pPr>
        <w:pStyle w:val="Akapitzlist"/>
        <w:numPr>
          <w:ilvl w:val="0"/>
          <w:numId w:val="11"/>
        </w:numPr>
        <w:suppressAutoHyphens w:val="0"/>
        <w:overflowPunct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higieny komunalnej.</w:t>
      </w:r>
    </w:p>
    <w:p w14:paraId="38DAB197" w14:textId="15C7910C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Szczegółowe zasady klasyfikacji ryzyka, w tym opis kryteriów punktowych i przykładów ich stosowania, zostały określone w załącznikach nr 1–4 do niniejszej procedury.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sz w:val="22"/>
          <w:szCs w:val="22"/>
        </w:rPr>
        <w:t>Załączniki stanowią integralną część procedury i zawierają szczegółowe wytyczne właściwe dla poszczególnych obszarów nadzoru.</w:t>
      </w:r>
    </w:p>
    <w:p w14:paraId="38DBCF0A" w14:textId="77777777" w:rsidR="002C0CD3" w:rsidRPr="002C0CD3" w:rsidRDefault="002C0CD3" w:rsidP="002C0CD3">
      <w:pPr>
        <w:spacing w:before="120"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4. Kryteria oceny ryzyka</w:t>
      </w:r>
    </w:p>
    <w:p w14:paraId="5967E5F2" w14:textId="24142618" w:rsidR="002C0CD3" w:rsidRPr="002C0CD3" w:rsidRDefault="002C0CD3" w:rsidP="002C0CD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Ocena ryzyka dokonywana jest przed tworzeniem rocznych planów kontroli oraz w każdym przypadku aktualizacji danych o przedsiębiorcy.</w:t>
      </w:r>
    </w:p>
    <w:p w14:paraId="01ED6755" w14:textId="77777777" w:rsidR="002C0CD3" w:rsidRPr="002C0CD3" w:rsidRDefault="002C0CD3" w:rsidP="002C0CD3">
      <w:pPr>
        <w:spacing w:before="120" w:after="240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Opiera się na dwóch kryteriach: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405"/>
        <w:gridCol w:w="5812"/>
        <w:gridCol w:w="1701"/>
      </w:tblGrid>
      <w:tr w:rsidR="002C0CD3" w:rsidRPr="002C0CD3" w14:paraId="7FE74E94" w14:textId="77777777" w:rsidTr="002C0CD3">
        <w:tc>
          <w:tcPr>
            <w:tcW w:w="2405" w:type="dxa"/>
            <w:vAlign w:val="center"/>
          </w:tcPr>
          <w:p w14:paraId="0BA1E95F" w14:textId="77777777" w:rsidR="002C0CD3" w:rsidRPr="002C0CD3" w:rsidRDefault="002C0CD3" w:rsidP="0080734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5812" w:type="dxa"/>
            <w:vAlign w:val="center"/>
          </w:tcPr>
          <w:p w14:paraId="5D828B8C" w14:textId="77777777" w:rsidR="002C0CD3" w:rsidRPr="002C0CD3" w:rsidRDefault="002C0CD3" w:rsidP="0080734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701" w:type="dxa"/>
            <w:vAlign w:val="center"/>
          </w:tcPr>
          <w:p w14:paraId="743066DE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Punktacja</w:t>
            </w:r>
          </w:p>
        </w:tc>
      </w:tr>
      <w:tr w:rsidR="002C0CD3" w:rsidRPr="002C0CD3" w14:paraId="0FCBD3EA" w14:textId="77777777" w:rsidTr="002C0CD3">
        <w:tc>
          <w:tcPr>
            <w:tcW w:w="2405" w:type="dxa"/>
            <w:vAlign w:val="center"/>
          </w:tcPr>
          <w:p w14:paraId="67BE6E63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Prawdopodobieństwo naruszenia prawa</w:t>
            </w:r>
          </w:p>
        </w:tc>
        <w:tc>
          <w:tcPr>
            <w:tcW w:w="5812" w:type="dxa"/>
            <w:vAlign w:val="center"/>
          </w:tcPr>
          <w:p w14:paraId="0F9DB817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Na podstawie historii kontroli i charakteru działalności, wpływu na zdrowie publiczne, występowania czynników szkodliwych, złożonych  skargi, częstotliwości i rodzaju naruszeń.</w:t>
            </w:r>
          </w:p>
        </w:tc>
        <w:tc>
          <w:tcPr>
            <w:tcW w:w="1701" w:type="dxa"/>
            <w:vAlign w:val="center"/>
          </w:tcPr>
          <w:p w14:paraId="30AC01F4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 xml:space="preserve">1 – niska </w:t>
            </w:r>
          </w:p>
          <w:p w14:paraId="51D3BEF0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 xml:space="preserve">2 – średnia </w:t>
            </w:r>
          </w:p>
          <w:p w14:paraId="4350DA19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3 – wysoka</w:t>
            </w:r>
          </w:p>
        </w:tc>
      </w:tr>
      <w:tr w:rsidR="002C0CD3" w:rsidRPr="002C0CD3" w14:paraId="7A9FB59C" w14:textId="77777777" w:rsidTr="002C0CD3">
        <w:tc>
          <w:tcPr>
            <w:tcW w:w="2405" w:type="dxa"/>
            <w:vAlign w:val="center"/>
          </w:tcPr>
          <w:p w14:paraId="198D81E4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Skutek naruszenia</w:t>
            </w:r>
          </w:p>
        </w:tc>
        <w:tc>
          <w:tcPr>
            <w:tcW w:w="5812" w:type="dxa"/>
            <w:vAlign w:val="center"/>
          </w:tcPr>
          <w:p w14:paraId="64BCBF0C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Potencjalny wpływ naruszeń na zdrowie i życie ludzi lub środowisko.</w:t>
            </w:r>
          </w:p>
          <w:p w14:paraId="37FA2A8B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3EE1A7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1 – niski</w:t>
            </w:r>
          </w:p>
          <w:p w14:paraId="6E637E42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2 – średni</w:t>
            </w:r>
          </w:p>
          <w:p w14:paraId="79EFABD3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3 – wysoki</w:t>
            </w:r>
          </w:p>
        </w:tc>
      </w:tr>
    </w:tbl>
    <w:p w14:paraId="5C071A88" w14:textId="77777777" w:rsidR="002C0CD3" w:rsidRDefault="002C0CD3" w:rsidP="002C0CD3">
      <w:pPr>
        <w:spacing w:before="240"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bookmarkStart w:id="0" w:name="_Hlk216787861"/>
      <w:r w:rsidRPr="002C0CD3">
        <w:rPr>
          <w:rFonts w:asciiTheme="majorHAnsi" w:hAnsiTheme="majorHAnsi" w:cstheme="majorHAnsi"/>
          <w:b/>
          <w:bCs/>
          <w:i/>
          <w:iCs/>
          <w:sz w:val="22"/>
          <w:szCs w:val="22"/>
        </w:rPr>
        <w:t>Uwaga: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sz w:val="22"/>
          <w:szCs w:val="22"/>
        </w:rPr>
        <w:t>Oceny dokonuje Państwowy Powiatowy Inspektor Sanitarny w Gołdapi. Wynik punktowy służy do przypisania obiektu do kategorii ryzyka: niskie, średnie lub wysokie.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</w:p>
    <w:p w14:paraId="5D0809EA" w14:textId="77777777" w:rsidR="002C0CD3" w:rsidRPr="002C0CD3" w:rsidRDefault="002C0CD3" w:rsidP="002C0CD3">
      <w:pPr>
        <w:spacing w:before="240"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791ACCC" w14:textId="77777777" w:rsidR="002C0CD3" w:rsidRPr="002C0CD3" w:rsidRDefault="002C0CD3" w:rsidP="002C0CD3">
      <w:pPr>
        <w:spacing w:before="240" w:after="120"/>
        <w:rPr>
          <w:rFonts w:asciiTheme="majorHAnsi" w:hAnsiTheme="majorHAnsi" w:cstheme="majorHAnsi"/>
          <w:b/>
          <w:bCs/>
          <w:sz w:val="22"/>
          <w:szCs w:val="22"/>
        </w:rPr>
      </w:pPr>
      <w:bookmarkStart w:id="1" w:name="_Hlk216787958"/>
      <w:bookmarkEnd w:id="0"/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5. Macierz oceny ryzyka </w:t>
      </w:r>
    </w:p>
    <w:p w14:paraId="4A9EDC56" w14:textId="77777777" w:rsidR="002C0CD3" w:rsidRPr="002C0CD3" w:rsidRDefault="002C0CD3" w:rsidP="002C0CD3">
      <w:pPr>
        <w:spacing w:before="240"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i/>
          <w:iCs/>
          <w:sz w:val="22"/>
          <w:szCs w:val="22"/>
        </w:rPr>
        <w:t>Uwaga: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sz w:val="22"/>
          <w:szCs w:val="22"/>
        </w:rPr>
        <w:t>Oceny dokonuje Państwowy Powiatowy Inspektor Sanitarny w Gołdapi. Wynik punktowy służy do przypisania obiektu do kategorii ryzyka: niskie, średnie lub wysokie.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</w:p>
    <w:p w14:paraId="4B779AFF" w14:textId="77777777" w:rsidR="002C0CD3" w:rsidRPr="002C0CD3" w:rsidRDefault="002C0CD3" w:rsidP="002C0CD3">
      <w:pPr>
        <w:spacing w:before="240"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Legenda:</w:t>
      </w:r>
    </w:p>
    <w:p w14:paraId="4681F49D" w14:textId="77777777" w:rsidR="002C0CD3" w:rsidRPr="002C0CD3" w:rsidRDefault="002C0CD3" w:rsidP="002C0CD3">
      <w:pPr>
        <w:numPr>
          <w:ilvl w:val="0"/>
          <w:numId w:val="12"/>
        </w:numPr>
        <w:suppressAutoHyphens w:val="0"/>
        <w:overflowPunct/>
        <w:spacing w:line="259" w:lineRule="auto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1–2 pkt – niskie ryzyko</w:t>
      </w:r>
    </w:p>
    <w:p w14:paraId="02920BEC" w14:textId="77777777" w:rsidR="002C0CD3" w:rsidRPr="002C0CD3" w:rsidRDefault="002C0CD3" w:rsidP="002C0CD3">
      <w:pPr>
        <w:numPr>
          <w:ilvl w:val="0"/>
          <w:numId w:val="12"/>
        </w:numPr>
        <w:suppressAutoHyphens w:val="0"/>
        <w:overflowPunct/>
        <w:spacing w:line="259" w:lineRule="auto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3–5 pkt – średnie ryzyko</w:t>
      </w:r>
    </w:p>
    <w:p w14:paraId="37E00AE4" w14:textId="77777777" w:rsidR="002C0CD3" w:rsidRPr="002C0CD3" w:rsidRDefault="002C0CD3" w:rsidP="002C0CD3">
      <w:pPr>
        <w:numPr>
          <w:ilvl w:val="0"/>
          <w:numId w:val="12"/>
        </w:numPr>
        <w:suppressAutoHyphens w:val="0"/>
        <w:overflowPunct/>
        <w:spacing w:line="259" w:lineRule="auto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6–9 pkt – wysokie ryzyko</w:t>
      </w:r>
    </w:p>
    <w:p w14:paraId="290EA27A" w14:textId="77777777" w:rsidR="002C0CD3" w:rsidRPr="002C0CD3" w:rsidRDefault="002C0CD3" w:rsidP="002C0CD3">
      <w:pPr>
        <w:spacing w:before="240"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i/>
          <w:iCs/>
          <w:sz w:val="22"/>
          <w:szCs w:val="22"/>
        </w:rPr>
        <w:t>Uwaga: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sz w:val="22"/>
          <w:szCs w:val="22"/>
        </w:rPr>
        <w:t>Państwowy Powiatowy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sz w:val="22"/>
          <w:szCs w:val="22"/>
        </w:rPr>
        <w:t>Inspektor Sanitarny w Gołdapi przypisuje kategorię ryzyka na podstawie punktacji.</w:t>
      </w:r>
    </w:p>
    <w:p w14:paraId="317BDE0A" w14:textId="77777777" w:rsidR="002C0CD3" w:rsidRPr="002C0CD3" w:rsidRDefault="002C0CD3" w:rsidP="002C0CD3">
      <w:pPr>
        <w:spacing w:before="240"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6. Klasyfikacja ryzyka</w:t>
      </w:r>
    </w:p>
    <w:p w14:paraId="7801F68D" w14:textId="77777777" w:rsidR="002C0CD3" w:rsidRPr="002C0CD3" w:rsidRDefault="002C0CD3" w:rsidP="002C0CD3">
      <w:pPr>
        <w:spacing w:before="120" w:after="24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Ryzyko oznacza prawdopodobieństwo wystąpienia zagrożenia dla zdrowia, życia ludzi lub środowiska.</w:t>
      </w:r>
      <w:r w:rsidRPr="002C0CD3">
        <w:rPr>
          <w:rFonts w:asciiTheme="majorHAnsi" w:hAnsiTheme="majorHAnsi" w:cstheme="majorHAnsi"/>
          <w:sz w:val="22"/>
          <w:szCs w:val="22"/>
        </w:rPr>
        <w:br/>
        <w:t>Obiekty przypisywane są do kategorii ryzyka na podstawie punktacji z macierzy oceny ryzyka: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413"/>
        <w:gridCol w:w="2977"/>
        <w:gridCol w:w="5528"/>
      </w:tblGrid>
      <w:tr w:rsidR="002C0CD3" w:rsidRPr="002C0CD3" w14:paraId="44E4BC55" w14:textId="77777777" w:rsidTr="002C0CD3">
        <w:tc>
          <w:tcPr>
            <w:tcW w:w="1413" w:type="dxa"/>
            <w:vAlign w:val="center"/>
          </w:tcPr>
          <w:p w14:paraId="7E5C8604" w14:textId="77777777" w:rsidR="002C0CD3" w:rsidRPr="002C0CD3" w:rsidRDefault="002C0CD3" w:rsidP="0080734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Wynik punktowy</w:t>
            </w:r>
          </w:p>
        </w:tc>
        <w:tc>
          <w:tcPr>
            <w:tcW w:w="2977" w:type="dxa"/>
            <w:vAlign w:val="center"/>
          </w:tcPr>
          <w:p w14:paraId="3E8E3EF7" w14:textId="77777777" w:rsidR="002C0CD3" w:rsidRPr="002C0CD3" w:rsidRDefault="002C0CD3" w:rsidP="008073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Kategoria ryzyka</w:t>
            </w:r>
          </w:p>
        </w:tc>
        <w:tc>
          <w:tcPr>
            <w:tcW w:w="5528" w:type="dxa"/>
            <w:vAlign w:val="center"/>
          </w:tcPr>
          <w:p w14:paraId="721258C7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Opis</w:t>
            </w:r>
          </w:p>
        </w:tc>
      </w:tr>
      <w:tr w:rsidR="002C0CD3" w:rsidRPr="002C0CD3" w14:paraId="05D05920" w14:textId="77777777" w:rsidTr="002C0CD3">
        <w:tc>
          <w:tcPr>
            <w:tcW w:w="1413" w:type="dxa"/>
            <w:vAlign w:val="center"/>
          </w:tcPr>
          <w:p w14:paraId="1619F467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1-2 pkt</w:t>
            </w:r>
          </w:p>
        </w:tc>
        <w:tc>
          <w:tcPr>
            <w:tcW w:w="2977" w:type="dxa"/>
            <w:vAlign w:val="center"/>
          </w:tcPr>
          <w:p w14:paraId="7CC1DFFE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niskie</w:t>
            </w:r>
          </w:p>
        </w:tc>
        <w:tc>
          <w:tcPr>
            <w:tcW w:w="5528" w:type="dxa"/>
            <w:vAlign w:val="center"/>
          </w:tcPr>
          <w:p w14:paraId="34BB058A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 xml:space="preserve">Niski stopień zagrożenia. Kontrole rutynowe zgodne z planem.  </w:t>
            </w:r>
          </w:p>
        </w:tc>
      </w:tr>
      <w:tr w:rsidR="002C0CD3" w:rsidRPr="002C0CD3" w14:paraId="341ACFB9" w14:textId="77777777" w:rsidTr="002C0CD3">
        <w:tc>
          <w:tcPr>
            <w:tcW w:w="1413" w:type="dxa"/>
            <w:vAlign w:val="center"/>
          </w:tcPr>
          <w:p w14:paraId="24F7D9DF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3-5 pkt</w:t>
            </w:r>
          </w:p>
        </w:tc>
        <w:tc>
          <w:tcPr>
            <w:tcW w:w="2977" w:type="dxa"/>
            <w:vAlign w:val="center"/>
          </w:tcPr>
          <w:p w14:paraId="536E1128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średnie</w:t>
            </w:r>
          </w:p>
        </w:tc>
        <w:tc>
          <w:tcPr>
            <w:tcW w:w="5528" w:type="dxa"/>
            <w:vAlign w:val="center"/>
          </w:tcPr>
          <w:p w14:paraId="409520DF" w14:textId="77777777" w:rsidR="002C0CD3" w:rsidRPr="002C0CD3" w:rsidRDefault="002C0CD3" w:rsidP="00807348">
            <w:pPr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 xml:space="preserve">Średni stopień zagrożenia. Kontrole planowe lub interwencyjne.   </w:t>
            </w:r>
          </w:p>
        </w:tc>
      </w:tr>
      <w:tr w:rsidR="002C0CD3" w:rsidRPr="002C0CD3" w14:paraId="276F9C9F" w14:textId="77777777" w:rsidTr="002C0CD3">
        <w:tc>
          <w:tcPr>
            <w:tcW w:w="1413" w:type="dxa"/>
            <w:vAlign w:val="center"/>
          </w:tcPr>
          <w:p w14:paraId="039FB557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6-9 pkt</w:t>
            </w:r>
          </w:p>
        </w:tc>
        <w:tc>
          <w:tcPr>
            <w:tcW w:w="2977" w:type="dxa"/>
            <w:vAlign w:val="center"/>
          </w:tcPr>
          <w:p w14:paraId="20FC88E0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 xml:space="preserve">wysokie </w:t>
            </w:r>
          </w:p>
        </w:tc>
        <w:tc>
          <w:tcPr>
            <w:tcW w:w="5528" w:type="dxa"/>
            <w:vAlign w:val="center"/>
          </w:tcPr>
          <w:p w14:paraId="131BAAAE" w14:textId="77777777" w:rsidR="002C0CD3" w:rsidRPr="002C0CD3" w:rsidRDefault="002C0CD3" w:rsidP="00807348">
            <w:pPr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Wysoki stopień zagrożenia. Tak często, jak to jest konieczne dla zapewnienia skutecznego stosowania przepisów i ograniczenia ryzyka.</w:t>
            </w:r>
          </w:p>
        </w:tc>
      </w:tr>
    </w:tbl>
    <w:p w14:paraId="7FD83735" w14:textId="77777777" w:rsidR="002C0CD3" w:rsidRPr="002C0CD3" w:rsidRDefault="002C0CD3" w:rsidP="002C0CD3">
      <w:pPr>
        <w:spacing w:before="240"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i/>
          <w:iCs/>
          <w:sz w:val="22"/>
          <w:szCs w:val="22"/>
        </w:rPr>
        <w:t>Uwaga: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sz w:val="22"/>
          <w:szCs w:val="22"/>
        </w:rPr>
        <w:t>Kategorie służą planowaniu częstotliwości kontroli i ustalaniu priorytetów działań. Klasyfikacja ryzyka podlega aktualizacji w przypadku zmian w działalności przedsiębiorcy lub nowych informacji wpływających na ryzyko.</w:t>
      </w:r>
    </w:p>
    <w:p w14:paraId="24CAD5FB" w14:textId="77777777" w:rsidR="002C0CD3" w:rsidRPr="002C0CD3" w:rsidRDefault="002C0CD3" w:rsidP="002C0CD3">
      <w:pPr>
        <w:spacing w:before="240"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7. Zasady dotyczące częstotliwości kontroli przedsiębiorcy</w:t>
      </w:r>
    </w:p>
    <w:p w14:paraId="147FBD0D" w14:textId="77777777" w:rsidR="002C0CD3" w:rsidRPr="002C0CD3" w:rsidRDefault="002C0CD3" w:rsidP="002C0CD3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7.1 Załącznik nr 1 - obszar epidemiologii oraz szczepień ochronnych  </w:t>
      </w:r>
    </w:p>
    <w:bookmarkEnd w:id="1"/>
    <w:p w14:paraId="03845E6A" w14:textId="77777777" w:rsidR="002C0CD3" w:rsidRPr="002C0CD3" w:rsidRDefault="002C0CD3" w:rsidP="002C0CD3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7.2 Załącznik nr 2 - obszar higieny dzieci i młodzieży</w:t>
      </w:r>
    </w:p>
    <w:p w14:paraId="0826AEF3" w14:textId="77777777" w:rsidR="002C0CD3" w:rsidRPr="002C0CD3" w:rsidRDefault="002C0CD3" w:rsidP="002C0CD3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7.3 Załącznik nr 3 – obszar higieny pracy i nadzoru nad chemikaliami</w:t>
      </w:r>
    </w:p>
    <w:p w14:paraId="4F125AB9" w14:textId="77777777" w:rsidR="002C0CD3" w:rsidRPr="002C0CD3" w:rsidRDefault="002C0CD3" w:rsidP="002C0CD3">
      <w:pPr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7.4 Załącznik nr 4 - obszar higieny komunalnej.</w:t>
      </w:r>
    </w:p>
    <w:p w14:paraId="0E2F38C3" w14:textId="77777777" w:rsidR="002C0CD3" w:rsidRPr="002C0CD3" w:rsidRDefault="002C0CD3" w:rsidP="002C0CD3">
      <w:pPr>
        <w:spacing w:before="240"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8. Działania kontrolne przypisane do kategorii ryzyka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22"/>
        <w:gridCol w:w="3260"/>
        <w:gridCol w:w="4536"/>
      </w:tblGrid>
      <w:tr w:rsidR="002C0CD3" w:rsidRPr="002C0CD3" w14:paraId="422988FB" w14:textId="77777777" w:rsidTr="002C0CD3">
        <w:trPr>
          <w:trHeight w:val="520"/>
        </w:trPr>
        <w:tc>
          <w:tcPr>
            <w:tcW w:w="2122" w:type="dxa"/>
            <w:vAlign w:val="center"/>
          </w:tcPr>
          <w:p w14:paraId="44A1443E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Kategoria ryzyka</w:t>
            </w:r>
          </w:p>
        </w:tc>
        <w:tc>
          <w:tcPr>
            <w:tcW w:w="3260" w:type="dxa"/>
            <w:vAlign w:val="center"/>
          </w:tcPr>
          <w:p w14:paraId="79C3C939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Częstotliwość kontroli</w:t>
            </w:r>
          </w:p>
        </w:tc>
        <w:tc>
          <w:tcPr>
            <w:tcW w:w="4536" w:type="dxa"/>
            <w:vAlign w:val="center"/>
          </w:tcPr>
          <w:p w14:paraId="670B9394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Zakres i charakter kontroli</w:t>
            </w:r>
          </w:p>
        </w:tc>
      </w:tr>
      <w:tr w:rsidR="002C0CD3" w:rsidRPr="002C0CD3" w14:paraId="15B01A21" w14:textId="77777777" w:rsidTr="002C0CD3">
        <w:trPr>
          <w:trHeight w:val="721"/>
        </w:trPr>
        <w:tc>
          <w:tcPr>
            <w:tcW w:w="2122" w:type="dxa"/>
            <w:vAlign w:val="center"/>
          </w:tcPr>
          <w:p w14:paraId="4E78D475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Niskie</w:t>
            </w:r>
          </w:p>
        </w:tc>
        <w:tc>
          <w:tcPr>
            <w:tcW w:w="3260" w:type="dxa"/>
            <w:vAlign w:val="center"/>
          </w:tcPr>
          <w:p w14:paraId="0C7B6D17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 xml:space="preserve">Zgodnie z planem kontroli – nie częściej niż raz na w ciągu </w:t>
            </w: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5 lat</w:t>
            </w:r>
          </w:p>
        </w:tc>
        <w:tc>
          <w:tcPr>
            <w:tcW w:w="4536" w:type="dxa"/>
            <w:vAlign w:val="center"/>
          </w:tcPr>
          <w:p w14:paraId="7614C400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Kontrola planowa, działania rutynowe</w:t>
            </w:r>
          </w:p>
        </w:tc>
      </w:tr>
      <w:tr w:rsidR="002C0CD3" w:rsidRPr="002C0CD3" w14:paraId="3B5764F2" w14:textId="77777777" w:rsidTr="002C0CD3">
        <w:trPr>
          <w:trHeight w:val="299"/>
        </w:trPr>
        <w:tc>
          <w:tcPr>
            <w:tcW w:w="2122" w:type="dxa"/>
            <w:vAlign w:val="center"/>
          </w:tcPr>
          <w:p w14:paraId="1FE72DA5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Średnie</w:t>
            </w:r>
          </w:p>
        </w:tc>
        <w:tc>
          <w:tcPr>
            <w:tcW w:w="3260" w:type="dxa"/>
            <w:vAlign w:val="center"/>
          </w:tcPr>
          <w:p w14:paraId="02CEDBA0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 xml:space="preserve">Według planu lub w razie potrzeby – nie częściej niż raz na w </w:t>
            </w:r>
            <w:r w:rsidRPr="002C0C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ciągu 3 lat</w:t>
            </w:r>
          </w:p>
        </w:tc>
        <w:tc>
          <w:tcPr>
            <w:tcW w:w="4536" w:type="dxa"/>
            <w:vAlign w:val="center"/>
          </w:tcPr>
          <w:p w14:paraId="54CC43F1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color w:val="EE000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Kontrola planowa, interwencyjna lub na wniosek strony</w:t>
            </w:r>
          </w:p>
        </w:tc>
      </w:tr>
      <w:tr w:rsidR="002C0CD3" w:rsidRPr="002C0CD3" w14:paraId="5146F2A8" w14:textId="77777777" w:rsidTr="002C0CD3">
        <w:trPr>
          <w:trHeight w:val="718"/>
        </w:trPr>
        <w:tc>
          <w:tcPr>
            <w:tcW w:w="2122" w:type="dxa"/>
            <w:vAlign w:val="center"/>
          </w:tcPr>
          <w:p w14:paraId="22C87414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Wysokie</w:t>
            </w:r>
          </w:p>
        </w:tc>
        <w:tc>
          <w:tcPr>
            <w:tcW w:w="3260" w:type="dxa"/>
            <w:vAlign w:val="center"/>
          </w:tcPr>
          <w:p w14:paraId="7F19E6C6" w14:textId="77777777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Tak często, jak to jest konieczne dla zapewnienia skutecznego stosowania przepisów i ograniczenia ryzyka</w:t>
            </w:r>
          </w:p>
        </w:tc>
        <w:tc>
          <w:tcPr>
            <w:tcW w:w="4536" w:type="dxa"/>
            <w:vAlign w:val="center"/>
          </w:tcPr>
          <w:p w14:paraId="72D770B4" w14:textId="77777777" w:rsid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 xml:space="preserve">Kontrola planowa, nieplanowana lub doraźna, </w:t>
            </w:r>
          </w:p>
          <w:p w14:paraId="1FB72D06" w14:textId="01D8BD01" w:rsidR="002C0CD3" w:rsidRPr="002C0CD3" w:rsidRDefault="002C0CD3" w:rsidP="0080734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w tym bez uprzedzenia</w:t>
            </w:r>
          </w:p>
        </w:tc>
      </w:tr>
    </w:tbl>
    <w:p w14:paraId="29D7E8B4" w14:textId="77777777" w:rsidR="002C0CD3" w:rsidRPr="002C0CD3" w:rsidRDefault="002C0CD3" w:rsidP="002C0CD3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Schemat określa maksymalną częstotliwość kontroli zgodnie z art. 55 i 55a ww. ustawy: dla ryzyka niskiego – raz na 5 lat, dla ryzyka średniego – raz na 3 lata, dla ryzyka wysokiego – tak często, jak wymaga charakter zagrożenia.</w:t>
      </w:r>
      <w:r w:rsidRPr="002C0CD3">
        <w:rPr>
          <w:rFonts w:asciiTheme="majorHAnsi" w:hAnsiTheme="majorHAnsi" w:cstheme="majorHAnsi"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lastRenderedPageBreak/>
        <w:t>Nie stosuje się przedziałów czasu, aby zapewnić jednolite i zgodne z przepisami prawa stosowanie częstotliwości kontroli.</w:t>
      </w:r>
    </w:p>
    <w:p w14:paraId="5B071AC7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i/>
          <w:iCs/>
          <w:sz w:val="22"/>
          <w:szCs w:val="22"/>
        </w:rPr>
        <w:t>Uwaga:</w:t>
      </w:r>
    </w:p>
    <w:p w14:paraId="3A9B38E2" w14:textId="77777777" w:rsidR="002C0CD3" w:rsidRPr="002C0CD3" w:rsidRDefault="002C0CD3" w:rsidP="002C0CD3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overflowPunct/>
        <w:spacing w:line="259" w:lineRule="auto"/>
        <w:ind w:hanging="7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Odstępstwa od podanej częstotliwości mogą wynikać z:</w:t>
      </w:r>
    </w:p>
    <w:p w14:paraId="6FE201DA" w14:textId="77777777" w:rsidR="002C0CD3" w:rsidRPr="002C0CD3" w:rsidRDefault="002C0CD3" w:rsidP="002C0CD3">
      <w:pPr>
        <w:numPr>
          <w:ilvl w:val="1"/>
          <w:numId w:val="13"/>
        </w:numPr>
        <w:suppressAutoHyphens w:val="0"/>
        <w:overflowPunct/>
        <w:spacing w:line="259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ratyfikowanych umów międzynarodowych,</w:t>
      </w:r>
    </w:p>
    <w:p w14:paraId="4C6DFA89" w14:textId="77777777" w:rsidR="002C0CD3" w:rsidRPr="002C0CD3" w:rsidRDefault="002C0CD3" w:rsidP="002C0CD3">
      <w:pPr>
        <w:numPr>
          <w:ilvl w:val="1"/>
          <w:numId w:val="13"/>
        </w:numPr>
        <w:tabs>
          <w:tab w:val="num" w:pos="284"/>
        </w:tabs>
        <w:suppressAutoHyphens w:val="0"/>
        <w:overflowPunct/>
        <w:spacing w:line="259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przepisów prawa UE,</w:t>
      </w:r>
    </w:p>
    <w:p w14:paraId="32313ACE" w14:textId="77777777" w:rsidR="002C0CD3" w:rsidRPr="002C0CD3" w:rsidRDefault="002C0CD3" w:rsidP="002C0CD3">
      <w:pPr>
        <w:numPr>
          <w:ilvl w:val="1"/>
          <w:numId w:val="13"/>
        </w:numPr>
        <w:tabs>
          <w:tab w:val="num" w:pos="284"/>
        </w:tabs>
        <w:suppressAutoHyphens w:val="0"/>
        <w:overflowPunct/>
        <w:spacing w:line="259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przepisów odrębnych.</w:t>
      </w:r>
    </w:p>
    <w:p w14:paraId="25A9ACEE" w14:textId="77777777" w:rsidR="002C0CD3" w:rsidRPr="002C0CD3" w:rsidRDefault="002C0CD3" w:rsidP="002C0CD3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overflowPunct/>
        <w:spacing w:line="259" w:lineRule="auto"/>
        <w:ind w:hanging="7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Dodatkowe czynniki wpływające na priorytet kontroli:</w:t>
      </w:r>
    </w:p>
    <w:p w14:paraId="795BF3DC" w14:textId="77777777" w:rsidR="002C0CD3" w:rsidRPr="002C0CD3" w:rsidRDefault="002C0CD3" w:rsidP="002C0CD3">
      <w:pPr>
        <w:numPr>
          <w:ilvl w:val="1"/>
          <w:numId w:val="13"/>
        </w:numPr>
        <w:suppressAutoHyphens w:val="0"/>
        <w:overflowPunct/>
        <w:spacing w:line="259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wielkość narażonej populacji,</w:t>
      </w:r>
    </w:p>
    <w:p w14:paraId="57A7311D" w14:textId="77777777" w:rsidR="002C0CD3" w:rsidRPr="002C0CD3" w:rsidRDefault="002C0CD3" w:rsidP="002C0CD3">
      <w:pPr>
        <w:numPr>
          <w:ilvl w:val="1"/>
          <w:numId w:val="13"/>
        </w:numPr>
        <w:suppressAutoHyphens w:val="0"/>
        <w:overflowPunct/>
        <w:spacing w:line="259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warunki zdrowotne populacji,</w:t>
      </w:r>
    </w:p>
    <w:p w14:paraId="4413F87B" w14:textId="77777777" w:rsidR="002C0CD3" w:rsidRPr="002C0CD3" w:rsidRDefault="002C0CD3" w:rsidP="002C0CD3">
      <w:pPr>
        <w:numPr>
          <w:ilvl w:val="1"/>
          <w:numId w:val="13"/>
        </w:numPr>
        <w:suppressAutoHyphens w:val="0"/>
        <w:overflowPunct/>
        <w:spacing w:line="259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inwazyjność zabiegów i usług,</w:t>
      </w:r>
    </w:p>
    <w:p w14:paraId="4D306372" w14:textId="77777777" w:rsidR="002C0CD3" w:rsidRPr="002C0CD3" w:rsidRDefault="002C0CD3" w:rsidP="002C0CD3">
      <w:pPr>
        <w:numPr>
          <w:ilvl w:val="1"/>
          <w:numId w:val="13"/>
        </w:numPr>
        <w:suppressAutoHyphens w:val="0"/>
        <w:overflowPunct/>
        <w:spacing w:line="259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ryzyka wynikające ze specyfiki obiektu.</w:t>
      </w:r>
    </w:p>
    <w:p w14:paraId="5463E14F" w14:textId="77777777" w:rsidR="002C0CD3" w:rsidRPr="002C0CD3" w:rsidRDefault="002C0CD3" w:rsidP="002C0CD3">
      <w:p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9. Zwiększenie częstotliwości kontroli</w:t>
      </w:r>
    </w:p>
    <w:p w14:paraId="7A9A061F" w14:textId="0824B6D5" w:rsidR="002C0CD3" w:rsidRPr="002C0CD3" w:rsidRDefault="002C0CD3" w:rsidP="002C0CD3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Państwowy Powiatowy Inspektor Sanitarny w Gołdapi może zwiększyć częstotliwość kontroli poza standardowym schematem, szczególnie w przypadkach, gdy istnieją uzasadnione przesłanki do dodatkowej weryfikacji. Takie sytuacje obejmują:</w:t>
      </w:r>
    </w:p>
    <w:p w14:paraId="01E9D57E" w14:textId="77777777" w:rsidR="002C0CD3" w:rsidRPr="002C0CD3" w:rsidRDefault="002C0CD3" w:rsidP="002C0CD3">
      <w:pPr>
        <w:pStyle w:val="Akapitzlist"/>
        <w:numPr>
          <w:ilvl w:val="0"/>
          <w:numId w:val="24"/>
        </w:numPr>
        <w:suppressAutoHyphens w:val="0"/>
        <w:overflowPunct/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Zagrożenia dla życia, zdrowia ludzi lub środowiska:</w:t>
      </w:r>
    </w:p>
    <w:p w14:paraId="02AFEA90" w14:textId="77777777" w:rsidR="002C0CD3" w:rsidRPr="002C0CD3" w:rsidRDefault="002C0CD3" w:rsidP="002C0CD3">
      <w:pPr>
        <w:pStyle w:val="Akapitzlist"/>
        <w:numPr>
          <w:ilvl w:val="0"/>
          <w:numId w:val="25"/>
        </w:numPr>
        <w:suppressAutoHyphens w:val="0"/>
        <w:overflowPunct/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wystąpienie lub podejrzenie zagrożenia,</w:t>
      </w:r>
    </w:p>
    <w:p w14:paraId="31C65B1A" w14:textId="77777777" w:rsidR="002C0CD3" w:rsidRPr="002C0CD3" w:rsidRDefault="002C0CD3" w:rsidP="002C0CD3">
      <w:pPr>
        <w:pStyle w:val="Akapitzlist"/>
        <w:numPr>
          <w:ilvl w:val="0"/>
          <w:numId w:val="25"/>
        </w:numPr>
        <w:suppressAutoHyphens w:val="0"/>
        <w:overflowPunct/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zgłoszenie podmiotu rozpoczynającego działalność.</w:t>
      </w:r>
    </w:p>
    <w:p w14:paraId="21A1B52E" w14:textId="77777777" w:rsidR="002C0CD3" w:rsidRPr="002C0CD3" w:rsidRDefault="002C0CD3" w:rsidP="002C0CD3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2) Naruszenia prawa i obowiązków przedsiębiorcy:</w:t>
      </w:r>
    </w:p>
    <w:p w14:paraId="53B07582" w14:textId="77777777" w:rsidR="002C0CD3" w:rsidRPr="002C0CD3" w:rsidRDefault="002C0CD3" w:rsidP="002C0CD3">
      <w:pPr>
        <w:pStyle w:val="Akapitzlist"/>
        <w:numPr>
          <w:ilvl w:val="0"/>
          <w:numId w:val="26"/>
        </w:numPr>
        <w:suppressAutoHyphens w:val="0"/>
        <w:overflowPunct/>
        <w:autoSpaceDE w:val="0"/>
        <w:autoSpaceDN w:val="0"/>
        <w:adjustRightInd w:val="0"/>
        <w:ind w:left="709" w:hanging="425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stwierdzenie istotnych naruszeń przepisów prawa,</w:t>
      </w:r>
    </w:p>
    <w:p w14:paraId="3398E73A" w14:textId="77777777" w:rsidR="002C0CD3" w:rsidRPr="002C0CD3" w:rsidRDefault="002C0CD3" w:rsidP="002C0CD3">
      <w:pPr>
        <w:pStyle w:val="Akapitzlist"/>
        <w:numPr>
          <w:ilvl w:val="0"/>
          <w:numId w:val="26"/>
        </w:numPr>
        <w:suppressAutoHyphens w:val="0"/>
        <w:overflowPunct/>
        <w:autoSpaceDE w:val="0"/>
        <w:autoSpaceDN w:val="0"/>
        <w:adjustRightInd w:val="0"/>
        <w:ind w:left="709" w:hanging="425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uzasadnione podejrzenie popełnienia przestępstwa lub wykroczenia,</w:t>
      </w:r>
    </w:p>
    <w:p w14:paraId="0BEB5E3C" w14:textId="77777777" w:rsidR="002C0CD3" w:rsidRPr="002C0CD3" w:rsidRDefault="002C0CD3" w:rsidP="002C0CD3">
      <w:pPr>
        <w:pStyle w:val="Akapitzlist"/>
        <w:numPr>
          <w:ilvl w:val="0"/>
          <w:numId w:val="26"/>
        </w:numPr>
        <w:suppressAutoHyphens w:val="0"/>
        <w:overflowPunct/>
        <w:autoSpaceDE w:val="0"/>
        <w:autoSpaceDN w:val="0"/>
        <w:adjustRightInd w:val="0"/>
        <w:ind w:left="709" w:hanging="425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konieczność sprawdzenia wykonania zaleceń pokontrolnych lub decyzji nakazujących usunięcie naruszeń prawa.</w:t>
      </w:r>
    </w:p>
    <w:p w14:paraId="5F8AE62F" w14:textId="77777777" w:rsidR="002C0CD3" w:rsidRPr="002C0CD3" w:rsidRDefault="002C0CD3" w:rsidP="002C0CD3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3) Wnioski z kontroli zewnętrznych i poleceń organów:</w:t>
      </w:r>
    </w:p>
    <w:p w14:paraId="6EAD705D" w14:textId="77777777" w:rsidR="002C0CD3" w:rsidRPr="002C0CD3" w:rsidRDefault="002C0CD3" w:rsidP="002C0CD3">
      <w:pPr>
        <w:pStyle w:val="Akapitzlist"/>
        <w:numPr>
          <w:ilvl w:val="0"/>
          <w:numId w:val="27"/>
        </w:numPr>
        <w:suppressAutoHyphens w:val="0"/>
        <w:overflowPunct/>
        <w:autoSpaceDE w:val="0"/>
        <w:autoSpaceDN w:val="0"/>
        <w:adjustRightInd w:val="0"/>
        <w:ind w:left="709" w:hanging="425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wyniki kontroli organów zewnętrznych wskazują na potrzebę dodatkowej interwencji,</w:t>
      </w:r>
    </w:p>
    <w:p w14:paraId="0EBC9114" w14:textId="77777777" w:rsidR="002C0CD3" w:rsidRPr="002C0CD3" w:rsidRDefault="002C0CD3" w:rsidP="002C0CD3">
      <w:pPr>
        <w:pStyle w:val="Akapitzlist"/>
        <w:numPr>
          <w:ilvl w:val="0"/>
          <w:numId w:val="27"/>
        </w:numPr>
        <w:suppressAutoHyphens w:val="0"/>
        <w:overflowPunct/>
        <w:autoSpaceDE w:val="0"/>
        <w:autoSpaceDN w:val="0"/>
        <w:adjustRightInd w:val="0"/>
        <w:ind w:left="709" w:hanging="425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przepisy szczególne lub polecenia właściwych organów wymagają zwiększenia częstotliwości kontroli.</w:t>
      </w:r>
    </w:p>
    <w:p w14:paraId="2F7C0039" w14:textId="77777777" w:rsidR="002C0CD3" w:rsidRDefault="002C0CD3" w:rsidP="002C0CD3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i/>
          <w:iCs/>
          <w:color w:val="000000"/>
          <w:kern w:val="0"/>
          <w:sz w:val="22"/>
          <w:szCs w:val="22"/>
        </w:rPr>
        <w:t>Uwaga: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 Kontrole zwiększane mogą być zarówno planowe, jak i nieplanowe, w zależności od rodzaju ryzyka</w:t>
      </w:r>
    </w:p>
    <w:p w14:paraId="73167851" w14:textId="4E0BA313" w:rsidR="002C0CD3" w:rsidRPr="002C0CD3" w:rsidRDefault="002C0CD3" w:rsidP="002C0CD3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 i charakteru zagrożenia.</w:t>
      </w:r>
    </w:p>
    <w:p w14:paraId="4012A347" w14:textId="77777777" w:rsidR="002C0CD3" w:rsidRPr="002C0CD3" w:rsidRDefault="002C0CD3" w:rsidP="002C0CD3">
      <w:pPr>
        <w:spacing w:before="240"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10. Zawiadamianie przedsiębiorcy </w:t>
      </w:r>
    </w:p>
    <w:p w14:paraId="260EAB58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Przedsiębiorca zostaje zawiadomiony o zamiarze wszczęcia kontroli zgodnie z art. 48 ust. 2 Prawa przedsiębiorców:</w:t>
      </w:r>
    </w:p>
    <w:p w14:paraId="1BD00C90" w14:textId="77777777" w:rsidR="002C0CD3" w:rsidRPr="002C0CD3" w:rsidRDefault="002C0CD3" w:rsidP="002C0CD3">
      <w:pPr>
        <w:pStyle w:val="Akapitzlist"/>
        <w:numPr>
          <w:ilvl w:val="0"/>
          <w:numId w:val="23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216259489"/>
      <w:r w:rsidRPr="002C0CD3">
        <w:rPr>
          <w:rFonts w:asciiTheme="majorHAnsi" w:hAnsiTheme="majorHAnsi" w:cstheme="majorHAnsi"/>
          <w:sz w:val="22"/>
          <w:szCs w:val="22"/>
        </w:rPr>
        <w:t>Zawiadomienie wysyła się nie wcześniej niż 30 dni i nie później niż 7 dni przed planowaną kontrolą.</w:t>
      </w:r>
    </w:p>
    <w:bookmarkEnd w:id="2"/>
    <w:p w14:paraId="177EAFA1" w14:textId="77777777" w:rsidR="002C0CD3" w:rsidRPr="002C0CD3" w:rsidRDefault="002C0CD3" w:rsidP="002C0CD3">
      <w:pPr>
        <w:pStyle w:val="Akapitzlist"/>
        <w:numPr>
          <w:ilvl w:val="0"/>
          <w:numId w:val="23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 przypadkach określonych przepisami, np. gdy istnieje bezpośrednie zagrożenie zdrowia lub życia, kontrola może być przeprowadzona bez uprzedzenia.</w:t>
      </w:r>
    </w:p>
    <w:p w14:paraId="7224799E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i/>
          <w:iCs/>
          <w:sz w:val="22"/>
          <w:szCs w:val="22"/>
        </w:rPr>
        <w:t>Uwaga:</w:t>
      </w:r>
      <w:r w:rsidRPr="002C0CD3">
        <w:rPr>
          <w:rFonts w:asciiTheme="majorHAnsi" w:hAnsiTheme="majorHAnsi" w:cstheme="majorHAnsi"/>
          <w:sz w:val="22"/>
          <w:szCs w:val="22"/>
        </w:rPr>
        <w:br/>
        <w:t>Zawiadomienie zawiera informacje o zakresie kontroli i podstawie prawnej jej przeprowadzenia, tak aby przedsiębiorca mógł się odpowiednio przygotować.</w:t>
      </w:r>
    </w:p>
    <w:p w14:paraId="7C5AA332" w14:textId="77777777" w:rsidR="002C0CD3" w:rsidRPr="002C0CD3" w:rsidRDefault="002C0CD3" w:rsidP="002C0CD3">
      <w:p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11. Kontrole nieplanowane</w:t>
      </w:r>
    </w:p>
    <w:p w14:paraId="3C33BEA8" w14:textId="77777777" w:rsidR="002C0CD3" w:rsidRPr="002C0CD3" w:rsidRDefault="002C0CD3" w:rsidP="002C0CD3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Kontrole nieplanowane przeprowadzane są niezależnie od kategorii ryzyka w szczególności w przypadkach:</w:t>
      </w:r>
    </w:p>
    <w:p w14:paraId="282618DC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skarg lub zgłoszeń od obywateli,</w:t>
      </w:r>
    </w:p>
    <w:p w14:paraId="6EF67040" w14:textId="77777777" w:rsid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postępowań prowadzonych przez Państwowego Powiatowego Inspektora Sanitarnego w Gołdapi </w:t>
      </w:r>
    </w:p>
    <w:p w14:paraId="589483FE" w14:textId="432148E6" w:rsidR="002C0CD3" w:rsidRPr="002C0CD3" w:rsidRDefault="002C0CD3" w:rsidP="002C0CD3">
      <w:pPr>
        <w:pStyle w:val="Akapitzlist"/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w związku z interwencjami,</w:t>
      </w:r>
    </w:p>
    <w:p w14:paraId="54987978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wystąpienia lub podejrzenia zagrożeń zdrowotnych,</w:t>
      </w:r>
    </w:p>
    <w:p w14:paraId="7878D465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weryfikacji wykonania zaleceń pokontrolnych,</w:t>
      </w:r>
    </w:p>
    <w:p w14:paraId="4E7924CC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poleceń właściwych organów administracji,</w:t>
      </w:r>
    </w:p>
    <w:p w14:paraId="18857490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postępowań administracyjnych i egzekucyjnych (kontrole sprawdzające),</w:t>
      </w:r>
    </w:p>
    <w:p w14:paraId="52D5729B" w14:textId="3399F69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Cs/>
          <w:color w:val="000000"/>
          <w:sz w:val="22"/>
          <w:szCs w:val="22"/>
        </w:rPr>
        <w:lastRenderedPageBreak/>
        <w:t>zgłoszenia wypoczynku dzieci i młodzieży w bazie wypoczynku prowadzonej przez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bCs/>
          <w:color w:val="000000"/>
          <w:sz w:val="22"/>
          <w:szCs w:val="22"/>
        </w:rPr>
        <w:t>ministra właściwego ds. oświaty i wychowania,</w:t>
      </w:r>
    </w:p>
    <w:p w14:paraId="619A8A49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Cs/>
          <w:sz w:val="22"/>
          <w:szCs w:val="22"/>
        </w:rPr>
        <w:t>otrzymania z europejskich systemów RAPEX/</w:t>
      </w:r>
      <w:proofErr w:type="spellStart"/>
      <w:r w:rsidRPr="002C0CD3">
        <w:rPr>
          <w:rFonts w:asciiTheme="majorHAnsi" w:hAnsiTheme="majorHAnsi" w:cstheme="majorHAnsi"/>
          <w:bCs/>
          <w:sz w:val="22"/>
          <w:szCs w:val="22"/>
        </w:rPr>
        <w:t>Safety</w:t>
      </w:r>
      <w:proofErr w:type="spellEnd"/>
      <w:r w:rsidRPr="002C0CD3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2C0CD3">
        <w:rPr>
          <w:rFonts w:asciiTheme="majorHAnsi" w:hAnsiTheme="majorHAnsi" w:cstheme="majorHAnsi"/>
          <w:bCs/>
          <w:sz w:val="22"/>
          <w:szCs w:val="22"/>
        </w:rPr>
        <w:t>Gate</w:t>
      </w:r>
      <w:proofErr w:type="spellEnd"/>
      <w:r w:rsidRPr="002C0CD3">
        <w:rPr>
          <w:rFonts w:asciiTheme="majorHAnsi" w:hAnsiTheme="majorHAnsi" w:cstheme="majorHAnsi"/>
          <w:bCs/>
          <w:sz w:val="22"/>
          <w:szCs w:val="22"/>
        </w:rPr>
        <w:t xml:space="preserve">, ICSMS, </w:t>
      </w:r>
      <w:proofErr w:type="spellStart"/>
      <w:r w:rsidRPr="002C0CD3">
        <w:rPr>
          <w:rFonts w:asciiTheme="majorHAnsi" w:hAnsiTheme="majorHAnsi" w:cstheme="majorHAnsi"/>
          <w:bCs/>
          <w:sz w:val="22"/>
          <w:szCs w:val="22"/>
        </w:rPr>
        <w:t>PENOnline</w:t>
      </w:r>
      <w:proofErr w:type="spellEnd"/>
      <w:r w:rsidRPr="002C0CD3">
        <w:rPr>
          <w:rFonts w:asciiTheme="majorHAnsi" w:hAnsiTheme="majorHAnsi" w:cstheme="majorHAnsi"/>
          <w:bCs/>
          <w:sz w:val="22"/>
          <w:szCs w:val="22"/>
        </w:rPr>
        <w:t xml:space="preserve">, INTERACT PORTAL notyfikacji produktów, które są wprowadzane/udostępniane na rynku przez podmioty działające na terenie danego powiatu, </w:t>
      </w:r>
    </w:p>
    <w:p w14:paraId="00B7F488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Cs/>
          <w:sz w:val="22"/>
          <w:szCs w:val="22"/>
        </w:rPr>
        <w:t>podejrzenia wytwarzania i wprowadzania do obrotu środków zastępczych lub nowych substancji psychoaktywnych,</w:t>
      </w:r>
    </w:p>
    <w:p w14:paraId="2C2CA900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Cs/>
          <w:sz w:val="22"/>
          <w:szCs w:val="22"/>
        </w:rPr>
        <w:t>prowadzenia przez przedsiębiorców działalności w zakresie wytwarzania, przetwarzania, przerabiania, przywozu, wywozu, wewnątrzwspólnotowej dostawy lub wewnątrzwspólnotowego nabycia oraz wprowadzania do obrotu nowej substancji psychoaktywnej, w tym w postaci mieszaniny lub w wyrobie,</w:t>
      </w:r>
    </w:p>
    <w:p w14:paraId="485C2331" w14:textId="77777777" w:rsidR="002C0CD3" w:rsidRPr="002C0CD3" w:rsidRDefault="002C0CD3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Cs/>
          <w:sz w:val="22"/>
          <w:szCs w:val="22"/>
        </w:rPr>
        <w:t>zgłoszeń zamiaru przystąpienia do prac polegających na zabezpieczeniu, usunięciu lub transporcie wyrobów zawierających azbest,</w:t>
      </w:r>
    </w:p>
    <w:p w14:paraId="0E81C122" w14:textId="55026E56" w:rsidR="002C0CD3" w:rsidRPr="00901066" w:rsidRDefault="00901066" w:rsidP="002C0CD3">
      <w:pPr>
        <w:pStyle w:val="Akapitzlist"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contextualSpacing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901066">
        <w:rPr>
          <w:rFonts w:asciiTheme="majorHAnsi" w:hAnsiTheme="majorHAnsi" w:cstheme="majorHAnsi"/>
          <w:kern w:val="0"/>
          <w:sz w:val="22"/>
          <w:szCs w:val="22"/>
        </w:rPr>
        <w:t xml:space="preserve">nie wykonania przez </w:t>
      </w:r>
      <w:r w:rsidR="002C0CD3" w:rsidRPr="00901066">
        <w:rPr>
          <w:rFonts w:asciiTheme="majorHAnsi" w:hAnsiTheme="majorHAnsi" w:cstheme="majorHAnsi"/>
          <w:kern w:val="0"/>
          <w:sz w:val="22"/>
          <w:szCs w:val="22"/>
        </w:rPr>
        <w:t>zarządcę wodociągu</w:t>
      </w:r>
      <w:r w:rsidRPr="00901066">
        <w:rPr>
          <w:rFonts w:asciiTheme="majorHAnsi" w:hAnsiTheme="majorHAnsi" w:cstheme="majorHAnsi"/>
          <w:kern w:val="0"/>
          <w:sz w:val="22"/>
          <w:szCs w:val="22"/>
        </w:rPr>
        <w:t xml:space="preserve"> badania wody</w:t>
      </w:r>
      <w:r w:rsidR="002C0CD3" w:rsidRPr="00901066">
        <w:rPr>
          <w:rFonts w:asciiTheme="majorHAnsi" w:hAnsiTheme="majorHAnsi" w:cstheme="majorHAnsi"/>
          <w:kern w:val="0"/>
          <w:sz w:val="22"/>
          <w:szCs w:val="22"/>
        </w:rPr>
        <w:t>; wykonywane są wtedy kontrolne badania, mające na celu sprawdzenie czy woda spełnia wymagania, o których mowa w rozporządzeniu Ministra Zdrowia z dnia 7 grudnia 2017 roku w sprawie jakości wody przeznaczonej do spożycia przez ludzi.</w:t>
      </w:r>
    </w:p>
    <w:p w14:paraId="22DAFA23" w14:textId="77777777" w:rsidR="002C0CD3" w:rsidRPr="002C0CD3" w:rsidRDefault="002C0CD3" w:rsidP="002C0CD3">
      <w:pPr>
        <w:autoSpaceDE w:val="0"/>
        <w:autoSpaceDN w:val="0"/>
        <w:adjustRightInd w:val="0"/>
        <w:spacing w:before="240" w:after="120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Kontrole te wykonywane są niezwłocznie, niezależnie od kategorii ryzyka</w:t>
      </w: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.</w:t>
      </w:r>
    </w:p>
    <w:p w14:paraId="45BAE0D0" w14:textId="77777777" w:rsidR="002C0CD3" w:rsidRPr="002C0CD3" w:rsidRDefault="002C0CD3" w:rsidP="002C0CD3">
      <w:pPr>
        <w:spacing w:before="240"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11. Publikacja i aktualizacja</w:t>
      </w:r>
    </w:p>
    <w:p w14:paraId="2D4F6C12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Procedura jest publikowana w Biuletynie Informacji Publicznej i podlega przeglądowi oraz aktualizacji na podstawie wyników kontroli, zmian w przepisach prawa oraz na podstawie analiz ryzyka. W przypadku zmian, aktualizacja analizy jest publikowana w terminie 3 miesięcy od dnia przyjęcia kolejnej okresowej analizy zastępującej dotychczasową analizę zgodnie z art. 47 ust. 1a Prawa przedsiębiorców.</w:t>
      </w:r>
    </w:p>
    <w:p w14:paraId="5AF1C694" w14:textId="77777777" w:rsidR="002C0CD3" w:rsidRPr="002C0CD3" w:rsidRDefault="002C0CD3" w:rsidP="002C0CD3">
      <w:pPr>
        <w:spacing w:before="240"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 xml:space="preserve">12. Kontakt </w:t>
      </w:r>
    </w:p>
    <w:p w14:paraId="085C0605" w14:textId="77777777" w:rsidR="002C0CD3" w:rsidRPr="002C0CD3" w:rsidRDefault="002C0CD3" w:rsidP="002C0CD3">
      <w:pPr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Wszelkie pytania dotyczące niniejszej procedury należy kierować na adres Powiatowej Stacji Sanitarno-Epidemiologicznej w Gołdapi, ul. Wolności 11, 19-500 Gołdap; tel. 876151547;</w:t>
      </w:r>
    </w:p>
    <w:p w14:paraId="4D5F90A8" w14:textId="77777777" w:rsidR="002C0CD3" w:rsidRPr="002C0CD3" w:rsidRDefault="002C0CD3" w:rsidP="002C0CD3">
      <w:pPr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email </w:t>
      </w:r>
      <w:hyperlink r:id="rId7" w:history="1">
        <w:r w:rsidRPr="002C0CD3">
          <w:rPr>
            <w:rStyle w:val="Hipercze"/>
            <w:rFonts w:asciiTheme="majorHAnsi" w:hAnsiTheme="majorHAnsi" w:cstheme="majorHAnsi"/>
            <w:sz w:val="22"/>
            <w:szCs w:val="22"/>
          </w:rPr>
          <w:t>psse.goldap@sanepid.go.pl</w:t>
        </w:r>
      </w:hyperlink>
      <w:r w:rsidRPr="002C0CD3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63D68A0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CE3BC08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B16D0D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CB16603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CA35636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2F1648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67698A1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ECA3579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E724CC2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F7743C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D32FFC2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88A86C6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56136D7" w14:textId="77777777" w:rsid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A4367EE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AEDE725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BB53BDD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3533DE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17D643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133548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498832A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82451D5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5C45F30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D16AE2D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82DE6BB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6E53B4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3EE92D9" w14:textId="77777777" w:rsidR="00EA0E3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89A0F3A" w14:textId="77777777" w:rsidR="00EA0E33" w:rsidRPr="002C0CD3" w:rsidRDefault="00EA0E3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81B8EF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4A09912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lastRenderedPageBreak/>
        <w:t>Załącznik Nr 1</w:t>
      </w:r>
    </w:p>
    <w:p w14:paraId="401CFEE9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                                              do Procedury klasyfikacji </w:t>
      </w:r>
    </w:p>
    <w:p w14:paraId="336C1367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ryzyka w działalności kontrolnej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br/>
      </w:r>
    </w:p>
    <w:p w14:paraId="54311954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 xml:space="preserve">Obszar: epidemiologia oraz szczepienia ochronne  </w:t>
      </w:r>
    </w:p>
    <w:p w14:paraId="7AA58D38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1. Zakres</w:t>
      </w:r>
    </w:p>
    <w:p w14:paraId="3C279827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Dotyczy podmiotów wykonujących działalność leczniczą. Podmiot wykonujący działalność leczniczą – zgodnie z Ustawą o działalności leczniczej jest to jeden z poniższych podmiotów:</w:t>
      </w:r>
    </w:p>
    <w:p w14:paraId="5604DEEB" w14:textId="77777777" w:rsidR="002C0CD3" w:rsidRPr="002C0CD3" w:rsidRDefault="002C0CD3" w:rsidP="002C0CD3">
      <w:pPr>
        <w:numPr>
          <w:ilvl w:val="0"/>
          <w:numId w:val="35"/>
        </w:numPr>
        <w:suppressAutoHyphens w:val="0"/>
        <w:overflowPunct/>
        <w:spacing w:before="120" w:after="160" w:line="259" w:lineRule="auto"/>
        <w:ind w:left="714" w:hanging="357"/>
        <w:contextualSpacing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praktyka zawodowa lekarza lub lekarza dentysty,</w:t>
      </w:r>
    </w:p>
    <w:p w14:paraId="13E8B38B" w14:textId="77777777" w:rsidR="002C0CD3" w:rsidRPr="002C0CD3" w:rsidRDefault="002C0CD3" w:rsidP="002C0CD3">
      <w:pPr>
        <w:numPr>
          <w:ilvl w:val="0"/>
          <w:numId w:val="35"/>
        </w:numPr>
        <w:suppressAutoHyphens w:val="0"/>
        <w:overflowPunct/>
        <w:spacing w:before="120" w:after="160" w:line="259" w:lineRule="auto"/>
        <w:ind w:left="714" w:hanging="357"/>
        <w:contextualSpacing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praktyka zawodowa pielęgniarki lub położnej,</w:t>
      </w:r>
    </w:p>
    <w:p w14:paraId="613C8AA0" w14:textId="77777777" w:rsidR="002C0CD3" w:rsidRPr="002C0CD3" w:rsidRDefault="002C0CD3" w:rsidP="002C0CD3">
      <w:pPr>
        <w:numPr>
          <w:ilvl w:val="0"/>
          <w:numId w:val="35"/>
        </w:numPr>
        <w:suppressAutoHyphens w:val="0"/>
        <w:overflowPunct/>
        <w:spacing w:before="120" w:after="160" w:line="259" w:lineRule="auto"/>
        <w:ind w:left="714" w:hanging="357"/>
        <w:contextualSpacing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praktyka zawodowa fizjoterapeuty,</w:t>
      </w:r>
    </w:p>
    <w:p w14:paraId="6A9EFFA1" w14:textId="77777777" w:rsidR="002C0CD3" w:rsidRPr="002C0CD3" w:rsidRDefault="002C0CD3" w:rsidP="002C0CD3">
      <w:pPr>
        <w:numPr>
          <w:ilvl w:val="0"/>
          <w:numId w:val="35"/>
        </w:numPr>
        <w:suppressAutoHyphens w:val="0"/>
        <w:overflowPunct/>
        <w:spacing w:before="120" w:after="160" w:line="259" w:lineRule="auto"/>
        <w:ind w:left="714" w:hanging="357"/>
        <w:contextualSpacing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praktyka zawodowa diagnosty laboratoryjnego,</w:t>
      </w:r>
    </w:p>
    <w:p w14:paraId="70C1A5B7" w14:textId="77777777" w:rsidR="002C0CD3" w:rsidRPr="002C0CD3" w:rsidRDefault="002C0CD3" w:rsidP="002C0CD3">
      <w:pPr>
        <w:numPr>
          <w:ilvl w:val="0"/>
          <w:numId w:val="35"/>
        </w:numPr>
        <w:suppressAutoHyphens w:val="0"/>
        <w:overflowPunct/>
        <w:spacing w:before="120" w:after="160" w:line="259" w:lineRule="auto"/>
        <w:ind w:left="714" w:hanging="357"/>
        <w:contextualSpacing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podmiot leczniczy,</w:t>
      </w:r>
    </w:p>
    <w:p w14:paraId="4FFF62B4" w14:textId="77777777" w:rsidR="002C0CD3" w:rsidRPr="002C0CD3" w:rsidRDefault="002C0CD3" w:rsidP="002C0CD3">
      <w:pPr>
        <w:numPr>
          <w:ilvl w:val="0"/>
          <w:numId w:val="35"/>
        </w:numPr>
        <w:suppressAutoHyphens w:val="0"/>
        <w:overflowPunct/>
        <w:spacing w:before="120" w:after="160" w:line="259" w:lineRule="auto"/>
        <w:ind w:left="714" w:hanging="357"/>
        <w:contextualSpacing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zakład leczniczy.</w:t>
      </w:r>
    </w:p>
    <w:p w14:paraId="137A6BBC" w14:textId="77777777" w:rsidR="002C0CD3" w:rsidRPr="002C0CD3" w:rsidRDefault="002C0CD3" w:rsidP="002C0CD3">
      <w:pPr>
        <w:spacing w:before="120" w:after="12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2. Ocena ryzyka</w:t>
      </w:r>
    </w:p>
    <w:p w14:paraId="5A83C4B1" w14:textId="77777777" w:rsidR="002C0CD3" w:rsidRPr="002C0CD3" w:rsidRDefault="002C0CD3" w:rsidP="002C0CD3">
      <w:pPr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Ocena ryzyka we wszystkich podmiotach wykonujących działalność leczniczą opiera się na:</w:t>
      </w:r>
    </w:p>
    <w:p w14:paraId="0C1D9963" w14:textId="77777777" w:rsidR="002C0CD3" w:rsidRPr="002C0CD3" w:rsidRDefault="002C0CD3" w:rsidP="00EA0E33">
      <w:pPr>
        <w:pStyle w:val="Akapitzlist"/>
        <w:numPr>
          <w:ilvl w:val="0"/>
          <w:numId w:val="36"/>
        </w:numPr>
        <w:suppressAutoHyphens w:val="0"/>
        <w:overflowPunct/>
        <w:spacing w:after="120" w:line="259" w:lineRule="auto"/>
        <w:ind w:left="357" w:hanging="357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skuteczności podejmowania działań zapobiegających szerzeniu się zakażeń i chorób zakaźnych, a w szczególności:</w:t>
      </w:r>
    </w:p>
    <w:p w14:paraId="669231B2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ocena ryzyka wystąpienia zakażenia związanego z wykonywaniem świadczeń zdrowotnych;</w:t>
      </w:r>
    </w:p>
    <w:p w14:paraId="49CB9D3A" w14:textId="77777777" w:rsidR="00EA0E3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monitorowanie czynników alarmowych i zakażeń związanych z udzielaniem świadczeń zdrowotnych </w:t>
      </w:r>
    </w:p>
    <w:p w14:paraId="1189657D" w14:textId="494727B8" w:rsidR="002C0CD3" w:rsidRPr="002C0CD3" w:rsidRDefault="002C0CD3" w:rsidP="00EA0E33">
      <w:pPr>
        <w:pStyle w:val="Akapitzlist"/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 zakresie wykonywanych świadczeń;</w:t>
      </w:r>
    </w:p>
    <w:p w14:paraId="5F072E7F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opracowanie, wdrożenie i nadzór nad procedurami zapobiegającymi zakażeniom i chorobom zakaźnym związanym z udzielaniem świadczeń zdrowotnych, w tym dekontaminacji skóry i błon śluzowych lub innych tkanek, wyrobów medycznych oraz powierzchni pomieszczeń i urządzeń; </w:t>
      </w:r>
    </w:p>
    <w:p w14:paraId="318F9FEB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stosowanie środków ochrony indywidualnej i zbiorowej w celu zapobieżenia przeniesieniu na inne osoby biologicznych czynników chorobotwórczych;</w:t>
      </w:r>
    </w:p>
    <w:p w14:paraId="6DF6D5C8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wykonywanie badań laboratoryjnych oraz analizę lokalnej sytuacji epidemiologicznej w celu optymalizacji profilaktyki i terapii antybiotykowej; </w:t>
      </w:r>
    </w:p>
    <w:p w14:paraId="31744A93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prowadzenie kontroli wewnętrznej w zakresie realizacji działań wymienionych powyżej;</w:t>
      </w:r>
    </w:p>
    <w:p w14:paraId="555DB90D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spełnienie szczegółowych wymagań, jakim powinny odpowiadać pomieszczenia i urządzenia podmiotu wykonującego działalność leczniczą.</w:t>
      </w:r>
    </w:p>
    <w:p w14:paraId="079104CA" w14:textId="77777777" w:rsidR="002C0CD3" w:rsidRPr="002C0CD3" w:rsidRDefault="002C0CD3" w:rsidP="002C0CD3">
      <w:pPr>
        <w:spacing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 przypadku podmiotów wykonujących działalność leczniczą w rodzaju świadczenia szpitalne ocena ryzyka opiera się dodatkowo poza kryteriami określonymi w pkt.1) na:</w:t>
      </w:r>
    </w:p>
    <w:p w14:paraId="61715D6C" w14:textId="77777777" w:rsidR="002C0CD3" w:rsidRPr="002C0CD3" w:rsidRDefault="002C0CD3" w:rsidP="002C0CD3">
      <w:pPr>
        <w:pStyle w:val="Akapitzlist"/>
        <w:numPr>
          <w:ilvl w:val="0"/>
          <w:numId w:val="36"/>
        </w:numPr>
        <w:suppressAutoHyphens w:val="0"/>
        <w:overflowPunct/>
        <w:spacing w:after="120" w:line="259" w:lineRule="auto"/>
        <w:ind w:left="357" w:hanging="357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skuteczności wdrożenia i zapewnienia funkcjonowania systemu zapobiegania i zwalczania zakażeń szpitalnych i chorób zakaźnych, a w szczególności:</w:t>
      </w:r>
    </w:p>
    <w:p w14:paraId="5519E03C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powołanie i nadzór nad działalnością zespołu i komitetu kontroli zakażeń szpitalnych; </w:t>
      </w:r>
    </w:p>
    <w:p w14:paraId="5CBC3C21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ocena ryzyka i monitorowaniu występowania zakażeń szpitalnych i czynników alarmowych; </w:t>
      </w:r>
    </w:p>
    <w:p w14:paraId="3C5BB221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organizacja udzielania świadczeń zdrowotnych, w sposób zapewniający: </w:t>
      </w:r>
    </w:p>
    <w:p w14:paraId="24CD644C" w14:textId="77777777" w:rsidR="002C0CD3" w:rsidRPr="002C0CD3" w:rsidRDefault="002C0CD3" w:rsidP="002C0CD3">
      <w:pPr>
        <w:pStyle w:val="Akapitzlist"/>
        <w:numPr>
          <w:ilvl w:val="0"/>
          <w:numId w:val="37"/>
        </w:numPr>
        <w:suppressAutoHyphens w:val="0"/>
        <w:overflowPunct/>
        <w:spacing w:line="259" w:lineRule="auto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zapobieganie zakażeniom szpitalnym i szerzeniu się czynników alarmowych,</w:t>
      </w:r>
    </w:p>
    <w:p w14:paraId="768D75F2" w14:textId="77777777" w:rsidR="002C0CD3" w:rsidRPr="002C0CD3" w:rsidRDefault="002C0CD3" w:rsidP="002C0CD3">
      <w:pPr>
        <w:pStyle w:val="Akapitzlist"/>
        <w:numPr>
          <w:ilvl w:val="0"/>
          <w:numId w:val="37"/>
        </w:numPr>
        <w:suppressAutoHyphens w:val="0"/>
        <w:overflowPunct/>
        <w:spacing w:line="259" w:lineRule="auto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warunki izolacji pacjentów z zakażeniem lub chorobą zakaźną oraz pacjentów szczególnie podatnych na zakażenia szpitalne,</w:t>
      </w:r>
    </w:p>
    <w:p w14:paraId="2BF2C9EA" w14:textId="77777777" w:rsidR="002C0CD3" w:rsidRPr="002C0CD3" w:rsidRDefault="002C0CD3" w:rsidP="00EA0E33">
      <w:pPr>
        <w:pStyle w:val="Akapitzlist"/>
        <w:numPr>
          <w:ilvl w:val="0"/>
          <w:numId w:val="37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możliwość wykonywania badań laboratoryjnych w ciągu całej doby, </w:t>
      </w:r>
    </w:p>
    <w:p w14:paraId="1C38D95F" w14:textId="77777777" w:rsidR="002C0CD3" w:rsidRPr="002C0CD3" w:rsidRDefault="002C0CD3" w:rsidP="00EA0E33">
      <w:pPr>
        <w:pStyle w:val="Akapitzlist"/>
        <w:numPr>
          <w:ilvl w:val="0"/>
          <w:numId w:val="37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wykonywanie badań laboratoryjnych, umożliwiających identyfikację biologicznych czynników chorobotwórczych wywołujących zakażenia i choroby zakaźne,</w:t>
      </w:r>
    </w:p>
    <w:p w14:paraId="4BF7D04D" w14:textId="77777777" w:rsidR="002C0CD3" w:rsidRPr="002C0CD3" w:rsidRDefault="002C0CD3" w:rsidP="00EA0E33">
      <w:pPr>
        <w:pStyle w:val="Akapitzlist"/>
        <w:numPr>
          <w:ilvl w:val="0"/>
          <w:numId w:val="37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ograniczenie narastania lekooporności biologicznych czynników chorobotwórczych w wyniku niewłaściwego stosowania profilaktyki i terapii antybiotykowej;</w:t>
      </w:r>
    </w:p>
    <w:p w14:paraId="7CFEFC0D" w14:textId="77777777" w:rsidR="002C0CD3" w:rsidRPr="002C0CD3" w:rsidRDefault="002C0CD3" w:rsidP="002C0CD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monitorowanie i rejestracja zakażeń szpitalnych i czynników alarmowych;</w:t>
      </w:r>
    </w:p>
    <w:p w14:paraId="5D187602" w14:textId="77777777" w:rsidR="002C0CD3" w:rsidRPr="002C0CD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sporządzanie i przekazywanie właściwemu państwowemu inspektorowi sanitarnemu raportów o bieżącej sytuacji epidemiologicznej szpitala; </w:t>
      </w:r>
    </w:p>
    <w:p w14:paraId="0E740B2A" w14:textId="77777777" w:rsidR="002C0CD3" w:rsidRPr="002C0CD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lastRenderedPageBreak/>
        <w:t xml:space="preserve">zgłaszanie w ciągu 24 godzin potwierdzonego epidemicznego wzrostu liczby zakażeń szpitalnych właściwemu państwowemu inspektorowi sanitarnemu. </w:t>
      </w:r>
    </w:p>
    <w:p w14:paraId="14DCF4F8" w14:textId="77777777" w:rsidR="002C0CD3" w:rsidRPr="002C0CD3" w:rsidRDefault="002C0CD3" w:rsidP="00EA0E33">
      <w:pPr>
        <w:spacing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 przypadku podmiotów leczniczych realizujących Program Szczepień Ochronnych (PSO) ocena ryzyka opiera się dodatkowo poza kryteriami określonymi w pkt.1) na:</w:t>
      </w:r>
    </w:p>
    <w:p w14:paraId="7BAE9619" w14:textId="77777777" w:rsidR="002C0CD3" w:rsidRPr="002C0CD3" w:rsidRDefault="002C0CD3" w:rsidP="002C0CD3">
      <w:pPr>
        <w:pStyle w:val="Akapitzlist"/>
        <w:numPr>
          <w:ilvl w:val="0"/>
          <w:numId w:val="36"/>
        </w:numPr>
        <w:suppressAutoHyphens w:val="0"/>
        <w:overflowPunct/>
        <w:spacing w:after="120" w:line="259" w:lineRule="auto"/>
        <w:ind w:left="357" w:hanging="357"/>
        <w:contextualSpacing w:val="0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skuteczności działań podejmowanych podczas realizacji PSO, a w szczególności:</w:t>
      </w:r>
    </w:p>
    <w:p w14:paraId="389613C5" w14:textId="77777777" w:rsidR="00EA0E3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sposób prowadzenia dokumentacji medycznej dotyczącej obowiązkowych szczepień ochronnych </w:t>
      </w:r>
    </w:p>
    <w:p w14:paraId="73C12C46" w14:textId="7B2E418F" w:rsidR="002C0CD3" w:rsidRPr="002C0CD3" w:rsidRDefault="002C0CD3" w:rsidP="00EA0E33">
      <w:pPr>
        <w:pStyle w:val="Akapitzlist"/>
        <w:suppressAutoHyphens w:val="0"/>
        <w:overflowPunct/>
        <w:spacing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i zalecanych szczepień ochronnych i jej obiegu;</w:t>
      </w:r>
    </w:p>
    <w:p w14:paraId="54CC688C" w14:textId="77777777" w:rsidR="002C0CD3" w:rsidRPr="002C0CD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sporządzanie sprawozdań z przeprowadzonych obowiązkowych 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szczepień ochronnych;</w:t>
      </w:r>
    </w:p>
    <w:p w14:paraId="3FCECA28" w14:textId="77777777" w:rsidR="00EA0E3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powiadamianie przez lekarza sprawującego profilaktyczną opiekę zdrowotną osoby obowiązanej do poddania się obowiązkowym szczepieniom ochronnym lub osoby sprawującej prawną pieczę nad osobą małoletnią lub bezradną o obowiązku poddania się tym szczepieniom, a także poinformowanie </w:t>
      </w:r>
    </w:p>
    <w:p w14:paraId="40D3AB16" w14:textId="3CD7D9E4" w:rsidR="002C0CD3" w:rsidRPr="002C0CD3" w:rsidRDefault="002C0CD3" w:rsidP="00EA0E33">
      <w:pPr>
        <w:pStyle w:val="Akapitzlist"/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 szczepieniach zalecanych;</w:t>
      </w:r>
    </w:p>
    <w:p w14:paraId="135737DF" w14:textId="77777777" w:rsidR="002C0CD3" w:rsidRPr="002C0CD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przeprowadzanie szczepień obowiązkowych zgodnie ze schematem szczepienia obejmujący liczbę dawek i terminy ich podania wymagane dla danego szczepienia uwzględniające wiek osoby objętej obowiązkiem szczepienia;</w:t>
      </w:r>
    </w:p>
    <w:p w14:paraId="1407276D" w14:textId="77777777" w:rsidR="002C0CD3" w:rsidRPr="002C0CD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przekazywanie przez lekarza sprawującego profilaktyczną opiekę zdrowotną nad osobą małoletnią raportu o przypadkach niewykonania obowiązkowych szczepień ochronnych;</w:t>
      </w:r>
    </w:p>
    <w:p w14:paraId="71804A06" w14:textId="77777777" w:rsidR="002C0CD3" w:rsidRPr="002C0CD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zgłaszanie przez lekarza, który podejrzewa lub rozpoznaje wystąpienie niepożądanego odczynu poszczepiennego, w ciągu 24 godzin od powzięcia podejrzenia jego wystąpienia, takiego przypadku do państwowego powiatowego inspektora sanitarnego właściwego dla miejsca powzięcia podejrzenia jego wystąpienia;</w:t>
      </w:r>
    </w:p>
    <w:p w14:paraId="61A4C8AE" w14:textId="77777777" w:rsidR="002C0CD3" w:rsidRPr="002C0CD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transport i przechowywanie szczepionek z zachowaniem łańcucha chłodniczego oraz na zasadach określonych w przepisach prawa farmaceutycznego;</w:t>
      </w:r>
    </w:p>
    <w:p w14:paraId="09B3A8D6" w14:textId="77777777" w:rsidR="002C0CD3" w:rsidRPr="002C0CD3" w:rsidRDefault="002C0CD3" w:rsidP="00EA0E33">
      <w:pPr>
        <w:pStyle w:val="Akapitzlist"/>
        <w:numPr>
          <w:ilvl w:val="1"/>
          <w:numId w:val="3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kwalifikacja osób przeprowadzających szczepienia ochronne;</w:t>
      </w:r>
    </w:p>
    <w:p w14:paraId="4C60C341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3. Kategorie ryzyka i częstotliwość kontroli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71"/>
        <w:gridCol w:w="6379"/>
        <w:gridCol w:w="2268"/>
      </w:tblGrid>
      <w:tr w:rsidR="002C0CD3" w:rsidRPr="002C0CD3" w14:paraId="7F5D7D56" w14:textId="77777777" w:rsidTr="00EA0E33">
        <w:tc>
          <w:tcPr>
            <w:tcW w:w="1271" w:type="dxa"/>
            <w:vAlign w:val="center"/>
          </w:tcPr>
          <w:p w14:paraId="372F6037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  <w:t>Kategoria ryzyka</w:t>
            </w:r>
          </w:p>
        </w:tc>
        <w:tc>
          <w:tcPr>
            <w:tcW w:w="6379" w:type="dxa"/>
            <w:vAlign w:val="center"/>
          </w:tcPr>
          <w:p w14:paraId="2F8B0263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  <w:t>Przykładowe obiekty / działalność</w:t>
            </w:r>
          </w:p>
        </w:tc>
        <w:tc>
          <w:tcPr>
            <w:tcW w:w="2268" w:type="dxa"/>
            <w:vAlign w:val="center"/>
          </w:tcPr>
          <w:p w14:paraId="02E752BB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  <w:t>Częstotliwość kontroli planowej</w:t>
            </w:r>
          </w:p>
        </w:tc>
      </w:tr>
      <w:tr w:rsidR="002C0CD3" w:rsidRPr="002C0CD3" w14:paraId="5AB8ADF7" w14:textId="77777777" w:rsidTr="00EA0E33">
        <w:tc>
          <w:tcPr>
            <w:tcW w:w="1271" w:type="dxa"/>
            <w:vAlign w:val="center"/>
          </w:tcPr>
          <w:p w14:paraId="409E4F4B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  <w:t>Niskie</w:t>
            </w:r>
          </w:p>
        </w:tc>
        <w:tc>
          <w:tcPr>
            <w:tcW w:w="6379" w:type="dxa"/>
            <w:vAlign w:val="center"/>
          </w:tcPr>
          <w:p w14:paraId="1454D52D" w14:textId="77777777" w:rsidR="002C0CD3" w:rsidRPr="002C0CD3" w:rsidRDefault="002C0CD3" w:rsidP="00EA0E33">
            <w:pP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</w:rPr>
              <w:t>praktyka zawodowa lekarza (np. POZ nie wykonujący  szczepień ochronnych, specjalistyka - leczenie zachowawcze), praktyka zawodowa pielęgniarki lub położnej (np.: POZ nie wykonujący  szczepień ochronnych, medycyna szkolna), praktyka zawodowa fizjoterapeuty, praktyka zawodowa diagnosty laboratoryjnego, sanatoria</w:t>
            </w:r>
          </w:p>
        </w:tc>
        <w:tc>
          <w:tcPr>
            <w:tcW w:w="2268" w:type="dxa"/>
            <w:vAlign w:val="center"/>
          </w:tcPr>
          <w:p w14:paraId="1582EC87" w14:textId="5B6305B6" w:rsidR="002C0CD3" w:rsidRPr="00CE7104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color w:val="EE0000"/>
                <w:kern w:val="0"/>
                <w:sz w:val="22"/>
                <w:szCs w:val="22"/>
              </w:rPr>
            </w:pPr>
            <w:r w:rsidRPr="00CE7104">
              <w:rPr>
                <w:rFonts w:asciiTheme="majorHAnsi" w:hAnsiTheme="majorHAnsi" w:cstheme="majorHAnsi"/>
                <w:sz w:val="22"/>
                <w:szCs w:val="22"/>
              </w:rPr>
              <w:t xml:space="preserve">nie częściej niż </w:t>
            </w:r>
            <w:r w:rsidR="00CE7104" w:rsidRPr="00CE7104">
              <w:rPr>
                <w:rFonts w:asciiTheme="majorHAnsi" w:hAnsiTheme="majorHAnsi" w:cstheme="majorHAnsi"/>
                <w:sz w:val="22"/>
                <w:szCs w:val="22"/>
              </w:rPr>
              <w:t xml:space="preserve"> 1 </w:t>
            </w:r>
            <w:r w:rsidRPr="00CE7104">
              <w:rPr>
                <w:rFonts w:asciiTheme="majorHAnsi" w:hAnsiTheme="majorHAnsi" w:cstheme="majorHAnsi"/>
                <w:sz w:val="22"/>
                <w:szCs w:val="22"/>
              </w:rPr>
              <w:t>raz w ciągu 5 lat</w:t>
            </w:r>
          </w:p>
        </w:tc>
      </w:tr>
      <w:tr w:rsidR="002C0CD3" w:rsidRPr="002C0CD3" w14:paraId="39BC9B20" w14:textId="77777777" w:rsidTr="00EA0E33">
        <w:tc>
          <w:tcPr>
            <w:tcW w:w="1271" w:type="dxa"/>
            <w:vAlign w:val="center"/>
          </w:tcPr>
          <w:p w14:paraId="79F6BC09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  <w:t>Średnie</w:t>
            </w:r>
          </w:p>
        </w:tc>
        <w:tc>
          <w:tcPr>
            <w:tcW w:w="6379" w:type="dxa"/>
            <w:vAlign w:val="center"/>
          </w:tcPr>
          <w:p w14:paraId="0998A746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</w:rPr>
              <w:t>zakład leczniczy (np.: zakład pielęgnacyjno – opiekuńczy, zakład opieki długoterminowej, zakład pielęgnacyjno – leczniczy), zakład leczniczy (np. hospicjum)</w:t>
            </w:r>
          </w:p>
        </w:tc>
        <w:tc>
          <w:tcPr>
            <w:tcW w:w="2268" w:type="dxa"/>
            <w:vAlign w:val="center"/>
          </w:tcPr>
          <w:p w14:paraId="4055E19A" w14:textId="62ECCD7D" w:rsidR="002C0CD3" w:rsidRPr="00CE7104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color w:val="EE0000"/>
                <w:kern w:val="0"/>
                <w:sz w:val="22"/>
                <w:szCs w:val="22"/>
              </w:rPr>
            </w:pPr>
            <w:r w:rsidRPr="00CE7104">
              <w:rPr>
                <w:rFonts w:asciiTheme="majorHAnsi" w:hAnsiTheme="majorHAnsi" w:cstheme="majorHAnsi"/>
                <w:sz w:val="22"/>
                <w:szCs w:val="22"/>
              </w:rPr>
              <w:t>nie częściej niż</w:t>
            </w:r>
            <w:r w:rsidR="00851DAD">
              <w:rPr>
                <w:rFonts w:asciiTheme="majorHAnsi" w:hAnsiTheme="majorHAnsi" w:cstheme="majorHAnsi"/>
                <w:sz w:val="22"/>
                <w:szCs w:val="22"/>
              </w:rPr>
              <w:t xml:space="preserve"> 1</w:t>
            </w:r>
            <w:r w:rsidRPr="00CE7104">
              <w:rPr>
                <w:rFonts w:asciiTheme="majorHAnsi" w:hAnsiTheme="majorHAnsi" w:cstheme="majorHAnsi"/>
                <w:sz w:val="22"/>
                <w:szCs w:val="22"/>
              </w:rPr>
              <w:t xml:space="preserve"> raz w ciągu 3 lat</w:t>
            </w:r>
          </w:p>
        </w:tc>
      </w:tr>
      <w:tr w:rsidR="002C0CD3" w:rsidRPr="002C0CD3" w14:paraId="5862C7AD" w14:textId="77777777" w:rsidTr="00EA0E33">
        <w:tc>
          <w:tcPr>
            <w:tcW w:w="1271" w:type="dxa"/>
            <w:vAlign w:val="center"/>
          </w:tcPr>
          <w:p w14:paraId="1397EDB9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  <w:t>Wysokie</w:t>
            </w:r>
          </w:p>
        </w:tc>
        <w:tc>
          <w:tcPr>
            <w:tcW w:w="6379" w:type="dxa"/>
            <w:vAlign w:val="center"/>
          </w:tcPr>
          <w:p w14:paraId="4687968B" w14:textId="77777777" w:rsidR="002C0CD3" w:rsidRPr="002C0CD3" w:rsidRDefault="002C0CD3" w:rsidP="0080734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</w:rPr>
              <w:t>podmiot leczniczy (np. szpital), praktyka zawodowa lekarza (np. POZ wykonujący szczepienia ochronne), specjalistyka – leczenie zabiegowe), praktyka zawodowa pielęgniarki lub położnej (np. POZ wykonujący szczepienia ochronne), praktyka zawodowa lekarza dentysty, stacje dializ</w:t>
            </w:r>
          </w:p>
        </w:tc>
        <w:tc>
          <w:tcPr>
            <w:tcW w:w="2268" w:type="dxa"/>
            <w:vAlign w:val="center"/>
          </w:tcPr>
          <w:p w14:paraId="5AA71F25" w14:textId="39ED6415" w:rsidR="002C0CD3" w:rsidRPr="00EA0E33" w:rsidRDefault="002C0CD3" w:rsidP="00EA0E33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Tak często, jak to jest konieczne dla zapewnienia skutecznego stosowania przepisów i ograniczenia ryzyka</w:t>
            </w:r>
          </w:p>
        </w:tc>
      </w:tr>
    </w:tbl>
    <w:p w14:paraId="60930DA4" w14:textId="77777777" w:rsidR="002C0CD3" w:rsidRPr="002C0CD3" w:rsidRDefault="002C0CD3" w:rsidP="002C0CD3">
      <w:pPr>
        <w:spacing w:before="240" w:after="12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4. Kontrola poza planem</w:t>
      </w:r>
    </w:p>
    <w:p w14:paraId="047F2599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Kontrola może być przeprowadzona niezwłocznie, niezależnie od kategorii ryzyka, w przypadku:</w:t>
      </w:r>
    </w:p>
    <w:p w14:paraId="1CD209F8" w14:textId="77777777" w:rsidR="002C0CD3" w:rsidRPr="002C0CD3" w:rsidRDefault="002C0CD3" w:rsidP="002C0CD3">
      <w:pPr>
        <w:pStyle w:val="Akapitzlist"/>
        <w:numPr>
          <w:ilvl w:val="0"/>
          <w:numId w:val="38"/>
        </w:numPr>
        <w:suppressAutoHyphens w:val="0"/>
        <w:overflowPunct/>
        <w:spacing w:line="259" w:lineRule="auto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podejrzenia zagrożenia zdrowia publicznego,</w:t>
      </w:r>
    </w:p>
    <w:p w14:paraId="40D52917" w14:textId="77777777" w:rsidR="002C0CD3" w:rsidRPr="002C0CD3" w:rsidRDefault="002C0CD3" w:rsidP="002C0CD3">
      <w:pPr>
        <w:pStyle w:val="Akapitzlist"/>
        <w:numPr>
          <w:ilvl w:val="0"/>
          <w:numId w:val="38"/>
        </w:numPr>
        <w:suppressAutoHyphens w:val="0"/>
        <w:overflowPunct/>
        <w:spacing w:line="259" w:lineRule="auto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sprawdzenie zaleceń pokontrolnych,</w:t>
      </w:r>
    </w:p>
    <w:p w14:paraId="4C962176" w14:textId="77777777" w:rsidR="002C0CD3" w:rsidRPr="002C0CD3" w:rsidRDefault="002C0CD3" w:rsidP="002C0CD3">
      <w:pPr>
        <w:pStyle w:val="Akapitzlist"/>
        <w:numPr>
          <w:ilvl w:val="0"/>
          <w:numId w:val="38"/>
        </w:numPr>
        <w:suppressAutoHyphens w:val="0"/>
        <w:overflowPunct/>
        <w:spacing w:line="259" w:lineRule="auto"/>
        <w:ind w:left="714" w:hanging="357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zgłoszenia ogniska epidemicznego lub niepożądanego odczynu poszczepiennego przez podmiot leczniczy, </w:t>
      </w:r>
    </w:p>
    <w:p w14:paraId="368E77FF" w14:textId="77777777" w:rsidR="002C0CD3" w:rsidRPr="002C0CD3" w:rsidRDefault="002C0CD3" w:rsidP="002C0CD3">
      <w:pPr>
        <w:pStyle w:val="Akapitzlist"/>
        <w:numPr>
          <w:ilvl w:val="0"/>
          <w:numId w:val="38"/>
        </w:numPr>
        <w:suppressAutoHyphens w:val="0"/>
        <w:overflowPunct/>
        <w:spacing w:line="259" w:lineRule="auto"/>
        <w:ind w:left="714" w:hanging="357"/>
        <w:jc w:val="both"/>
        <w:rPr>
          <w:rFonts w:asciiTheme="majorHAnsi" w:eastAsia="Aptos" w:hAnsiTheme="majorHAnsi" w:cstheme="majorHAnsi"/>
          <w:sz w:val="22"/>
          <w:szCs w:val="22"/>
        </w:rPr>
      </w:pPr>
      <w:r w:rsidRPr="002C0CD3">
        <w:rPr>
          <w:rFonts w:asciiTheme="majorHAnsi" w:eastAsia="Aptos" w:hAnsiTheme="majorHAnsi" w:cstheme="majorHAnsi"/>
          <w:sz w:val="22"/>
          <w:szCs w:val="22"/>
        </w:rPr>
        <w:lastRenderedPageBreak/>
        <w:t xml:space="preserve">wystąpienia przesłanki wskazującej na brak przestrzegania 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działań zapobiegających szerzeniu się zakażeń i chorób zakaźnych</w:t>
      </w:r>
      <w:r w:rsidRPr="002C0CD3">
        <w:rPr>
          <w:rFonts w:asciiTheme="majorHAnsi" w:eastAsia="Aptos" w:hAnsiTheme="majorHAnsi" w:cstheme="majorHAnsi"/>
          <w:sz w:val="22"/>
          <w:szCs w:val="22"/>
        </w:rPr>
        <w:t xml:space="preserve"> w podmiocie leczniczym w tym: </w:t>
      </w:r>
    </w:p>
    <w:p w14:paraId="129E3A18" w14:textId="77777777" w:rsidR="002C0CD3" w:rsidRPr="002C0CD3" w:rsidRDefault="002C0CD3" w:rsidP="002C0CD3">
      <w:pPr>
        <w:pStyle w:val="Akapitzlist"/>
        <w:numPr>
          <w:ilvl w:val="0"/>
          <w:numId w:val="39"/>
        </w:numPr>
        <w:suppressAutoHyphens w:val="0"/>
        <w:overflowPunct/>
        <w:spacing w:line="259" w:lineRule="auto"/>
        <w:ind w:left="714" w:hanging="357"/>
        <w:jc w:val="both"/>
        <w:rPr>
          <w:rFonts w:asciiTheme="majorHAnsi" w:eastAsia="Aptos" w:hAnsiTheme="majorHAnsi" w:cstheme="majorHAnsi"/>
          <w:sz w:val="22"/>
          <w:szCs w:val="22"/>
        </w:rPr>
      </w:pPr>
      <w:r w:rsidRPr="002C0CD3">
        <w:rPr>
          <w:rFonts w:asciiTheme="majorHAnsi" w:eastAsia="Aptos" w:hAnsiTheme="majorHAnsi" w:cstheme="majorHAnsi"/>
          <w:sz w:val="22"/>
          <w:szCs w:val="22"/>
        </w:rPr>
        <w:t>doniesienia medialnego,</w:t>
      </w:r>
    </w:p>
    <w:p w14:paraId="5B2776FF" w14:textId="77777777" w:rsidR="002C0CD3" w:rsidRPr="002C0CD3" w:rsidRDefault="002C0CD3" w:rsidP="002C0CD3">
      <w:pPr>
        <w:pStyle w:val="Akapitzlist"/>
        <w:numPr>
          <w:ilvl w:val="0"/>
          <w:numId w:val="39"/>
        </w:numPr>
        <w:suppressAutoHyphens w:val="0"/>
        <w:overflowPunct/>
        <w:spacing w:line="259" w:lineRule="auto"/>
        <w:ind w:left="714" w:hanging="357"/>
        <w:jc w:val="both"/>
        <w:rPr>
          <w:rFonts w:asciiTheme="majorHAnsi" w:eastAsia="Aptos" w:hAnsiTheme="majorHAnsi" w:cstheme="majorHAnsi"/>
          <w:sz w:val="22"/>
          <w:szCs w:val="22"/>
        </w:rPr>
      </w:pPr>
      <w:r w:rsidRPr="002C0CD3">
        <w:rPr>
          <w:rFonts w:asciiTheme="majorHAnsi" w:eastAsia="Aptos" w:hAnsiTheme="majorHAnsi" w:cstheme="majorHAnsi"/>
          <w:sz w:val="22"/>
          <w:szCs w:val="22"/>
        </w:rPr>
        <w:t>zgłoszenia od osoby fizycznej lub prawnej,</w:t>
      </w:r>
    </w:p>
    <w:p w14:paraId="140CEB08" w14:textId="77777777" w:rsidR="002C0CD3" w:rsidRPr="002C0CD3" w:rsidRDefault="002C0CD3" w:rsidP="002C0CD3">
      <w:pPr>
        <w:pStyle w:val="Akapitzlist"/>
        <w:numPr>
          <w:ilvl w:val="0"/>
          <w:numId w:val="39"/>
        </w:numPr>
        <w:suppressAutoHyphens w:val="0"/>
        <w:overflowPunct/>
        <w:spacing w:line="259" w:lineRule="auto"/>
        <w:ind w:left="714" w:hanging="357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eastAsia="Aptos" w:hAnsiTheme="majorHAnsi" w:cstheme="majorHAnsi"/>
          <w:sz w:val="22"/>
          <w:szCs w:val="22"/>
        </w:rPr>
        <w:t>żądanie podjęcia czynności przez inny uprawniony organ lub instytucję np.  Rzecznika Praw Pacjenta, Rzecznika Praw Obywatelskich, prokuratora, wojewodę, posła na Sejm RP, radnego samorządu, itp.</w:t>
      </w:r>
    </w:p>
    <w:p w14:paraId="4EA155F1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5. Jak utrzymać niską kategorię ryzyka</w:t>
      </w:r>
    </w:p>
    <w:p w14:paraId="1E6AD5B2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Przestrzegać przepisów i wymagań dotyczących działalności leczniczej zapewniając bezpieczeństwo pacjenta oraz prawidłowe warunki pracy pracowników medycznych </w:t>
      </w:r>
    </w:p>
    <w:p w14:paraId="0394CAA9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6. Podsumowanie</w:t>
      </w:r>
    </w:p>
    <w:p w14:paraId="7E2F6352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Podstawowym działaniem placówki wykonującej działalność leczniczą jest zapewnienie bezpieczeństwa pacjentów i personelu medycznego. Przestrzeganie przepisów zawartych w:</w:t>
      </w:r>
    </w:p>
    <w:p w14:paraId="7B024E40" w14:textId="368C3FDB" w:rsidR="002C0CD3" w:rsidRPr="002C0CD3" w:rsidRDefault="002C0CD3" w:rsidP="002C0CD3">
      <w:pPr>
        <w:pStyle w:val="Akapitzlist"/>
        <w:numPr>
          <w:ilvl w:val="0"/>
          <w:numId w:val="40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Ustawie z dnia 5 grudnia 2008 r. o zapobieganiu oraz zwalczaniu zakażeń i chorób zakaźnych u ludzi przepisów (</w:t>
      </w:r>
      <w:r w:rsidR="00CE7104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t.j. </w:t>
      </w:r>
      <w:r w:rsidR="00CE7104"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Dz. U. 20</w:t>
      </w:r>
      <w:r w:rsidR="00CE7104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25, </w:t>
      </w:r>
      <w:r w:rsidR="00CE7104"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poz. 1</w:t>
      </w:r>
      <w:r w:rsidR="00CE7104">
        <w:rPr>
          <w:rFonts w:asciiTheme="majorHAnsi" w:hAnsiTheme="majorHAnsi" w:cstheme="majorHAnsi"/>
          <w:color w:val="000000"/>
          <w:kern w:val="0"/>
          <w:sz w:val="22"/>
          <w:szCs w:val="22"/>
        </w:rPr>
        <w:t>675</w:t>
      </w:r>
      <w:r w:rsidR="00CE7104"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)</w:t>
      </w:r>
    </w:p>
    <w:p w14:paraId="2280EB0F" w14:textId="77777777" w:rsidR="002C0CD3" w:rsidRPr="002C0CD3" w:rsidRDefault="002C0CD3" w:rsidP="002C0CD3">
      <w:pPr>
        <w:pStyle w:val="Akapitzlist"/>
        <w:numPr>
          <w:ilvl w:val="0"/>
          <w:numId w:val="40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Rozporządzeniu Ministra Zdrowia z dnia 26 marca 2019 r. w sprawie szczegółowych wymagań, jakim powinny odpowiadać pomieszczenia i urządzenia podmiotu wykonującego działalność leczniczą (Dz.U. 2019 poz.402)</w:t>
      </w:r>
    </w:p>
    <w:p w14:paraId="46C65107" w14:textId="77777777" w:rsidR="002C0CD3" w:rsidRPr="002C0CD3" w:rsidRDefault="002C0CD3" w:rsidP="002C0CD3">
      <w:pPr>
        <w:pStyle w:val="Akapitzlist"/>
        <w:numPr>
          <w:ilvl w:val="0"/>
          <w:numId w:val="40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Rozporządzeniu Ministra Zdrowia w sprawie obowiązkowych szczepień ochronnych z dnia 27 września 2023 r. (Dz.U. 2025 poz.782)</w:t>
      </w:r>
    </w:p>
    <w:p w14:paraId="411F4452" w14:textId="48301C46" w:rsidR="002C0CD3" w:rsidRPr="002C0CD3" w:rsidRDefault="002C0CD3" w:rsidP="002C0CD3">
      <w:pPr>
        <w:pStyle w:val="Akapitzlist"/>
        <w:numPr>
          <w:ilvl w:val="0"/>
          <w:numId w:val="40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Rozporządzeniu Ministra Pracy i Polityki Socjalnej z d</w:t>
      </w:r>
      <w:hyperlink r:id="rId8">
        <w:r w:rsidRPr="002C0CD3">
          <w:rPr>
            <w:rFonts w:asciiTheme="majorHAnsi" w:eastAsia="Arial" w:hAnsiTheme="majorHAnsi" w:cstheme="majorHAnsi"/>
            <w:sz w:val="22"/>
            <w:szCs w:val="22"/>
          </w:rPr>
          <w:t>nia</w:t>
        </w:r>
      </w:hyperlink>
      <w:hyperlink r:id="rId9">
        <w:r w:rsidRPr="002C0CD3">
          <w:rPr>
            <w:rFonts w:asciiTheme="majorHAnsi" w:eastAsia="Arial" w:hAnsiTheme="majorHAnsi" w:cstheme="majorHAnsi"/>
            <w:sz w:val="22"/>
            <w:szCs w:val="22"/>
          </w:rPr>
          <w:t xml:space="preserve"> </w:t>
        </w:r>
      </w:hyperlink>
      <w:hyperlink r:id="rId10">
        <w:r w:rsidRPr="002C0CD3">
          <w:rPr>
            <w:rFonts w:asciiTheme="majorHAnsi" w:eastAsia="Arial" w:hAnsiTheme="majorHAnsi" w:cstheme="majorHAnsi"/>
            <w:sz w:val="22"/>
            <w:szCs w:val="22"/>
          </w:rPr>
          <w:t>26 wrze</w:t>
        </w:r>
      </w:hyperlink>
      <w:hyperlink r:id="rId11">
        <w:r w:rsidRPr="002C0CD3">
          <w:rPr>
            <w:rFonts w:asciiTheme="majorHAnsi" w:eastAsia="Arial" w:hAnsiTheme="majorHAnsi" w:cstheme="majorHAnsi"/>
            <w:sz w:val="22"/>
            <w:szCs w:val="22"/>
          </w:rPr>
          <w:t>śnia 1997 r.  w sprawie ogólnych przepisów bezpieczeństwa i</w:t>
        </w:r>
      </w:hyperlink>
      <w:hyperlink r:id="rId12">
        <w:r w:rsidRPr="002C0CD3">
          <w:rPr>
            <w:rFonts w:asciiTheme="majorHAnsi" w:eastAsia="Arial" w:hAnsiTheme="majorHAnsi" w:cstheme="majorHAnsi"/>
            <w:sz w:val="22"/>
            <w:szCs w:val="22"/>
          </w:rPr>
          <w:t xml:space="preserve"> </w:t>
        </w:r>
      </w:hyperlink>
      <w:hyperlink r:id="rId13">
        <w:r w:rsidRPr="002C0CD3">
          <w:rPr>
            <w:rFonts w:asciiTheme="majorHAnsi" w:eastAsia="Arial" w:hAnsiTheme="majorHAnsi" w:cstheme="majorHAnsi"/>
            <w:sz w:val="22"/>
            <w:szCs w:val="22"/>
          </w:rPr>
          <w:t>higieny pracy</w:t>
        </w:r>
      </w:hyperlink>
      <w:hyperlink r:id="rId14">
        <w:r w:rsidRPr="002C0CD3">
          <w:rPr>
            <w:rFonts w:asciiTheme="majorHAnsi" w:eastAsia="Arial" w:hAnsiTheme="majorHAnsi" w:cstheme="majorHAnsi"/>
            <w:sz w:val="22"/>
            <w:szCs w:val="22"/>
          </w:rPr>
          <w:t xml:space="preserve"> </w:t>
        </w:r>
      </w:hyperlink>
      <w:hyperlink r:id="rId15">
        <w:r w:rsidRPr="002C0CD3">
          <w:rPr>
            <w:rFonts w:asciiTheme="majorHAnsi" w:eastAsia="Arial" w:hAnsiTheme="majorHAnsi" w:cstheme="majorHAnsi"/>
            <w:sz w:val="22"/>
            <w:szCs w:val="22"/>
          </w:rPr>
          <w:t>(Dz. U.</w:t>
        </w:r>
      </w:hyperlink>
      <w:hyperlink r:id="rId16">
        <w:r w:rsidRPr="002C0CD3">
          <w:rPr>
            <w:rFonts w:asciiTheme="majorHAnsi" w:eastAsia="Arial" w:hAnsiTheme="majorHAnsi" w:cstheme="majorHAnsi"/>
            <w:sz w:val="22"/>
            <w:szCs w:val="22"/>
          </w:rPr>
          <w:t xml:space="preserve"> </w:t>
        </w:r>
      </w:hyperlink>
      <w:hyperlink r:id="rId17">
        <w:r w:rsidRPr="002C0CD3">
          <w:rPr>
            <w:rFonts w:asciiTheme="majorHAnsi" w:eastAsia="Arial" w:hAnsiTheme="majorHAnsi" w:cstheme="majorHAnsi"/>
            <w:sz w:val="22"/>
            <w:szCs w:val="22"/>
          </w:rPr>
          <w:t>z</w:t>
        </w:r>
      </w:hyperlink>
      <w:hyperlink r:id="rId18">
        <w:r w:rsidRPr="002C0CD3">
          <w:rPr>
            <w:rFonts w:asciiTheme="majorHAnsi" w:eastAsia="Arial" w:hAnsiTheme="majorHAnsi" w:cstheme="majorHAnsi"/>
            <w:sz w:val="22"/>
            <w:szCs w:val="22"/>
          </w:rPr>
          <w:t xml:space="preserve"> </w:t>
        </w:r>
      </w:hyperlink>
      <w:hyperlink r:id="rId19">
        <w:r w:rsidRPr="002C0CD3">
          <w:rPr>
            <w:rFonts w:asciiTheme="majorHAnsi" w:eastAsia="Arial" w:hAnsiTheme="majorHAnsi" w:cstheme="majorHAnsi"/>
            <w:sz w:val="22"/>
            <w:szCs w:val="22"/>
          </w:rPr>
          <w:t>2003 r., nr 169, poz. 1650</w:t>
        </w:r>
      </w:hyperlink>
      <w:r w:rsidR="00CE7104">
        <w:rPr>
          <w:rFonts w:asciiTheme="majorHAnsi" w:eastAsia="Arial" w:hAnsiTheme="majorHAnsi" w:cstheme="majorHAnsi"/>
          <w:sz w:val="22"/>
          <w:szCs w:val="22"/>
        </w:rPr>
        <w:t xml:space="preserve"> ze zm.</w:t>
      </w:r>
      <w:r w:rsidRPr="002C0CD3">
        <w:rPr>
          <w:rFonts w:asciiTheme="majorHAnsi" w:hAnsiTheme="majorHAnsi" w:cstheme="majorHAnsi"/>
          <w:sz w:val="22"/>
          <w:szCs w:val="22"/>
        </w:rPr>
        <w:t>)</w:t>
      </w:r>
    </w:p>
    <w:p w14:paraId="22D13ACC" w14:textId="7F02DD35" w:rsidR="002C0CD3" w:rsidRPr="00F20704" w:rsidRDefault="002C0CD3" w:rsidP="002C0CD3">
      <w:pPr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zapewnia świadczenie usług medycznych spełniających kryteria wynikające z Art.  8.  Ustawy z dnia 6 listopada 2008 r o prawach pacjenta i Rzeczniku Praw Pacjenta (Dz.U. 2024 poz.581) w myśl, którego</w:t>
      </w: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 xml:space="preserve"> pacjent ma prawo do świadczeń zdrowotnych udzielanych z należytą starannością przez podmioty udzielające świadczeń zdrowotnych w warunkach odpowiadających określonym w odrębnych przepisach wymaganiom fachowym i sanitarnym.</w:t>
      </w:r>
      <w:r w:rsidR="00F20704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Spełnienie tych wymagań przez placówkę wykonującą działalność leczniczą pozwala utrzymać </w:t>
      </w: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niską kategorię ryzyka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 i ograniczyć liczbę kontroli planowych.</w:t>
      </w:r>
    </w:p>
    <w:p w14:paraId="4FC973C2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7E6AB689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5EE99689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EE0000"/>
          <w:kern w:val="0"/>
          <w:sz w:val="22"/>
          <w:szCs w:val="22"/>
        </w:rPr>
      </w:pPr>
    </w:p>
    <w:p w14:paraId="4240EDD8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4FF15CC5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7980E195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605B002C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1E227952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2B94F065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0BD70F9D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547EA0FF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18F341DD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47326BFD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7465A54B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7A832D06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156325E9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17B21052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2528E7DE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2D53ED77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07C9C274" w14:textId="77777777" w:rsid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450861C6" w14:textId="77777777" w:rsidR="00F20704" w:rsidRDefault="00F20704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0B217607" w14:textId="77777777" w:rsidR="00F20704" w:rsidRDefault="00F20704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74BC39D0" w14:textId="77777777" w:rsidR="00F20704" w:rsidRDefault="00F20704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2D029620" w14:textId="77777777" w:rsidR="00F20704" w:rsidRPr="002C0CD3" w:rsidRDefault="00F20704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623595E9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14:paraId="3CC4E735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lastRenderedPageBreak/>
        <w:t>Załącznik Nr 2</w:t>
      </w:r>
    </w:p>
    <w:p w14:paraId="68E6B4BE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                                              do Procedury klasyfikacji </w:t>
      </w:r>
    </w:p>
    <w:p w14:paraId="75B0CAB7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ryzyka w działalności kontrolnej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br/>
      </w:r>
    </w:p>
    <w:p w14:paraId="1A5DCBB0" w14:textId="77777777" w:rsidR="002C0CD3" w:rsidRPr="002C0CD3" w:rsidRDefault="002C0CD3" w:rsidP="002C0CD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 xml:space="preserve">Obszar: 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>higiena dzieci i młodzieży</w:t>
      </w:r>
    </w:p>
    <w:p w14:paraId="1B5BE67F" w14:textId="77777777" w:rsidR="002C0CD3" w:rsidRPr="002C0CD3" w:rsidRDefault="002C0CD3" w:rsidP="002C0CD3">
      <w:pPr>
        <w:pStyle w:val="Akapitzlist"/>
        <w:numPr>
          <w:ilvl w:val="0"/>
          <w:numId w:val="8"/>
        </w:numPr>
        <w:suppressAutoHyphens w:val="0"/>
        <w:overflowPunct/>
        <w:spacing w:before="120" w:after="120" w:line="259" w:lineRule="auto"/>
        <w:ind w:left="284" w:hanging="284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Zakres</w:t>
      </w:r>
    </w:p>
    <w:p w14:paraId="2FA65B86" w14:textId="77777777" w:rsidR="002C0CD3" w:rsidRPr="002C0CD3" w:rsidRDefault="002C0CD3" w:rsidP="002C0CD3">
      <w:pPr>
        <w:spacing w:before="12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Dotyczy podmiotów prowadzących działalność:</w:t>
      </w:r>
    </w:p>
    <w:p w14:paraId="1C11DECD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ind w:left="777" w:hanging="357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oświatową, </w:t>
      </w:r>
    </w:p>
    <w:p w14:paraId="749D1E02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ind w:left="777" w:hanging="357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opiekuńczą, </w:t>
      </w:r>
    </w:p>
    <w:p w14:paraId="4A953421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ind w:left="777" w:hanging="357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wychowawczą, </w:t>
      </w:r>
    </w:p>
    <w:p w14:paraId="58FDA423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ind w:left="777" w:hanging="357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zapewniającą zakwaterowanie w trakcie pobierania nauki poza miejscem zamieszkania, </w:t>
      </w:r>
    </w:p>
    <w:p w14:paraId="158EBDDD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terapeutyczną, </w:t>
      </w:r>
    </w:p>
    <w:p w14:paraId="20169763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wspomagającą, </w:t>
      </w:r>
    </w:p>
    <w:p w14:paraId="1DBA6B1D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rozwijającą zainteresowania i uzdolnienia oraz kształtującą umiejętności spędzania wolnego czasu m.in. takich jak: placówki opieki nad dziećmi do lat 3, </w:t>
      </w:r>
    </w:p>
    <w:p w14:paraId="13ABE937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szkoły wszystkich typów (w tym szkół wyższych), </w:t>
      </w:r>
    </w:p>
    <w:p w14:paraId="451EA6DE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placówki praktycznej nauki zawodu, </w:t>
      </w:r>
    </w:p>
    <w:p w14:paraId="43F45BDA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internaty i bursy, </w:t>
      </w:r>
    </w:p>
    <w:p w14:paraId="1074A5CC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ośrodki szkolno-wychowawcze dla dzieci i młodzieży upośledzonej bądź niedostosowanej społecznie, </w:t>
      </w:r>
    </w:p>
    <w:p w14:paraId="6609304A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placówki opiekuńczo-wychowawcze, </w:t>
      </w:r>
    </w:p>
    <w:p w14:paraId="098E7508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placówki wychowania pozaszkolnego </w:t>
      </w:r>
    </w:p>
    <w:p w14:paraId="392C67D5" w14:textId="77777777" w:rsidR="002C0CD3" w:rsidRPr="002C0CD3" w:rsidRDefault="002C0CD3" w:rsidP="002C0CD3">
      <w:pPr>
        <w:pStyle w:val="Akapitzlist"/>
        <w:numPr>
          <w:ilvl w:val="0"/>
          <w:numId w:val="15"/>
        </w:numPr>
        <w:suppressAutoHyphens w:val="0"/>
        <w:overflowPunct/>
        <w:spacing w:after="120" w:line="259" w:lineRule="auto"/>
        <w:ind w:left="777" w:hanging="357"/>
        <w:contextualSpacing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turnusy sezonowego wypoczynku dzieci i młodzieży.</w:t>
      </w:r>
    </w:p>
    <w:p w14:paraId="77982B7F" w14:textId="77777777" w:rsidR="002C0CD3" w:rsidRPr="002C0CD3" w:rsidRDefault="002C0CD3" w:rsidP="002C0CD3">
      <w:pPr>
        <w:pStyle w:val="Akapitzlist"/>
        <w:numPr>
          <w:ilvl w:val="0"/>
          <w:numId w:val="8"/>
        </w:numPr>
        <w:suppressAutoHyphens w:val="0"/>
        <w:overflowPunct/>
        <w:spacing w:before="120" w:after="120" w:line="259" w:lineRule="auto"/>
        <w:ind w:left="284" w:hanging="284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Ocena ryzyka</w:t>
      </w:r>
    </w:p>
    <w:p w14:paraId="23C98E2A" w14:textId="77777777" w:rsidR="002C0CD3" w:rsidRPr="002C0CD3" w:rsidRDefault="002C0CD3" w:rsidP="002C0CD3">
      <w:pPr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Ocena ryzyka opiera się na:</w:t>
      </w:r>
    </w:p>
    <w:p w14:paraId="065FB1CF" w14:textId="77777777" w:rsidR="002C0CD3" w:rsidRPr="002C0CD3" w:rsidRDefault="002C0CD3" w:rsidP="002C0CD3">
      <w:pPr>
        <w:pStyle w:val="Akapitzlist"/>
        <w:numPr>
          <w:ilvl w:val="0"/>
          <w:numId w:val="1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wystąpieniu podejrzenia lub prawdopodobieństwa wystąpienia zagrożenia życia lub zdrowia człowieka,</w:t>
      </w:r>
    </w:p>
    <w:p w14:paraId="20350FCB" w14:textId="77777777" w:rsidR="002C0CD3" w:rsidRPr="002C0CD3" w:rsidRDefault="002C0CD3" w:rsidP="002C0CD3">
      <w:pPr>
        <w:pStyle w:val="Akapitzlist"/>
        <w:numPr>
          <w:ilvl w:val="0"/>
          <w:numId w:val="1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ocenach stanu sanitarno-technicznego obiektu i sprzętu wykorzystywanego w bieżącej działalności przedsiębiorcy,</w:t>
      </w:r>
    </w:p>
    <w:p w14:paraId="2EAB9E10" w14:textId="77777777" w:rsidR="002C0CD3" w:rsidRPr="002C0CD3" w:rsidRDefault="002C0CD3" w:rsidP="002C0CD3">
      <w:pPr>
        <w:pStyle w:val="Akapitzlist"/>
        <w:numPr>
          <w:ilvl w:val="0"/>
          <w:numId w:val="16"/>
        </w:numPr>
        <w:suppressAutoHyphens w:val="0"/>
        <w:overflowPunct/>
        <w:spacing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wynikach kontroli stwierdzanych w trakcie ostatnich 3 kontroli planowych,</w:t>
      </w:r>
    </w:p>
    <w:p w14:paraId="08DB91F3" w14:textId="77777777" w:rsidR="002C0CD3" w:rsidRPr="002C0CD3" w:rsidRDefault="002C0CD3" w:rsidP="002C0CD3">
      <w:pPr>
        <w:pStyle w:val="Akapitzlist"/>
        <w:numPr>
          <w:ilvl w:val="0"/>
          <w:numId w:val="16"/>
        </w:numPr>
        <w:suppressAutoHyphens w:val="0"/>
        <w:overflowPunct/>
        <w:spacing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liczbie interwencji i skargach zgłaszanych w stosunku do działalności przedsiębiorcy oraz ich ocenie zasadności.</w:t>
      </w:r>
    </w:p>
    <w:p w14:paraId="6A7ACB5A" w14:textId="77777777" w:rsidR="002C0CD3" w:rsidRPr="002C0CD3" w:rsidRDefault="002C0CD3" w:rsidP="002C0CD3">
      <w:pPr>
        <w:pStyle w:val="Akapitzlist"/>
        <w:numPr>
          <w:ilvl w:val="0"/>
          <w:numId w:val="8"/>
        </w:numPr>
        <w:suppressAutoHyphens w:val="0"/>
        <w:overflowPunct/>
        <w:spacing w:before="120" w:after="120" w:line="259" w:lineRule="auto"/>
        <w:ind w:left="284" w:hanging="284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Kategorie ryzyka i częstotliwość kontroli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0"/>
        <w:gridCol w:w="6810"/>
        <w:gridCol w:w="1701"/>
      </w:tblGrid>
      <w:tr w:rsidR="002C0CD3" w:rsidRPr="002C0CD3" w14:paraId="7BCE3836" w14:textId="77777777" w:rsidTr="00F20704">
        <w:tc>
          <w:tcPr>
            <w:tcW w:w="1270" w:type="dxa"/>
            <w:vAlign w:val="center"/>
          </w:tcPr>
          <w:p w14:paraId="03D81EC1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Kategoria ryzyka</w:t>
            </w:r>
          </w:p>
        </w:tc>
        <w:tc>
          <w:tcPr>
            <w:tcW w:w="6810" w:type="dxa"/>
            <w:vAlign w:val="center"/>
          </w:tcPr>
          <w:p w14:paraId="15208A8A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Przykładowe obiekty / działalność</w:t>
            </w:r>
          </w:p>
        </w:tc>
        <w:tc>
          <w:tcPr>
            <w:tcW w:w="1701" w:type="dxa"/>
            <w:vAlign w:val="center"/>
          </w:tcPr>
          <w:p w14:paraId="1C6F7AFF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Częstotliwość kontroli planowej</w:t>
            </w:r>
          </w:p>
        </w:tc>
      </w:tr>
      <w:tr w:rsidR="002C0CD3" w:rsidRPr="002C0CD3" w14:paraId="7BE421F7" w14:textId="77777777" w:rsidTr="00F20704">
        <w:tc>
          <w:tcPr>
            <w:tcW w:w="1270" w:type="dxa"/>
            <w:vAlign w:val="center"/>
          </w:tcPr>
          <w:p w14:paraId="314F7CEF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Niskie</w:t>
            </w:r>
          </w:p>
        </w:tc>
        <w:tc>
          <w:tcPr>
            <w:tcW w:w="6810" w:type="dxa"/>
            <w:vAlign w:val="center"/>
          </w:tcPr>
          <w:p w14:paraId="5178A67A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placówki wsparcia dziennego; młodzieżowe domy kultury i pałace młodzieży; ogniska pracy pozaszkolnej; ogrody jordanowskie; placówki zajmujące się wspomaganiem terapeutycznym dzieci i młodzieży (poradnie-psychologiczno-pedagogiczne, centra pomocy psychologiczno-pedagogicznej, centra wspierania edukacji, itp.); szkoły muzyczne realizujące wyłącznie kształcenie artystyczne;</w:t>
            </w:r>
          </w:p>
        </w:tc>
        <w:tc>
          <w:tcPr>
            <w:tcW w:w="1701" w:type="dxa"/>
            <w:vAlign w:val="center"/>
          </w:tcPr>
          <w:p w14:paraId="1C97855E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kern w:val="0"/>
                <w:sz w:val="22"/>
                <w:szCs w:val="22"/>
              </w:rPr>
              <w:t>Nie częściej niż 1 raz na 5 lat</w:t>
            </w:r>
          </w:p>
        </w:tc>
      </w:tr>
      <w:tr w:rsidR="002C0CD3" w:rsidRPr="002C0CD3" w14:paraId="39D9BD5B" w14:textId="77777777" w:rsidTr="00F20704">
        <w:tc>
          <w:tcPr>
            <w:tcW w:w="1270" w:type="dxa"/>
            <w:vAlign w:val="center"/>
          </w:tcPr>
          <w:p w14:paraId="79F7F11F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Średnie</w:t>
            </w:r>
          </w:p>
        </w:tc>
        <w:tc>
          <w:tcPr>
            <w:tcW w:w="6810" w:type="dxa"/>
            <w:vAlign w:val="center"/>
          </w:tcPr>
          <w:p w14:paraId="37EA1DC9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szkoły wszystkich typów oraz szkoły wyższe, które nie posiadają niebezpiecznych substancji chemicznych i ich mieszanin i nie prowadzą z nimi doświadczeń – do tej grupy zalicza się również szkoły artystyczne, które realizują podstawę programową w danym zakresie; miejsca zakwaterowania, w których przybywają dzieci i młodzież (samodzielne domy studenckie, internaty i bursy, schroniska młodzieżowe); domy wczasów dziecięcych; specjalne ośrodki wychowawcze; specjalne ośrodki szkolno-wychowawcze; młodzieżowe ośrodki wychowawcze; młodzieżowe ośrodki socjoterapii; placówki opiekuńczo-wychowawcze; domy pomocy społecznej; sale/salony zabaw; tzw. „małpie gaje” ;</w:t>
            </w:r>
          </w:p>
        </w:tc>
        <w:tc>
          <w:tcPr>
            <w:tcW w:w="1701" w:type="dxa"/>
            <w:vAlign w:val="center"/>
          </w:tcPr>
          <w:p w14:paraId="2B8574AC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kern w:val="0"/>
                <w:sz w:val="22"/>
                <w:szCs w:val="22"/>
              </w:rPr>
              <w:t>Nie częściej niż 1 raz na 3 lata</w:t>
            </w:r>
          </w:p>
        </w:tc>
      </w:tr>
      <w:tr w:rsidR="002C0CD3" w:rsidRPr="002C0CD3" w14:paraId="0C8CBE25" w14:textId="77777777" w:rsidTr="00F20704">
        <w:tc>
          <w:tcPr>
            <w:tcW w:w="1270" w:type="dxa"/>
            <w:vAlign w:val="center"/>
          </w:tcPr>
          <w:p w14:paraId="714221D9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lastRenderedPageBreak/>
              <w:t>Wysokie</w:t>
            </w:r>
          </w:p>
        </w:tc>
        <w:tc>
          <w:tcPr>
            <w:tcW w:w="6810" w:type="dxa"/>
            <w:vAlign w:val="center"/>
          </w:tcPr>
          <w:p w14:paraId="11198137" w14:textId="77777777" w:rsidR="002C0CD3" w:rsidRPr="002C0CD3" w:rsidRDefault="002C0CD3" w:rsidP="008073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placówki opieki nad dziećmi do lat 3 (żłobki, kluby dziecięce); placówki wychowania przedszkolnego (przedszkola, punkty przedszkolne, zespoły wychowania przedszkolnego); szkoły wszystkich typów, w których obecne są szkodliwe substancje chemiczne wykorzystywane w trakcie doświadczeń wykonywanych zarówno przez uczniów, jak również w ramach pokazu przez nauczyciela; szkoły wyższe w których obecne są szkodliwe substancje chemiczne wykorzystywane w trakcie doświadczeń wykonywanych zarówno przez studentów, jak również w ramach pokazu przez wykładowców; szkoły wszystkich typów oraz szkoły wyższe kształcące w kierunkach na których może dojść do zakażeń materiałem biologicznym uczniów, studentów, nauczycieli wykładowców (technika weterynaryjne, szkoły kształcące w kierunkach weterynaryjnych i medycznych); placówki praktycznej nauki zawodu, w których prowadzona jest nauka praktycznej nauki zawodu, gdzie występują czynniki szkodliwe (bez względu na wysokość najwyższych stężeń i natężeń występujących w tym środowisku); placówki praktycznej nauki zawodu, w których w ramach programu nauczania może dojść do przerwania ciągłości ludzkich tkanek (np. kosmetyczki); turnusy sezonowego wypoczynku dzieci i młodzieży; zielone/białe szkoły;</w:t>
            </w:r>
          </w:p>
        </w:tc>
        <w:tc>
          <w:tcPr>
            <w:tcW w:w="1701" w:type="dxa"/>
            <w:vAlign w:val="center"/>
          </w:tcPr>
          <w:p w14:paraId="1A7EC65E" w14:textId="676F507D" w:rsidR="002C0CD3" w:rsidRPr="002C0CD3" w:rsidRDefault="002C0CD3" w:rsidP="00F20704">
            <w:pPr>
              <w:pStyle w:val="Akapitzlist"/>
              <w:spacing w:before="120" w:after="120"/>
              <w:ind w:left="0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Tak często jak jest to konieczne dla zapewnienia skutecznego stosowania odpowiednich przepisów,</w:t>
            </w:r>
            <w:r w:rsidR="00F207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z uwzględnieniem wysokiego ryzyka wystąpienia nieprawidłowości oraz środków niezbędnych do jego ograniczania</w:t>
            </w:r>
          </w:p>
        </w:tc>
      </w:tr>
    </w:tbl>
    <w:p w14:paraId="0E675B8D" w14:textId="77777777" w:rsidR="002C0CD3" w:rsidRPr="002C0CD3" w:rsidRDefault="002C0CD3" w:rsidP="002C0CD3">
      <w:pPr>
        <w:pStyle w:val="Akapitzlist"/>
        <w:spacing w:before="120" w:after="120"/>
        <w:ind w:left="284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2E2FD5FD" w14:textId="77777777" w:rsidR="002C0CD3" w:rsidRPr="002C0CD3" w:rsidRDefault="002C0CD3" w:rsidP="002C0CD3">
      <w:pPr>
        <w:pStyle w:val="Akapitzlist"/>
        <w:numPr>
          <w:ilvl w:val="0"/>
          <w:numId w:val="17"/>
        </w:numPr>
        <w:suppressAutoHyphens w:val="0"/>
        <w:overflowPunct/>
        <w:spacing w:before="120" w:after="120" w:line="259" w:lineRule="auto"/>
        <w:ind w:left="284" w:hanging="284"/>
        <w:contextualSpacing w:val="0"/>
        <w:jc w:val="both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Przesłanki uzasadniające przeprowadzenie kontroli poza planem</w:t>
      </w:r>
    </w:p>
    <w:p w14:paraId="7C31135D" w14:textId="77777777" w:rsidR="002C0CD3" w:rsidRPr="002C0CD3" w:rsidRDefault="002C0CD3" w:rsidP="002C0CD3">
      <w:pPr>
        <w:jc w:val="both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Niezależnie od przypisanej kategorii ryzyka i związanej z tym częstotliwości przeprowadzania kontroli, mogą wystąpić uzasadnione przesłanki do zwiększenia częstotliwości i liczby przeprowadzanych kontroli w podmiocie prowadzonym przez przedsiębiorcę. Te przesłanki to: </w:t>
      </w:r>
    </w:p>
    <w:p w14:paraId="01C0C96E" w14:textId="77777777" w:rsidR="002C0CD3" w:rsidRPr="002C0CD3" w:rsidRDefault="002C0CD3" w:rsidP="002C0CD3">
      <w:pPr>
        <w:pStyle w:val="Akapitzlist"/>
        <w:numPr>
          <w:ilvl w:val="0"/>
          <w:numId w:val="18"/>
        </w:numPr>
        <w:suppressAutoHyphens w:val="0"/>
        <w:overflowPunct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wystąpienie podejrzenia zagrożenia życia lub zdrowia człowieka,</w:t>
      </w:r>
    </w:p>
    <w:p w14:paraId="5BFC3123" w14:textId="77777777" w:rsidR="002C0CD3" w:rsidRPr="002C0CD3" w:rsidRDefault="002C0CD3" w:rsidP="002C0CD3">
      <w:pPr>
        <w:pStyle w:val="Akapitzlist"/>
        <w:numPr>
          <w:ilvl w:val="0"/>
          <w:numId w:val="18"/>
        </w:numPr>
        <w:suppressAutoHyphens w:val="0"/>
        <w:overflowPunct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wnioski wpływające od ludności dotyczące niewłaściwego stanu sanitarno-higienicznego i technicznego obiektów, w których prowadzona jest działalność przedsiębiorców,</w:t>
      </w:r>
    </w:p>
    <w:p w14:paraId="74F6040D" w14:textId="77777777" w:rsidR="002C0CD3" w:rsidRPr="002C0CD3" w:rsidRDefault="002C0CD3" w:rsidP="002C0CD3">
      <w:pPr>
        <w:pStyle w:val="Akapitzlist"/>
        <w:numPr>
          <w:ilvl w:val="0"/>
          <w:numId w:val="18"/>
        </w:numPr>
        <w:suppressAutoHyphens w:val="0"/>
        <w:overflowPunct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stwierdzenie niewłaściwego stan obiektu, w którym prowadzona jest działalność przedsiębiorcy w trakcie kontroli planowej przeprowadzonej przez organ I instancji,</w:t>
      </w:r>
    </w:p>
    <w:p w14:paraId="1D064CA1" w14:textId="77777777" w:rsidR="002C0CD3" w:rsidRPr="002C0CD3" w:rsidRDefault="002C0CD3" w:rsidP="002C0CD3">
      <w:pPr>
        <w:pStyle w:val="Akapitzlist"/>
        <w:numPr>
          <w:ilvl w:val="0"/>
          <w:numId w:val="18"/>
        </w:numPr>
        <w:suppressAutoHyphens w:val="0"/>
        <w:overflowPunct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zlecenie kontroli przez inny organ/instytucję uprawnioną do wydawania poleceń w zakresie przeprowadzania kontroli organom Państwowej Inspekcji Sanitarnej (np. Najwyższa Izba Kontroli, organy Państwowej Inspekcji Sanitarnej wyższego szczebla organom Państwowej Inspekcji Sanitarnej niższego szczebla, itp.), </w:t>
      </w:r>
    </w:p>
    <w:p w14:paraId="15B6712A" w14:textId="77777777" w:rsidR="002C0CD3" w:rsidRPr="002C0CD3" w:rsidRDefault="002C0CD3" w:rsidP="002C0CD3">
      <w:pPr>
        <w:pStyle w:val="Akapitzlist"/>
        <w:numPr>
          <w:ilvl w:val="0"/>
          <w:numId w:val="18"/>
        </w:numPr>
        <w:suppressAutoHyphens w:val="0"/>
        <w:overflowPunct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zwiększenie częstotliwości kontroli wynikające z przepisów szczegółowych,</w:t>
      </w:r>
    </w:p>
    <w:p w14:paraId="13202656" w14:textId="77777777" w:rsidR="002C0CD3" w:rsidRPr="002C0CD3" w:rsidRDefault="002C0CD3" w:rsidP="002C0CD3">
      <w:pPr>
        <w:pStyle w:val="Akapitzlist"/>
        <w:numPr>
          <w:ilvl w:val="0"/>
          <w:numId w:val="18"/>
        </w:numPr>
        <w:suppressAutoHyphens w:val="0"/>
        <w:overflowPunct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sprawdzenie wykonania nakazów zawartych w decyzjach administracyjnych lub zaleceń pokontrolnych organu (tzw. kontrole sprawdzające),</w:t>
      </w:r>
    </w:p>
    <w:p w14:paraId="536B6F0F" w14:textId="77777777" w:rsidR="002C0CD3" w:rsidRPr="002C0CD3" w:rsidRDefault="002C0CD3" w:rsidP="002C0CD3">
      <w:pPr>
        <w:pStyle w:val="Akapitzlist"/>
        <w:numPr>
          <w:ilvl w:val="0"/>
          <w:numId w:val="18"/>
        </w:numPr>
        <w:suppressAutoHyphens w:val="0"/>
        <w:overflowPunct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wnioski przedsiębiorców o przeprowadzenie kontroli (w szczególności potwierdzenia spełnienia wymagań sanitarno-lokalowych i uzyskania opinii na prowadzenie określonego typu placówki w danym obiekcie),</w:t>
      </w:r>
    </w:p>
    <w:p w14:paraId="5B9066AB" w14:textId="77777777" w:rsidR="002C0CD3" w:rsidRPr="002C0CD3" w:rsidRDefault="002C0CD3" w:rsidP="002C0CD3">
      <w:pPr>
        <w:pStyle w:val="Akapitzlist"/>
        <w:numPr>
          <w:ilvl w:val="0"/>
          <w:numId w:val="18"/>
        </w:numPr>
        <w:suppressAutoHyphens w:val="0"/>
        <w:overflowPunct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aktualna sytuacja sanitarno-epidemiologiczna panująca na terenie powiatu i/lub kraju uzasadniająca zwiększenie częstotliwości kontroli działalności przedsiębiorców.</w:t>
      </w:r>
    </w:p>
    <w:p w14:paraId="4DBF8E41" w14:textId="77777777" w:rsidR="002C0CD3" w:rsidRPr="002C0CD3" w:rsidRDefault="002C0CD3" w:rsidP="002C0CD3">
      <w:pPr>
        <w:pStyle w:val="Akapitzlist"/>
        <w:numPr>
          <w:ilvl w:val="0"/>
          <w:numId w:val="19"/>
        </w:numPr>
        <w:suppressAutoHyphens w:val="0"/>
        <w:overflowPunct/>
        <w:spacing w:before="120" w:after="120" w:line="259" w:lineRule="auto"/>
        <w:ind w:left="284" w:hanging="284"/>
        <w:contextualSpacing w:val="0"/>
        <w:jc w:val="both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Przesłanki do zmiany kategorii ryzyka kontrowanej działalności gospodarczej.</w:t>
      </w:r>
    </w:p>
    <w:p w14:paraId="48C12F2D" w14:textId="77777777" w:rsidR="002C0CD3" w:rsidRPr="002C0CD3" w:rsidRDefault="002C0CD3" w:rsidP="002C0CD3">
      <w:pPr>
        <w:pStyle w:val="Akapitzlist"/>
        <w:numPr>
          <w:ilvl w:val="1"/>
          <w:numId w:val="14"/>
        </w:numPr>
        <w:suppressAutoHyphens w:val="0"/>
        <w:overflowPunct/>
        <w:spacing w:after="160" w:line="259" w:lineRule="auto"/>
        <w:ind w:left="709" w:hanging="425"/>
        <w:jc w:val="both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Zmiana kategorii ryzyka z niższego na wyższy</w:t>
      </w: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>może wynikać:</w:t>
      </w:r>
    </w:p>
    <w:p w14:paraId="363BA9D7" w14:textId="77777777" w:rsidR="002C0CD3" w:rsidRPr="002C0CD3" w:rsidRDefault="002C0CD3" w:rsidP="002C0CD3">
      <w:pPr>
        <w:pStyle w:val="Akapitzlist"/>
        <w:numPr>
          <w:ilvl w:val="0"/>
          <w:numId w:val="20"/>
        </w:numPr>
        <w:suppressAutoHyphens w:val="0"/>
        <w:overflowPunct/>
        <w:spacing w:after="160" w:line="259" w:lineRule="auto"/>
        <w:ind w:left="993" w:hanging="284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z postępującego pogorszenia stanu sanitarno-higienicznego i technicznego nadzorowanych obiektów, w których prowadzona jest działalność przedsiębiorcy,</w:t>
      </w:r>
    </w:p>
    <w:p w14:paraId="29EF6470" w14:textId="04E9F7A4" w:rsidR="002C0CD3" w:rsidRPr="002C0CD3" w:rsidRDefault="002C0CD3" w:rsidP="002C0CD3">
      <w:pPr>
        <w:pStyle w:val="Akapitzlist"/>
        <w:numPr>
          <w:ilvl w:val="0"/>
          <w:numId w:val="20"/>
        </w:numPr>
        <w:suppressAutoHyphens w:val="0"/>
        <w:overflowPunct/>
        <w:spacing w:after="160" w:line="259" w:lineRule="auto"/>
        <w:ind w:left="993" w:hanging="284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ze zwiększenia liczby uzasadnionych skarg i wniosków wpływających od ludności lub innych organów</w:t>
      </w:r>
      <w:r w:rsidR="00F20704">
        <w:rPr>
          <w:rFonts w:asciiTheme="majorHAnsi" w:hAnsiTheme="majorHAnsi" w:cstheme="majorHAnsi"/>
          <w:kern w:val="0"/>
          <w:sz w:val="22"/>
          <w:szCs w:val="22"/>
        </w:rPr>
        <w:t xml:space="preserve">   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 i instytucji,</w:t>
      </w:r>
    </w:p>
    <w:p w14:paraId="5FECF387" w14:textId="54C19F2A" w:rsidR="002C0CD3" w:rsidRPr="002C0CD3" w:rsidRDefault="002C0CD3" w:rsidP="002C0CD3">
      <w:pPr>
        <w:pStyle w:val="Akapitzlist"/>
        <w:numPr>
          <w:ilvl w:val="0"/>
          <w:numId w:val="20"/>
        </w:numPr>
        <w:suppressAutoHyphens w:val="0"/>
        <w:overflowPunct/>
        <w:spacing w:after="160" w:line="259" w:lineRule="auto"/>
        <w:ind w:left="993" w:hanging="284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ze zwiększenia częstotliwości występowania zjawisk mogących mieć negatywny wpływ na zdrowie </w:t>
      </w:r>
      <w:r w:rsidR="00F20704">
        <w:rPr>
          <w:rFonts w:asciiTheme="majorHAnsi" w:hAnsiTheme="majorHAnsi" w:cstheme="majorHAnsi"/>
          <w:kern w:val="0"/>
          <w:sz w:val="22"/>
          <w:szCs w:val="22"/>
        </w:rPr>
        <w:t xml:space="preserve">          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>i życie ludzi,</w:t>
      </w:r>
    </w:p>
    <w:p w14:paraId="20476FE4" w14:textId="77777777" w:rsidR="002C0CD3" w:rsidRPr="002C0CD3" w:rsidRDefault="002C0CD3" w:rsidP="002C0CD3">
      <w:pPr>
        <w:pStyle w:val="Akapitzlist"/>
        <w:numPr>
          <w:ilvl w:val="0"/>
          <w:numId w:val="20"/>
        </w:numPr>
        <w:suppressAutoHyphens w:val="0"/>
        <w:overflowPunct/>
        <w:spacing w:after="120" w:line="259" w:lineRule="auto"/>
        <w:ind w:left="993" w:hanging="284"/>
        <w:contextualSpacing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z uchylania się od wykonywania nakazów zawartych w decyzjach administracyjnych i ignorowania poleceń organu Państwowej Inspekcji Sanitarnej w Gołdapi  sprawującego nadzór nad prowadzeniem działalności przedsiębiorcy.</w:t>
      </w:r>
    </w:p>
    <w:p w14:paraId="6F9C3C3E" w14:textId="77777777" w:rsidR="002C0CD3" w:rsidRPr="002C0CD3" w:rsidRDefault="002C0CD3" w:rsidP="002C0CD3">
      <w:pPr>
        <w:pStyle w:val="Akapitzlist"/>
        <w:numPr>
          <w:ilvl w:val="1"/>
          <w:numId w:val="14"/>
        </w:numPr>
        <w:suppressAutoHyphens w:val="0"/>
        <w:overflowPunct/>
        <w:spacing w:before="120" w:line="259" w:lineRule="auto"/>
        <w:ind w:left="709" w:hanging="425"/>
        <w:contextualSpacing w:val="0"/>
        <w:jc w:val="both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Zmiana kategorii ryzyka z wyższego na niższy może wynikać:</w:t>
      </w:r>
    </w:p>
    <w:p w14:paraId="57BFFC20" w14:textId="77777777" w:rsidR="002C0CD3" w:rsidRPr="002C0CD3" w:rsidRDefault="002C0CD3" w:rsidP="002C0CD3">
      <w:pPr>
        <w:pStyle w:val="Akapitzlist"/>
        <w:numPr>
          <w:ilvl w:val="0"/>
          <w:numId w:val="21"/>
        </w:numPr>
        <w:suppressAutoHyphens w:val="0"/>
        <w:overflowPunct/>
        <w:spacing w:after="160" w:line="259" w:lineRule="auto"/>
        <w:ind w:left="993" w:hanging="284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lastRenderedPageBreak/>
        <w:t>z poprawy stanu sanitarno-higienicznego i technicznego nadzorowanych obiektów, w których prowadzona jest działalność przedsiębiorcy,</w:t>
      </w:r>
    </w:p>
    <w:p w14:paraId="7B383D26" w14:textId="77777777" w:rsidR="002C0CD3" w:rsidRPr="002C0CD3" w:rsidRDefault="002C0CD3" w:rsidP="002C0CD3">
      <w:pPr>
        <w:pStyle w:val="Akapitzlist"/>
        <w:numPr>
          <w:ilvl w:val="0"/>
          <w:numId w:val="21"/>
        </w:numPr>
        <w:suppressAutoHyphens w:val="0"/>
        <w:overflowPunct/>
        <w:spacing w:after="160" w:line="259" w:lineRule="auto"/>
        <w:ind w:left="993" w:hanging="284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ze zmniejszenia liczby uzasadnionych skarg i wniosków wpływających od ludności lub innych organów i instytucji,</w:t>
      </w:r>
    </w:p>
    <w:p w14:paraId="5C33B5A9" w14:textId="77777777" w:rsidR="00F20704" w:rsidRDefault="002C0CD3" w:rsidP="00F20704">
      <w:pPr>
        <w:pStyle w:val="Akapitzlist"/>
        <w:numPr>
          <w:ilvl w:val="0"/>
          <w:numId w:val="21"/>
        </w:numPr>
        <w:suppressAutoHyphens w:val="0"/>
        <w:overflowPunct/>
        <w:ind w:left="992" w:hanging="284"/>
        <w:contextualSpacing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ze zmniejszenia częstotliwości występowania zjawisk mogących mieć negatywny wpływ na zdrowie </w:t>
      </w:r>
    </w:p>
    <w:p w14:paraId="378EDFBA" w14:textId="6AA522C4" w:rsidR="002C0CD3" w:rsidRPr="00F20704" w:rsidRDefault="002C0CD3" w:rsidP="00F20704">
      <w:pPr>
        <w:pStyle w:val="Akapitzlist"/>
        <w:suppressAutoHyphens w:val="0"/>
        <w:overflowPunct/>
        <w:ind w:left="992"/>
        <w:contextualSpacing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F20704">
        <w:rPr>
          <w:rFonts w:asciiTheme="majorHAnsi" w:hAnsiTheme="majorHAnsi" w:cstheme="majorHAnsi"/>
          <w:kern w:val="0"/>
          <w:sz w:val="22"/>
          <w:szCs w:val="22"/>
        </w:rPr>
        <w:t>i życie ludzi.</w:t>
      </w:r>
    </w:p>
    <w:p w14:paraId="7F29C566" w14:textId="77777777" w:rsidR="002C0CD3" w:rsidRPr="002C0CD3" w:rsidRDefault="002C0CD3" w:rsidP="002C0CD3">
      <w:pPr>
        <w:pStyle w:val="Akapitzlist"/>
        <w:numPr>
          <w:ilvl w:val="0"/>
          <w:numId w:val="19"/>
        </w:numPr>
        <w:suppressAutoHyphens w:val="0"/>
        <w:overflowPunct/>
        <w:spacing w:before="120" w:after="120" w:line="259" w:lineRule="auto"/>
        <w:ind w:left="284" w:hanging="284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Podsumowanie</w:t>
      </w:r>
    </w:p>
    <w:p w14:paraId="0086CA4D" w14:textId="77777777" w:rsidR="002C0CD3" w:rsidRPr="002C0CD3" w:rsidRDefault="002C0CD3" w:rsidP="002C0CD3">
      <w:pPr>
        <w:jc w:val="both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Przedsiębiorca winien dążyć do utrzymania określonej kategorii ryzyka lub dołożyć starań do zmiany kategorii ryzyka z wyższego na niższy. Utrzymanie określonej kategorii oznacza bowiem prowadzenie kontroli planowych z częstotliwością określoną w art. 55a. ust. 1 Prawa przedsiębiorców. Wymierne efekty może odnieść przedsiębiorca w sytuacji zmiany kategorii ryzyka z niższego na wyższy – będzie wiązać się to ze zmniejszeniem częstotliwości kontroli działalności przedsiębiorcy prowadzonych przez organy Państwowej Inspekcji Sanitarnej, a w konsekwencji spadku ich liczby. Przedsiębiorca musi mieć również świadomość, że zmiana kategorii z niższego na wyższy oznaczać będzie zwiększenie częstotliwości przeprowadzanych kontroli. W przypadku, gdy po przeprowadzeniu analizy, o której mowa w art. 47 ust. 1a. Prawa przedsiębiorców, działalność przedsiębiorcy osiągnie kategorię wysokiego ryzyka, będzie to oznaczać, iż kontrole planowe będą mogły być przeprowadzenie minimum raz w roku lub częściej.</w:t>
      </w:r>
    </w:p>
    <w:p w14:paraId="0FD96A1B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7A8B3C03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357C141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43D8207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D4BA1DA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2B2A8ECA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DBC49DF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24B887F7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2811AEF6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2F1F4489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9CCE5F8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79F6A72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EC1E3E7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A04D247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7CF7D64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71E0936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7AE78B2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19B7313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783D3FB1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76E80C62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0309BCC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44CEA35C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B93569B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6B48B9C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7B6266F7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7DF5544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52BEEE3C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3886AC1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C16858D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C99BBC4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5331471D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2877EDD8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513AB4ED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4B118AC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41379F9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54F968A6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3EF0C41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4D5BBF19" w14:textId="77777777" w:rsidR="00F20704" w:rsidRDefault="00F20704" w:rsidP="002C0CD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4E0BA358" w14:textId="04B5CBE5" w:rsidR="002C0CD3" w:rsidRPr="002C0CD3" w:rsidRDefault="002C0CD3" w:rsidP="002C0CD3">
      <w:pPr>
        <w:jc w:val="right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lastRenderedPageBreak/>
        <w:t>Załącznik Nr 3</w:t>
      </w:r>
    </w:p>
    <w:p w14:paraId="2F8649BA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do Procedury klasyfikacji </w:t>
      </w:r>
    </w:p>
    <w:p w14:paraId="4DC732F2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ryzyka w działalności kontrolnej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br/>
      </w:r>
    </w:p>
    <w:p w14:paraId="6DFA479A" w14:textId="77777777" w:rsidR="002C0CD3" w:rsidRPr="002C0CD3" w:rsidRDefault="002C0CD3" w:rsidP="002C0CD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 xml:space="preserve">Obszar: 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>higiena pracy i nadzór nad chemikaliami</w:t>
      </w:r>
    </w:p>
    <w:p w14:paraId="3599C90B" w14:textId="77777777" w:rsidR="002C0CD3" w:rsidRPr="002C0CD3" w:rsidRDefault="002C0CD3" w:rsidP="002C0CD3">
      <w:pPr>
        <w:pStyle w:val="Akapitzlist"/>
        <w:numPr>
          <w:ilvl w:val="2"/>
          <w:numId w:val="14"/>
        </w:numPr>
        <w:suppressAutoHyphens w:val="0"/>
        <w:overflowPunct/>
        <w:spacing w:before="120" w:after="120" w:line="259" w:lineRule="auto"/>
        <w:ind w:left="425" w:hanging="425"/>
        <w:contextualSpacing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sz w:val="22"/>
          <w:szCs w:val="22"/>
        </w:rPr>
        <w:t>Higiena Pracy</w:t>
      </w:r>
    </w:p>
    <w:p w14:paraId="67C28CA0" w14:textId="77777777" w:rsidR="002C0CD3" w:rsidRPr="002C0CD3" w:rsidRDefault="002C0CD3" w:rsidP="002C0CD3">
      <w:pPr>
        <w:pStyle w:val="Akapitzlist"/>
        <w:numPr>
          <w:ilvl w:val="0"/>
          <w:numId w:val="9"/>
        </w:numPr>
        <w:suppressAutoHyphens w:val="0"/>
        <w:overflowPunct/>
        <w:spacing w:before="120"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Zakres: dotyczy higieny pracy</w:t>
      </w:r>
    </w:p>
    <w:p w14:paraId="2D99C9F7" w14:textId="77777777" w:rsidR="002C0CD3" w:rsidRPr="002C0CD3" w:rsidRDefault="002C0CD3" w:rsidP="002C0CD3">
      <w:pPr>
        <w:pStyle w:val="Akapitzlist"/>
        <w:numPr>
          <w:ilvl w:val="0"/>
          <w:numId w:val="9"/>
        </w:numPr>
        <w:suppressAutoHyphens w:val="0"/>
        <w:overflowPunct/>
        <w:spacing w:before="120"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Ocena ryzyka</w:t>
      </w:r>
    </w:p>
    <w:p w14:paraId="7FE5DB86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Ocena ryzyka opiera się na:</w:t>
      </w:r>
    </w:p>
    <w:p w14:paraId="302398DE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wielkości zatrudnienia,</w:t>
      </w:r>
    </w:p>
    <w:p w14:paraId="60AC59C8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występowania czynników szkodliwych dla zdrowia i uciążliwych w środowisku pracy,</w:t>
      </w:r>
    </w:p>
    <w:p w14:paraId="4EFD4564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 występowania przekroczeń najwyższych dopuszczalnych stężeń (NDS) i najwyższych dopuszczalnych natężeń (NDN) czynników szkodliwych dla zdrowia w środowisku pracy, </w:t>
      </w:r>
    </w:p>
    <w:p w14:paraId="655BF135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narażania na czynniki rakotwórcze, mutagenne lub reprotoksyczne,</w:t>
      </w:r>
    </w:p>
    <w:p w14:paraId="13415CF7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częstotliwości stwierdzanych nieprawidłowości, </w:t>
      </w:r>
    </w:p>
    <w:p w14:paraId="4D9839FC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wzmożonym występowaniu chorób zawodowych, </w:t>
      </w:r>
    </w:p>
    <w:p w14:paraId="63F5529C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stosowaniu substancji chemicznych i ich mieszanin stwarzających zagrożenie dla zdrowia, </w:t>
      </w:r>
    </w:p>
    <w:p w14:paraId="556F113F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stosowaniu produktów biobójczych,</w:t>
      </w:r>
    </w:p>
    <w:p w14:paraId="20F59147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stosowaniu prekursorów narkotyków,</w:t>
      </w:r>
    </w:p>
    <w:p w14:paraId="07D32025" w14:textId="77777777" w:rsidR="002C0CD3" w:rsidRPr="002C0CD3" w:rsidRDefault="002C0CD3" w:rsidP="002C0CD3">
      <w:pPr>
        <w:pStyle w:val="Akapitzlist"/>
        <w:numPr>
          <w:ilvl w:val="0"/>
          <w:numId w:val="2"/>
        </w:numPr>
        <w:suppressAutoHyphens w:val="0"/>
        <w:overflowPunct/>
        <w:spacing w:after="120" w:line="259" w:lineRule="auto"/>
        <w:ind w:left="426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występowania szkodliwych czynników biologicznych</w:t>
      </w:r>
    </w:p>
    <w:p w14:paraId="4984ECA1" w14:textId="77777777" w:rsidR="002C0CD3" w:rsidRPr="002C0CD3" w:rsidRDefault="002C0CD3" w:rsidP="002C0CD3">
      <w:pPr>
        <w:pStyle w:val="Akapitzlist"/>
        <w:numPr>
          <w:ilvl w:val="0"/>
          <w:numId w:val="9"/>
        </w:numPr>
        <w:suppressAutoHyphens w:val="0"/>
        <w:overflowPunct/>
        <w:spacing w:before="120"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Kategorie ryzyka i częstotliwość kontroli</w:t>
      </w:r>
    </w:p>
    <w:p w14:paraId="0B76B761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Przy doborze obiektów do sprawowania nad nimi nadzoru sanitarno–higienicznego przyjmuje się podział na trzy podstawowe typy zakładów pracy: </w:t>
      </w:r>
    </w:p>
    <w:p w14:paraId="6465C460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spacing w:before="120" w:after="12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 xml:space="preserve"> zakłady niskiego ryzyka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 – zakłady, w których podczas wstępnej oceny nie stwierdzono występowania czynników szkodliwych dla zdrowia;</w:t>
      </w:r>
    </w:p>
    <w:p w14:paraId="2F2B834C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spacing w:before="120" w:after="12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 xml:space="preserve"> zakłady średniego ryzyka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 – zakłady, w których występują czynniki szkodliwe, </w:t>
      </w:r>
      <w:r w:rsidRPr="002C0CD3">
        <w:rPr>
          <w:rFonts w:asciiTheme="majorHAnsi" w:hAnsiTheme="majorHAnsi" w:cstheme="majorHAnsi"/>
          <w:sz w:val="22"/>
          <w:szCs w:val="22"/>
        </w:rPr>
        <w:t xml:space="preserve">ale ich stężenia i natężenia nie przekraczają dopuszczalnych poziomów; zakłady stosujące substancje chemiczne i ich mieszaniny, produkty biobójcze, prekursory narkotyków, zakłady, w których stwierdza się występowanie szkodliwych czynników biologicznych zaliczanych do 2 grupy zagrożenia; </w:t>
      </w:r>
    </w:p>
    <w:p w14:paraId="3358CE15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 xml:space="preserve"> zakłady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 </w:t>
      </w: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wysokiego ryzyka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 – zakłady, w których stwierdza się</w:t>
      </w:r>
      <w:r w:rsidRPr="002C0CD3">
        <w:rPr>
          <w:rFonts w:asciiTheme="majorHAnsi" w:hAnsiTheme="majorHAnsi" w:cstheme="majorHAnsi"/>
          <w:sz w:val="22"/>
          <w:szCs w:val="22"/>
        </w:rPr>
        <w:t xml:space="preserve"> przekroczenia dopuszczalnych poziomów czynników szkodliwych dla zdrowia, występują w zakładach czynniki rakotwórcze, mutagenne lub reprotoksyczne oraz szkodliwe czynniki biologiczne zaliczone do 3 grupy zagrożenia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>, zakłady, w których stwierdzono istotne nieprawidłowości.</w:t>
      </w:r>
    </w:p>
    <w:p w14:paraId="70E6BC70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Częstotliwość prowadzonych działań kontrolnych w zakładach pracy należących do poszczególnych kategorii ryzyka : </w:t>
      </w:r>
    </w:p>
    <w:p w14:paraId="5ED81975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niskie ryzyko – nie częściej niż raz w ciągu 5 lat;</w:t>
      </w:r>
    </w:p>
    <w:p w14:paraId="2355989D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średnie ryzyko – nie częściej niż raz w ciągu 3 lat;</w:t>
      </w:r>
    </w:p>
    <w:p w14:paraId="25CC8339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wysokie ryzyko – tak często, jak to jest konieczne dla zapewnienia skutecznego stosowania odpowiednich przepisów, z uwzględnieniem wysokiego ryzyka wystąpienia nieprawidłowości oraz środków niezbędnych do jego ograniczenia.</w:t>
      </w:r>
    </w:p>
    <w:p w14:paraId="31D2E06C" w14:textId="77777777" w:rsidR="002C0CD3" w:rsidRPr="002C0CD3" w:rsidRDefault="002C0CD3" w:rsidP="002C0CD3">
      <w:pPr>
        <w:pStyle w:val="Akapitzlist"/>
        <w:numPr>
          <w:ilvl w:val="2"/>
          <w:numId w:val="14"/>
        </w:numPr>
        <w:suppressAutoHyphens w:val="0"/>
        <w:overflowPunct/>
        <w:autoSpaceDE w:val="0"/>
        <w:autoSpaceDN w:val="0"/>
        <w:adjustRightInd w:val="0"/>
        <w:ind w:left="284" w:hanging="284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Nadzór nad chemikaliami</w:t>
      </w:r>
    </w:p>
    <w:p w14:paraId="01F86A5A" w14:textId="77777777" w:rsidR="002C0CD3" w:rsidRPr="002C0CD3" w:rsidRDefault="002C0CD3" w:rsidP="002C0CD3">
      <w:pPr>
        <w:autoSpaceDE w:val="0"/>
        <w:autoSpaceDN w:val="0"/>
        <w:adjustRightInd w:val="0"/>
        <w:spacing w:before="120" w:after="120"/>
        <w:ind w:left="709" w:hanging="283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1.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ab/>
      </w: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Zakres: dotyczy nadzoru nad chemikaliami</w:t>
      </w:r>
    </w:p>
    <w:p w14:paraId="3214AD60" w14:textId="77777777" w:rsidR="002C0CD3" w:rsidRPr="002C0CD3" w:rsidRDefault="002C0CD3" w:rsidP="002C0CD3">
      <w:pPr>
        <w:autoSpaceDE w:val="0"/>
        <w:autoSpaceDN w:val="0"/>
        <w:adjustRightInd w:val="0"/>
        <w:spacing w:before="120" w:after="120"/>
        <w:ind w:left="709" w:hanging="709"/>
        <w:rPr>
          <w:rFonts w:asciiTheme="majorHAnsi" w:hAnsiTheme="majorHAnsi" w:cstheme="majorHAnsi"/>
          <w:b/>
          <w:bCs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 xml:space="preserve">       2.</w:t>
      </w: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ab/>
        <w:t>Ocena ryzyka</w:t>
      </w:r>
    </w:p>
    <w:p w14:paraId="5E4C1BEF" w14:textId="77777777" w:rsidR="002C0CD3" w:rsidRPr="002C0CD3" w:rsidRDefault="002C0CD3" w:rsidP="002C0CD3">
      <w:pPr>
        <w:autoSpaceDE w:val="0"/>
        <w:autoSpaceDN w:val="0"/>
        <w:adjustRightInd w:val="0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Ocena ryzyka opiera się na:</w:t>
      </w:r>
    </w:p>
    <w:p w14:paraId="28D88B6C" w14:textId="77777777" w:rsidR="002C0CD3" w:rsidRPr="002C0CD3" w:rsidRDefault="002C0CD3" w:rsidP="002C0CD3">
      <w:pPr>
        <w:pStyle w:val="Akapitzlist"/>
        <w:numPr>
          <w:ilvl w:val="0"/>
          <w:numId w:val="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roli podmiotu w łańcuchu dostaw,</w:t>
      </w:r>
    </w:p>
    <w:p w14:paraId="166981C8" w14:textId="77777777" w:rsidR="002C0CD3" w:rsidRPr="002C0CD3" w:rsidRDefault="002C0CD3" w:rsidP="002C0CD3">
      <w:pPr>
        <w:pStyle w:val="Akapitzlist"/>
        <w:numPr>
          <w:ilvl w:val="0"/>
          <w:numId w:val="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ilości i rodzaju wprowadzanych do obrotu i udostępnianych na rynku produktów, </w:t>
      </w:r>
    </w:p>
    <w:p w14:paraId="68A49D6F" w14:textId="77777777" w:rsidR="002C0CD3" w:rsidRPr="002C0CD3" w:rsidRDefault="002C0CD3" w:rsidP="002C0CD3">
      <w:pPr>
        <w:pStyle w:val="Akapitzlist"/>
        <w:numPr>
          <w:ilvl w:val="0"/>
          <w:numId w:val="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klasyfikacji produktów ze względu na klasy zagrożeń,</w:t>
      </w:r>
    </w:p>
    <w:p w14:paraId="0E38ABFB" w14:textId="77777777" w:rsidR="002C0CD3" w:rsidRPr="002C0CD3" w:rsidRDefault="002C0CD3" w:rsidP="002C0CD3">
      <w:pPr>
        <w:pStyle w:val="Akapitzlist"/>
        <w:numPr>
          <w:ilvl w:val="0"/>
          <w:numId w:val="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analizy GMP – Dobre Praktyki Produkcji w wytwórniach produktów kosmetycznych,</w:t>
      </w:r>
    </w:p>
    <w:p w14:paraId="2F2A6AF1" w14:textId="77777777" w:rsidR="002C0CD3" w:rsidRPr="002C0CD3" w:rsidRDefault="002C0CD3" w:rsidP="002C0CD3">
      <w:pPr>
        <w:pStyle w:val="Akapitzlist"/>
        <w:numPr>
          <w:ilvl w:val="0"/>
          <w:numId w:val="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lastRenderedPageBreak/>
        <w:t>wielkości produkcji,</w:t>
      </w:r>
    </w:p>
    <w:p w14:paraId="09556038" w14:textId="77777777" w:rsidR="002C0CD3" w:rsidRPr="002C0CD3" w:rsidRDefault="002C0CD3" w:rsidP="002C0CD3">
      <w:pPr>
        <w:pStyle w:val="Akapitzlist"/>
        <w:numPr>
          <w:ilvl w:val="0"/>
          <w:numId w:val="4"/>
        </w:numPr>
        <w:suppressAutoHyphens w:val="0"/>
        <w:overflowPunct/>
        <w:spacing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wynikach ostatniej kontroli.</w:t>
      </w:r>
    </w:p>
    <w:p w14:paraId="2B58EE74" w14:textId="77777777" w:rsidR="002C0CD3" w:rsidRPr="002C0CD3" w:rsidRDefault="002C0CD3" w:rsidP="002C0CD3">
      <w:pPr>
        <w:pStyle w:val="Akapitzlist"/>
        <w:numPr>
          <w:ilvl w:val="0"/>
          <w:numId w:val="28"/>
        </w:numPr>
        <w:suppressAutoHyphens w:val="0"/>
        <w:overflowPunct/>
        <w:spacing w:before="120" w:after="120" w:line="259" w:lineRule="auto"/>
        <w:ind w:left="714" w:hanging="288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Kategorie ryzyka i częstotliwość kontroli</w:t>
      </w:r>
    </w:p>
    <w:p w14:paraId="0DC0B521" w14:textId="77777777" w:rsidR="002C0CD3" w:rsidRPr="002C0CD3" w:rsidRDefault="002C0CD3" w:rsidP="002C0CD3">
      <w:pPr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Przy doborze obiektów do sprawowania nad nimi nadzoru przyjmuje się podział na trzy podstawowe typy podmiotów: </w:t>
      </w:r>
      <w:bookmarkStart w:id="3" w:name="_Hlk205289126"/>
    </w:p>
    <w:p w14:paraId="34F1766D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spacing w:before="120" w:after="120" w:line="259" w:lineRule="auto"/>
        <w:ind w:left="426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podmioty niskiego ryzyka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 </w:t>
      </w:r>
    </w:p>
    <w:p w14:paraId="2E58F95B" w14:textId="77777777" w:rsidR="002C0CD3" w:rsidRPr="002C0CD3" w:rsidRDefault="002C0CD3" w:rsidP="002C0CD3">
      <w:pPr>
        <w:pStyle w:val="Akapitzlist"/>
        <w:numPr>
          <w:ilvl w:val="0"/>
          <w:numId w:val="5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handel detaliczny, </w:t>
      </w:r>
    </w:p>
    <w:p w14:paraId="2662F605" w14:textId="77777777" w:rsidR="002C0CD3" w:rsidRPr="002C0CD3" w:rsidRDefault="002C0CD3" w:rsidP="002C0CD3">
      <w:pPr>
        <w:pStyle w:val="Akapitzlist"/>
        <w:numPr>
          <w:ilvl w:val="0"/>
          <w:numId w:val="5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sklepy </w:t>
      </w:r>
      <w:proofErr w:type="spellStart"/>
      <w:r w:rsidRPr="002C0CD3">
        <w:rPr>
          <w:rFonts w:asciiTheme="majorHAnsi" w:hAnsiTheme="majorHAnsi" w:cstheme="majorHAnsi"/>
          <w:kern w:val="0"/>
          <w:sz w:val="22"/>
          <w:szCs w:val="22"/>
        </w:rPr>
        <w:t>małopowierzchniowe</w:t>
      </w:r>
      <w:proofErr w:type="spellEnd"/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, </w:t>
      </w:r>
    </w:p>
    <w:p w14:paraId="3D84EF1D" w14:textId="77777777" w:rsidR="002C0CD3" w:rsidRPr="002C0CD3" w:rsidRDefault="002C0CD3" w:rsidP="002C0CD3">
      <w:pPr>
        <w:pStyle w:val="Akapitzlist"/>
        <w:numPr>
          <w:ilvl w:val="0"/>
          <w:numId w:val="5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sklepy z niewielkim rodzajem asortymentu;</w:t>
      </w:r>
    </w:p>
    <w:p w14:paraId="2FD60873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podmioty średniego ryzyka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 </w:t>
      </w:r>
    </w:p>
    <w:p w14:paraId="410EE03F" w14:textId="77777777" w:rsidR="002C0CD3" w:rsidRPr="002C0CD3" w:rsidRDefault="002C0CD3" w:rsidP="002C0CD3">
      <w:pPr>
        <w:pStyle w:val="Akapitzlist"/>
        <w:numPr>
          <w:ilvl w:val="0"/>
          <w:numId w:val="6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sprzedaż hurtowa, dystrybutorzy,</w:t>
      </w:r>
    </w:p>
    <w:p w14:paraId="72BD9AC3" w14:textId="77777777" w:rsidR="002C0CD3" w:rsidRPr="002C0CD3" w:rsidRDefault="002C0CD3" w:rsidP="002C0CD3">
      <w:pPr>
        <w:pStyle w:val="Akapitzlist"/>
        <w:numPr>
          <w:ilvl w:val="0"/>
          <w:numId w:val="6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sklepy wielopowierzchniowe, </w:t>
      </w:r>
    </w:p>
    <w:p w14:paraId="6EE72EC9" w14:textId="77777777" w:rsidR="002C0CD3" w:rsidRPr="002C0CD3" w:rsidRDefault="002C0CD3" w:rsidP="002C0CD3">
      <w:pPr>
        <w:pStyle w:val="Akapitzlist"/>
        <w:numPr>
          <w:ilvl w:val="0"/>
          <w:numId w:val="6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sklepy z dużą ilością różnorodnego asortymentu,</w:t>
      </w:r>
    </w:p>
    <w:p w14:paraId="35FAD047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kern w:val="0"/>
          <w:sz w:val="22"/>
          <w:szCs w:val="22"/>
        </w:rPr>
        <w:t>podmioty wysokiego ryzyka</w:t>
      </w:r>
      <w:r w:rsidRPr="002C0CD3">
        <w:rPr>
          <w:rFonts w:asciiTheme="majorHAnsi" w:hAnsiTheme="majorHAnsi" w:cstheme="majorHAnsi"/>
          <w:kern w:val="0"/>
          <w:sz w:val="22"/>
          <w:szCs w:val="22"/>
        </w:rPr>
        <w:t xml:space="preserve"> </w:t>
      </w:r>
    </w:p>
    <w:p w14:paraId="721505FD" w14:textId="053F8C1D" w:rsidR="002C0CD3" w:rsidRPr="002C0CD3" w:rsidRDefault="002C0CD3" w:rsidP="002C0CD3">
      <w:pPr>
        <w:pStyle w:val="Akapitzlist"/>
        <w:numPr>
          <w:ilvl w:val="0"/>
          <w:numId w:val="7"/>
        </w:numPr>
        <w:suppressAutoHyphens w:val="0"/>
        <w:overflowPunct/>
        <w:autoSpaceDE w:val="0"/>
        <w:autoSpaceDN w:val="0"/>
        <w:adjustRightInd w:val="0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wytwórcy/producenci/importerzy</w:t>
      </w:r>
      <w:r w:rsidRPr="00BD1B1A">
        <w:rPr>
          <w:rFonts w:asciiTheme="majorHAnsi" w:hAnsiTheme="majorHAnsi" w:cstheme="majorHAnsi"/>
          <w:kern w:val="0"/>
          <w:sz w:val="22"/>
          <w:szCs w:val="22"/>
        </w:rPr>
        <w:t xml:space="preserve">/konfekcjonerzy/podmioty odpowiedzialne </w:t>
      </w:r>
      <w:r w:rsidR="00BD1B1A" w:rsidRPr="00BD1B1A">
        <w:rPr>
          <w:rFonts w:asciiTheme="majorHAnsi" w:hAnsiTheme="majorHAnsi" w:cstheme="majorHAnsi"/>
          <w:kern w:val="0"/>
          <w:sz w:val="22"/>
          <w:szCs w:val="22"/>
        </w:rPr>
        <w:t xml:space="preserve">za wytwarzanie produktów </w:t>
      </w:r>
      <w:r w:rsidRPr="00BD1B1A">
        <w:rPr>
          <w:rFonts w:asciiTheme="majorHAnsi" w:hAnsiTheme="majorHAnsi" w:cstheme="majorHAnsi"/>
          <w:kern w:val="0"/>
          <w:sz w:val="22"/>
          <w:szCs w:val="22"/>
        </w:rPr>
        <w:t>kosmetycznych,</w:t>
      </w:r>
    </w:p>
    <w:p w14:paraId="2B939EB7" w14:textId="77777777" w:rsidR="002C0CD3" w:rsidRPr="002C0CD3" w:rsidRDefault="002C0CD3" w:rsidP="002C0CD3">
      <w:pPr>
        <w:pStyle w:val="Akapitzlist"/>
        <w:numPr>
          <w:ilvl w:val="0"/>
          <w:numId w:val="7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producent/importer/wyłączny przedstawiciel/</w:t>
      </w:r>
      <w:proofErr w:type="spellStart"/>
      <w:r w:rsidRPr="002C0CD3">
        <w:rPr>
          <w:rFonts w:asciiTheme="majorHAnsi" w:hAnsiTheme="majorHAnsi" w:cstheme="majorHAnsi"/>
          <w:kern w:val="0"/>
          <w:sz w:val="22"/>
          <w:szCs w:val="22"/>
        </w:rPr>
        <w:t>formulator</w:t>
      </w:r>
      <w:proofErr w:type="spellEnd"/>
      <w:r w:rsidRPr="002C0CD3">
        <w:rPr>
          <w:rFonts w:asciiTheme="majorHAnsi" w:hAnsiTheme="majorHAnsi" w:cstheme="majorHAnsi"/>
          <w:kern w:val="0"/>
          <w:sz w:val="22"/>
          <w:szCs w:val="22"/>
        </w:rPr>
        <w:t>/konfekcjoner produktów chemicznych,</w:t>
      </w:r>
    </w:p>
    <w:p w14:paraId="593CAA38" w14:textId="77777777" w:rsidR="002C0CD3" w:rsidRPr="002C0CD3" w:rsidRDefault="002C0CD3" w:rsidP="002C0CD3">
      <w:pPr>
        <w:pStyle w:val="Akapitzlist"/>
        <w:numPr>
          <w:ilvl w:val="0"/>
          <w:numId w:val="7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posiadacz pozwolenia/ podmiot odpowiedzialny produktów biobójczych,</w:t>
      </w:r>
    </w:p>
    <w:p w14:paraId="075B1B16" w14:textId="77777777" w:rsidR="002C0CD3" w:rsidRPr="002C0CD3" w:rsidRDefault="002C0CD3" w:rsidP="002C0CD3">
      <w:pPr>
        <w:pStyle w:val="Akapitzlist"/>
        <w:numPr>
          <w:ilvl w:val="0"/>
          <w:numId w:val="7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podmioty wprowadzające do obrotu prekursory narkotyków kat. 2 i 3,</w:t>
      </w:r>
    </w:p>
    <w:p w14:paraId="4D2ACE51" w14:textId="77777777" w:rsidR="002C0CD3" w:rsidRPr="002C0CD3" w:rsidRDefault="002C0CD3" w:rsidP="002C0CD3">
      <w:pPr>
        <w:pStyle w:val="Akapitzlist"/>
        <w:numPr>
          <w:ilvl w:val="0"/>
          <w:numId w:val="7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podmioty uczestniczące w przywozie, wywozie i pośrednictwie do i z krajów trzecich prekursorów narkotyków kat. 2 i 3,</w:t>
      </w:r>
    </w:p>
    <w:p w14:paraId="7E39E385" w14:textId="77777777" w:rsidR="002C0CD3" w:rsidRPr="002C0CD3" w:rsidRDefault="002C0CD3" w:rsidP="002C0CD3">
      <w:pPr>
        <w:pStyle w:val="Akapitzlist"/>
        <w:numPr>
          <w:ilvl w:val="0"/>
          <w:numId w:val="7"/>
        </w:numPr>
        <w:suppressAutoHyphens w:val="0"/>
        <w:overflowPunct/>
        <w:autoSpaceDE w:val="0"/>
        <w:autoSpaceDN w:val="0"/>
        <w:adjustRightInd w:val="0"/>
        <w:jc w:val="both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kern w:val="0"/>
          <w:sz w:val="22"/>
          <w:szCs w:val="22"/>
        </w:rPr>
        <w:t>podmioty, u których podczas ostatniej kontroli wystąpiły nieprawidłowości lub stwierdzono zgłoszenie niepożądanych działań produktu kosmetycznego.</w:t>
      </w:r>
    </w:p>
    <w:bookmarkEnd w:id="3"/>
    <w:p w14:paraId="0DDA6D51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 xml:space="preserve">Częstotliwość prowadzonych działań kontrolnych w podmiotach należących do poszczególnych kategorii ryzyka: </w:t>
      </w:r>
    </w:p>
    <w:p w14:paraId="0FA0639E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niskie ryzyko – nie częściej niż raz w ciągu 5 lat;</w:t>
      </w:r>
    </w:p>
    <w:p w14:paraId="171A57CD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średnie ryzyko – nie częściej niż raz w ciągu 3 lat;</w:t>
      </w:r>
    </w:p>
    <w:p w14:paraId="68A71E2D" w14:textId="77777777" w:rsidR="002C0CD3" w:rsidRPr="002C0CD3" w:rsidRDefault="002C0CD3" w:rsidP="002C0CD3">
      <w:pPr>
        <w:pStyle w:val="Akapitzlist"/>
        <w:numPr>
          <w:ilvl w:val="0"/>
          <w:numId w:val="3"/>
        </w:numPr>
        <w:suppressAutoHyphens w:val="0"/>
        <w:overflowPunct/>
        <w:autoSpaceDE w:val="0"/>
        <w:autoSpaceDN w:val="0"/>
        <w:adjustRightInd w:val="0"/>
        <w:rPr>
          <w:rFonts w:asciiTheme="majorHAnsi" w:hAnsiTheme="majorHAnsi" w:cstheme="majorHAnsi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t>wysokie ryzyko – tak często, jak to jest konieczne dla zapewnienia skutecznego stosowania odpowiednich przepisów, z uwzględnieniem wysokiego ryzyka wystąpienia nieprawidłowości oraz środków niezbędnych do jego ograniczenia.</w:t>
      </w:r>
    </w:p>
    <w:p w14:paraId="6E3D81DB" w14:textId="77777777" w:rsidR="002C0CD3" w:rsidRPr="002C0CD3" w:rsidRDefault="002C0CD3" w:rsidP="002C0CD3">
      <w:pPr>
        <w:autoSpaceDE w:val="0"/>
        <w:autoSpaceDN w:val="0"/>
        <w:adjustRightInd w:val="0"/>
        <w:rPr>
          <w:rFonts w:asciiTheme="majorHAnsi" w:hAnsiTheme="majorHAnsi" w:cstheme="majorHAnsi"/>
          <w:kern w:val="0"/>
          <w:sz w:val="22"/>
          <w:szCs w:val="22"/>
        </w:rPr>
      </w:pPr>
    </w:p>
    <w:p w14:paraId="48ABA2C6" w14:textId="77777777" w:rsidR="002C0CD3" w:rsidRPr="002C0CD3" w:rsidRDefault="002C0CD3" w:rsidP="002C0CD3">
      <w:pPr>
        <w:autoSpaceDE w:val="0"/>
        <w:autoSpaceDN w:val="0"/>
        <w:adjustRightInd w:val="0"/>
        <w:rPr>
          <w:rFonts w:asciiTheme="majorHAnsi" w:hAnsiTheme="majorHAnsi" w:cstheme="majorHAnsi"/>
          <w:kern w:val="0"/>
          <w:sz w:val="22"/>
          <w:szCs w:val="22"/>
        </w:rPr>
      </w:pPr>
    </w:p>
    <w:p w14:paraId="7B905547" w14:textId="77777777" w:rsidR="002C0CD3" w:rsidRPr="002C0CD3" w:rsidRDefault="002C0CD3" w:rsidP="002C0CD3">
      <w:pPr>
        <w:pStyle w:val="Akapitzlist"/>
        <w:autoSpaceDE w:val="0"/>
        <w:autoSpaceDN w:val="0"/>
        <w:adjustRightInd w:val="0"/>
        <w:rPr>
          <w:rFonts w:asciiTheme="majorHAnsi" w:hAnsiTheme="majorHAnsi" w:cstheme="majorHAnsi"/>
          <w:color w:val="00B050"/>
          <w:kern w:val="0"/>
          <w:sz w:val="22"/>
          <w:szCs w:val="22"/>
        </w:rPr>
      </w:pPr>
    </w:p>
    <w:p w14:paraId="6B246C57" w14:textId="77777777" w:rsidR="002C0CD3" w:rsidRDefault="002C0CD3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5F2431CE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728588CB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60A94A99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5D6FC330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4BEE7EF8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1A629B07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239A96A7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1357F466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45D25F7E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30778ACB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27A65BE5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507F37AF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706C69D8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5CFCA66F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3D16E5A4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3B7BC83F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0FE4BD72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3CC0F5C9" w14:textId="77777777" w:rsidR="00F20704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4F17D1CA" w14:textId="77777777" w:rsidR="00F20704" w:rsidRPr="002C0CD3" w:rsidRDefault="00F20704" w:rsidP="002C0CD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6F5D4701" w14:textId="77777777" w:rsidR="002C0CD3" w:rsidRPr="002C0CD3" w:rsidRDefault="002C0CD3" w:rsidP="002C0CD3">
      <w:pPr>
        <w:autoSpaceDE w:val="0"/>
        <w:autoSpaceDN w:val="0"/>
        <w:adjustRightInd w:val="0"/>
        <w:rPr>
          <w:rFonts w:asciiTheme="majorHAnsi" w:hAnsiTheme="majorHAnsi" w:cstheme="majorHAnsi"/>
          <w:kern w:val="0"/>
          <w:sz w:val="22"/>
          <w:szCs w:val="22"/>
        </w:rPr>
      </w:pPr>
    </w:p>
    <w:p w14:paraId="6879E5E0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sz w:val="22"/>
          <w:szCs w:val="22"/>
        </w:rPr>
      </w:pPr>
      <w:r w:rsidRPr="002C0CD3">
        <w:rPr>
          <w:rFonts w:asciiTheme="majorHAnsi" w:hAnsiTheme="majorHAnsi" w:cstheme="majorHAnsi"/>
          <w:sz w:val="22"/>
          <w:szCs w:val="22"/>
        </w:rPr>
        <w:lastRenderedPageBreak/>
        <w:t>Załącznik Nr 4</w:t>
      </w:r>
    </w:p>
    <w:p w14:paraId="2774AD99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do Procedury klasyfikacji </w:t>
      </w:r>
    </w:p>
    <w:p w14:paraId="42349DA6" w14:textId="77777777" w:rsidR="002C0CD3" w:rsidRPr="002C0CD3" w:rsidRDefault="002C0CD3" w:rsidP="002C0CD3">
      <w:pPr>
        <w:jc w:val="right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ryzyka w działalności kontrolnej</w:t>
      </w: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br/>
      </w:r>
    </w:p>
    <w:p w14:paraId="7790C5B0" w14:textId="77777777" w:rsidR="002C0CD3" w:rsidRPr="002C0CD3" w:rsidRDefault="002C0CD3" w:rsidP="002C0CD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 xml:space="preserve">Obszar: </w:t>
      </w:r>
      <w:r w:rsidRPr="002C0CD3">
        <w:rPr>
          <w:rFonts w:asciiTheme="majorHAnsi" w:hAnsiTheme="majorHAnsi" w:cstheme="majorHAnsi"/>
          <w:b/>
          <w:bCs/>
          <w:sz w:val="22"/>
          <w:szCs w:val="22"/>
        </w:rPr>
        <w:t>higiena komunalna</w:t>
      </w:r>
    </w:p>
    <w:p w14:paraId="07FCEFB8" w14:textId="77777777" w:rsidR="002C0CD3" w:rsidRPr="002C0CD3" w:rsidRDefault="002C0CD3" w:rsidP="002C0CD3">
      <w:pPr>
        <w:pStyle w:val="Akapitzlist"/>
        <w:numPr>
          <w:ilvl w:val="0"/>
          <w:numId w:val="10"/>
        </w:numPr>
        <w:suppressAutoHyphens w:val="0"/>
        <w:overflowPunct/>
        <w:spacing w:before="120"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Zakres</w:t>
      </w:r>
    </w:p>
    <w:p w14:paraId="0D852636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Dotyczy grup obiektów:</w:t>
      </w:r>
    </w:p>
    <w:p w14:paraId="48179A37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podmioty lecznicze,</w:t>
      </w:r>
    </w:p>
    <w:p w14:paraId="4C841D73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wodociągi zbiorowego zaopatrzenia w wodę i inne podmioty zaopatrzenia w wodę nadzorowane corocznie w zakresie jakości wody,</w:t>
      </w:r>
    </w:p>
    <w:p w14:paraId="036AAD15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zakłady odnowy biologicznej, w tym wykonujące zabiegi z naruszeniem ciągłości tkanek,</w:t>
      </w:r>
    </w:p>
    <w:p w14:paraId="2E7EAC1D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usługi noclegowe,</w:t>
      </w:r>
    </w:p>
    <w:p w14:paraId="4C9D91D3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usługi funeralne,</w:t>
      </w:r>
    </w:p>
    <w:p w14:paraId="53F03BD2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jednostki organizacyjne pomocy społecznej,</w:t>
      </w:r>
    </w:p>
    <w:p w14:paraId="4233BDE8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obiekty rekreacji wodnej,</w:t>
      </w:r>
    </w:p>
    <w:p w14:paraId="56094638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zakłady karne,</w:t>
      </w:r>
    </w:p>
    <w:p w14:paraId="3CD7C37C" w14:textId="77777777" w:rsidR="002C0CD3" w:rsidRPr="002C0CD3" w:rsidRDefault="002C0CD3" w:rsidP="002C0CD3">
      <w:pPr>
        <w:pStyle w:val="Akapitzlist"/>
        <w:numPr>
          <w:ilvl w:val="0"/>
          <w:numId w:val="29"/>
        </w:numPr>
        <w:suppressAutoHyphens w:val="0"/>
        <w:overflowPunct/>
        <w:spacing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inne obiekty użyteczności publicznej.</w:t>
      </w:r>
    </w:p>
    <w:p w14:paraId="3C735087" w14:textId="77777777" w:rsidR="002C0CD3" w:rsidRPr="002C0CD3" w:rsidRDefault="002C0CD3" w:rsidP="002C0CD3">
      <w:pPr>
        <w:pStyle w:val="Akapitzlist"/>
        <w:numPr>
          <w:ilvl w:val="0"/>
          <w:numId w:val="10"/>
        </w:numPr>
        <w:suppressAutoHyphens w:val="0"/>
        <w:overflowPunct/>
        <w:spacing w:before="120"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Ocena ryzyka</w:t>
      </w:r>
    </w:p>
    <w:p w14:paraId="2EE514C6" w14:textId="77777777" w:rsidR="002C0CD3" w:rsidRPr="002C0CD3" w:rsidRDefault="002C0CD3" w:rsidP="002C0CD3">
      <w:pPr>
        <w:spacing w:before="120" w:after="12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Ocena ryzyka opiera się na:</w:t>
      </w:r>
    </w:p>
    <w:p w14:paraId="255ABF95" w14:textId="77777777" w:rsidR="002C0CD3" w:rsidRPr="002C0CD3" w:rsidRDefault="002C0CD3" w:rsidP="002C0CD3">
      <w:pPr>
        <w:pStyle w:val="Akapitzlist"/>
        <w:numPr>
          <w:ilvl w:val="0"/>
          <w:numId w:val="30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wystąpieniu podejrzenia lub prawdopodobieństwa wystąpienia zagrożenia życia lub zdrowia człowieka,</w:t>
      </w:r>
    </w:p>
    <w:p w14:paraId="25746DD4" w14:textId="77777777" w:rsidR="002C0CD3" w:rsidRPr="002C0CD3" w:rsidRDefault="002C0CD3" w:rsidP="002C0CD3">
      <w:pPr>
        <w:pStyle w:val="Akapitzlist"/>
        <w:numPr>
          <w:ilvl w:val="0"/>
          <w:numId w:val="30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ocenach stanu sanitarno-technicznego obiektu,</w:t>
      </w:r>
    </w:p>
    <w:p w14:paraId="7EA6286A" w14:textId="77777777" w:rsidR="002C0CD3" w:rsidRPr="002C0CD3" w:rsidRDefault="002C0CD3" w:rsidP="002C0CD3">
      <w:pPr>
        <w:pStyle w:val="Akapitzlist"/>
        <w:numPr>
          <w:ilvl w:val="0"/>
          <w:numId w:val="30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wynikach kontroli stwierdzanych w trakcie ostatnich 3 kontroli planowych,</w:t>
      </w:r>
    </w:p>
    <w:p w14:paraId="476978DF" w14:textId="77777777" w:rsidR="002C0CD3" w:rsidRPr="002C0CD3" w:rsidRDefault="002C0CD3" w:rsidP="002C0CD3">
      <w:pPr>
        <w:pStyle w:val="Akapitzlist"/>
        <w:numPr>
          <w:ilvl w:val="0"/>
          <w:numId w:val="30"/>
        </w:numPr>
        <w:suppressAutoHyphens w:val="0"/>
        <w:overflowPunct/>
        <w:spacing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liczbie interwencji zgłaszanych w odniesieniu do danego obiektu oraz ich zasadności.</w:t>
      </w:r>
    </w:p>
    <w:p w14:paraId="344EE159" w14:textId="77777777" w:rsidR="002C0CD3" w:rsidRPr="002C0CD3" w:rsidRDefault="002C0CD3" w:rsidP="002C0CD3">
      <w:pPr>
        <w:pStyle w:val="Akapitzlist"/>
        <w:numPr>
          <w:ilvl w:val="0"/>
          <w:numId w:val="10"/>
        </w:numPr>
        <w:suppressAutoHyphens w:val="0"/>
        <w:overflowPunct/>
        <w:spacing w:before="120"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Kategorie ryzyka i częstotliwość kontroli</w:t>
      </w: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6667"/>
        <w:gridCol w:w="1985"/>
      </w:tblGrid>
      <w:tr w:rsidR="002C0CD3" w:rsidRPr="002C0CD3" w14:paraId="1584CCD2" w14:textId="77777777" w:rsidTr="00F20704">
        <w:tc>
          <w:tcPr>
            <w:tcW w:w="1271" w:type="dxa"/>
            <w:vAlign w:val="center"/>
          </w:tcPr>
          <w:p w14:paraId="5127E11B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Kategoria ryzyka</w:t>
            </w:r>
          </w:p>
        </w:tc>
        <w:tc>
          <w:tcPr>
            <w:tcW w:w="6667" w:type="dxa"/>
            <w:vAlign w:val="center"/>
          </w:tcPr>
          <w:p w14:paraId="01F3B77B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Przykładowe obiekty / działalność</w:t>
            </w:r>
          </w:p>
        </w:tc>
        <w:tc>
          <w:tcPr>
            <w:tcW w:w="1985" w:type="dxa"/>
            <w:vAlign w:val="center"/>
          </w:tcPr>
          <w:p w14:paraId="7DD2A805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Częstotliwość kontroli planowej</w:t>
            </w:r>
          </w:p>
        </w:tc>
      </w:tr>
      <w:tr w:rsidR="002C0CD3" w:rsidRPr="002C0CD3" w14:paraId="360FA3A5" w14:textId="77777777" w:rsidTr="00F20704">
        <w:tc>
          <w:tcPr>
            <w:tcW w:w="1271" w:type="dxa"/>
            <w:vAlign w:val="center"/>
          </w:tcPr>
          <w:p w14:paraId="22B24837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Niskie</w:t>
            </w:r>
          </w:p>
        </w:tc>
        <w:tc>
          <w:tcPr>
            <w:tcW w:w="6667" w:type="dxa"/>
            <w:vAlign w:val="center"/>
          </w:tcPr>
          <w:p w14:paraId="2C893B1A" w14:textId="77777777" w:rsidR="002C0CD3" w:rsidRPr="002C0CD3" w:rsidRDefault="002C0CD3" w:rsidP="00F20704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dom przedpogrzebowy/zakład pogrzebowy; podmioty lecznicze wykonujące świadczenia zdrowotne w różnych formach, w których nie są prowadzone zabiegi inwazyjne; cmentarze; inne obiekty użyteczności publicznej tj.: dworzec autobusowy, dworzec kolejowy, port lotniczy, port morski, przejścia graniczne, obiekty sportowe, tereny rekreacyjne (parki, zieleńce, ogrody botaniczne, place zabaw); ustępy; zakłady karne; areszty śledcze;</w:t>
            </w:r>
          </w:p>
        </w:tc>
        <w:tc>
          <w:tcPr>
            <w:tcW w:w="1985" w:type="dxa"/>
            <w:vAlign w:val="center"/>
          </w:tcPr>
          <w:p w14:paraId="27AD151C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kern w:val="0"/>
                <w:sz w:val="22"/>
                <w:szCs w:val="22"/>
              </w:rPr>
              <w:t>Nie częściej niż 1 raz na 5 lat</w:t>
            </w:r>
          </w:p>
        </w:tc>
      </w:tr>
      <w:tr w:rsidR="002C0CD3" w:rsidRPr="002C0CD3" w14:paraId="3F139A06" w14:textId="77777777" w:rsidTr="00F20704">
        <w:tc>
          <w:tcPr>
            <w:tcW w:w="1271" w:type="dxa"/>
            <w:vAlign w:val="center"/>
          </w:tcPr>
          <w:p w14:paraId="1105CDEE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Średnie</w:t>
            </w:r>
          </w:p>
        </w:tc>
        <w:tc>
          <w:tcPr>
            <w:tcW w:w="6667" w:type="dxa"/>
            <w:vAlign w:val="center"/>
          </w:tcPr>
          <w:p w14:paraId="26B9E6E6" w14:textId="77777777" w:rsidR="002C0CD3" w:rsidRPr="002C0CD3" w:rsidRDefault="002C0CD3" w:rsidP="00F20704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t>jednostki organizacyjne pomocy społecznej tj. noclegownia; pralnie świadczące usługi podmiotom innym niż lecznicze; obiekty świadczące usługi noclegowe (hotel, motel, pensjonat, kemping, dom wycieczkowy, schronisko młodzieżowe, schronisko, pole biwakowe, ośrodki wczasowe, agroturystyka); kąpieliska i miejsca okazjonalnie wykorzystywane do kąpieli; baseny; zakłady odnowy biologicznej bez naruszania ciągłości tkanek; izba wytrzeźwień, branża pogrzebowa; podmioty lecznicze wykonujące świadczenia zdrowotne w różnych formach, w których prowadzone są zabiegi inwazyjne;</w:t>
            </w:r>
          </w:p>
        </w:tc>
        <w:tc>
          <w:tcPr>
            <w:tcW w:w="1985" w:type="dxa"/>
            <w:vAlign w:val="center"/>
          </w:tcPr>
          <w:p w14:paraId="44DBCB50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kern w:val="0"/>
                <w:sz w:val="22"/>
                <w:szCs w:val="22"/>
              </w:rPr>
              <w:t>Nie częściej niż 1 raz na 3 lata</w:t>
            </w:r>
          </w:p>
        </w:tc>
      </w:tr>
      <w:tr w:rsidR="002C0CD3" w:rsidRPr="002C0CD3" w14:paraId="458FE695" w14:textId="77777777" w:rsidTr="00F20704">
        <w:tc>
          <w:tcPr>
            <w:tcW w:w="1271" w:type="dxa"/>
            <w:vAlign w:val="center"/>
          </w:tcPr>
          <w:p w14:paraId="6E08A979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Wysokie</w:t>
            </w:r>
          </w:p>
        </w:tc>
        <w:tc>
          <w:tcPr>
            <w:tcW w:w="6667" w:type="dxa"/>
            <w:vAlign w:val="center"/>
          </w:tcPr>
          <w:p w14:paraId="5D5A8A3B" w14:textId="77777777" w:rsidR="002C0CD3" w:rsidRPr="002C0CD3" w:rsidRDefault="002C0CD3" w:rsidP="00807348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kern w:val="0"/>
                <w:sz w:val="22"/>
                <w:szCs w:val="22"/>
              </w:rPr>
              <w:t xml:space="preserve">podmioty lecznicze (szpital, zakład opiekuńczo-leczniczy, zakład pielęgnacyjno-opiekuńczy, zakład rehabilitacji leczniczej, hospicjum, zakład lecznictwa uzdrowiskowego); wodociągi zbiorowego zaopatrzenia w wodę i inne podmioty zaopatrzenia w wodę – nadzorowane corocznie w zakresie jakości wody; zakład/salon wykonujący zabiegi z naruszeniem ciągłości tkanek; dom przedpogrzebowy/zakład pogrzebowy świadczący inwazyjne usługi związane z przygotowaniem zwłok do pochowania; pralnia świadcząca usługi dla podmiotów leczniczych; jednostki </w:t>
            </w:r>
            <w:r w:rsidRPr="002C0CD3">
              <w:rPr>
                <w:rFonts w:asciiTheme="majorHAnsi" w:hAnsiTheme="majorHAnsi" w:cstheme="majorHAnsi"/>
                <w:kern w:val="0"/>
                <w:sz w:val="22"/>
                <w:szCs w:val="22"/>
              </w:rPr>
              <w:lastRenderedPageBreak/>
              <w:t>organizacyjne pomocy społecznej (dom pomocy społecznej, placówka zapewniająca całodobową opiekę, schronisko dla bezdomnych);</w:t>
            </w:r>
          </w:p>
        </w:tc>
        <w:tc>
          <w:tcPr>
            <w:tcW w:w="1985" w:type="dxa"/>
            <w:vAlign w:val="center"/>
          </w:tcPr>
          <w:p w14:paraId="7575DC43" w14:textId="77777777" w:rsidR="002C0CD3" w:rsidRPr="002C0CD3" w:rsidRDefault="002C0CD3" w:rsidP="00F20704">
            <w:pPr>
              <w:pStyle w:val="Akapitzlist"/>
              <w:spacing w:before="120" w:after="120"/>
              <w:ind w:left="0"/>
              <w:contextualSpacing w:val="0"/>
              <w:rPr>
                <w:rFonts w:asciiTheme="majorHAnsi" w:hAnsiTheme="majorHAnsi" w:cstheme="maj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2C0CD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Tak często jak jest to konieczne dla zapewnienia skutecznego stosowania odpowiednich przepisów, z uwzględnieniem </w:t>
            </w:r>
            <w:r w:rsidRPr="002C0CD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wysokiego ryzyka wystąpienia nieprawidłowości oraz środków niezbędnych do jego ograniczania</w:t>
            </w:r>
          </w:p>
        </w:tc>
      </w:tr>
    </w:tbl>
    <w:p w14:paraId="3C8DBFDD" w14:textId="77777777" w:rsidR="002C0CD3" w:rsidRPr="002C0CD3" w:rsidRDefault="002C0CD3" w:rsidP="002C0CD3">
      <w:pPr>
        <w:pStyle w:val="Akapitzlist"/>
        <w:numPr>
          <w:ilvl w:val="0"/>
          <w:numId w:val="10"/>
        </w:numPr>
        <w:suppressAutoHyphens w:val="0"/>
        <w:overflowPunct/>
        <w:spacing w:before="240" w:after="120" w:line="259" w:lineRule="auto"/>
        <w:ind w:left="284" w:hanging="284"/>
        <w:contextualSpacing w:val="0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lastRenderedPageBreak/>
        <w:t>Przesłanki do zmiany kategorii ryzyka kontrowanej działalności gospodarczej</w:t>
      </w:r>
    </w:p>
    <w:p w14:paraId="2506640B" w14:textId="77777777" w:rsidR="002C0CD3" w:rsidRPr="002C0CD3" w:rsidRDefault="002C0CD3" w:rsidP="002C0CD3">
      <w:pPr>
        <w:spacing w:before="120" w:after="120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Zmiana kategorii ryzyka z niższego na wyższy może wynikać:</w:t>
      </w:r>
    </w:p>
    <w:p w14:paraId="5C351826" w14:textId="77777777" w:rsidR="00F20704" w:rsidRDefault="002C0CD3" w:rsidP="002C0CD3">
      <w:pPr>
        <w:pStyle w:val="Akapitzlist"/>
        <w:numPr>
          <w:ilvl w:val="0"/>
          <w:numId w:val="31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z postępującego pogorszenia stanu sanitarno-higienicznego i technicznego nadzorowanych obiektów, </w:t>
      </w:r>
      <w:r w:rsidR="00F20704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 </w:t>
      </w:r>
    </w:p>
    <w:p w14:paraId="0138BCE9" w14:textId="5A46764C" w:rsidR="002C0CD3" w:rsidRPr="002C0CD3" w:rsidRDefault="002C0CD3" w:rsidP="00F20704">
      <w:pPr>
        <w:pStyle w:val="Akapitzlist"/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 których prowadzona jest działalność przedsiębiorcy,</w:t>
      </w:r>
    </w:p>
    <w:p w14:paraId="78B3F1FC" w14:textId="77777777" w:rsidR="002C0CD3" w:rsidRPr="002C0CD3" w:rsidRDefault="002C0CD3" w:rsidP="002C0CD3">
      <w:pPr>
        <w:pStyle w:val="Akapitzlist"/>
        <w:numPr>
          <w:ilvl w:val="0"/>
          <w:numId w:val="31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ze zwiększenia liczby uzasadnionych wniosków wpływających od ludności lub innych organów i instytucji,</w:t>
      </w:r>
    </w:p>
    <w:p w14:paraId="2A574B5B" w14:textId="77777777" w:rsidR="002C0CD3" w:rsidRPr="002C0CD3" w:rsidRDefault="002C0CD3" w:rsidP="002C0CD3">
      <w:pPr>
        <w:pStyle w:val="Akapitzlist"/>
        <w:numPr>
          <w:ilvl w:val="0"/>
          <w:numId w:val="31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ze zwiększenia częstotliwości występowania zjawisk mogących mieć negatywny wpływ na zdrowie i życie ludzi,</w:t>
      </w:r>
    </w:p>
    <w:p w14:paraId="71F2BC58" w14:textId="77777777" w:rsidR="002C0CD3" w:rsidRPr="002C0CD3" w:rsidRDefault="002C0CD3" w:rsidP="002C0CD3">
      <w:pPr>
        <w:pStyle w:val="Akapitzlist"/>
        <w:numPr>
          <w:ilvl w:val="0"/>
          <w:numId w:val="31"/>
        </w:numPr>
        <w:suppressAutoHyphens w:val="0"/>
        <w:overflowPunct/>
        <w:spacing w:before="120" w:after="12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 uchylania się od wykonywania nakazów zawartych w decyzjach administracyjnych i ignorowania poleceń organu Państwowej Inspekcji Sanitarnej w Gołdapi sprawującego nadzór nad prowadzeniem działalności przedsiębiorcy.</w:t>
      </w:r>
    </w:p>
    <w:p w14:paraId="08307774" w14:textId="77777777" w:rsidR="002C0CD3" w:rsidRPr="002C0CD3" w:rsidRDefault="002C0CD3" w:rsidP="002C0CD3">
      <w:pPr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Zmiana kategorii ryzyka z wyższego na niższy może wynikać:</w:t>
      </w:r>
    </w:p>
    <w:p w14:paraId="46635DCE" w14:textId="77777777" w:rsidR="002C0CD3" w:rsidRPr="002C0CD3" w:rsidRDefault="002C0CD3" w:rsidP="002C0CD3">
      <w:pPr>
        <w:pStyle w:val="Akapitzlist"/>
        <w:numPr>
          <w:ilvl w:val="0"/>
          <w:numId w:val="32"/>
        </w:numPr>
        <w:suppressAutoHyphens w:val="0"/>
        <w:overflowPunct/>
        <w:spacing w:after="160" w:line="259" w:lineRule="auto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 poprawy stanu sanitarno-higienicznego i technicznego nadzorowanych obiektów, w których prowadzona jest działalność przedsiębiorcy,</w:t>
      </w:r>
    </w:p>
    <w:p w14:paraId="6D12784E" w14:textId="77777777" w:rsidR="002C0CD3" w:rsidRPr="002C0CD3" w:rsidRDefault="002C0CD3" w:rsidP="002C0CD3">
      <w:pPr>
        <w:pStyle w:val="Akapitzlist"/>
        <w:numPr>
          <w:ilvl w:val="0"/>
          <w:numId w:val="32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ze zmniejszenia liczby uzasadnionych wniosków wpływających od ludności lub innych organów i instytucji,</w:t>
      </w:r>
    </w:p>
    <w:p w14:paraId="789E4BAF" w14:textId="77777777" w:rsidR="002C0CD3" w:rsidRPr="002C0CD3" w:rsidRDefault="002C0CD3" w:rsidP="002C0CD3">
      <w:pPr>
        <w:pStyle w:val="Akapitzlist"/>
        <w:numPr>
          <w:ilvl w:val="0"/>
          <w:numId w:val="32"/>
        </w:numPr>
        <w:suppressAutoHyphens w:val="0"/>
        <w:overflowPunct/>
        <w:spacing w:after="120" w:line="259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ze zmniejszenia częstotliwości występowania zjawisk mogących mieć negatywny wpływ na zdrowie i życie ludzi.</w:t>
      </w:r>
    </w:p>
    <w:p w14:paraId="6BCA6272" w14:textId="77777777" w:rsidR="002C0CD3" w:rsidRPr="002C0CD3" w:rsidRDefault="002C0CD3" w:rsidP="002C0CD3">
      <w:pPr>
        <w:pStyle w:val="Akapitzlist"/>
        <w:numPr>
          <w:ilvl w:val="0"/>
          <w:numId w:val="10"/>
        </w:numPr>
        <w:suppressAutoHyphens w:val="0"/>
        <w:overflowPunct/>
        <w:spacing w:before="120" w:after="120" w:line="259" w:lineRule="auto"/>
        <w:ind w:left="284" w:hanging="284"/>
        <w:contextualSpacing w:val="0"/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  <w:t>Podsumowanie</w:t>
      </w:r>
    </w:p>
    <w:p w14:paraId="4E2FA294" w14:textId="77777777" w:rsidR="002C0CD3" w:rsidRPr="002C0CD3" w:rsidRDefault="002C0CD3" w:rsidP="002C0CD3">
      <w:pPr>
        <w:pStyle w:val="Akapitzlist"/>
        <w:numPr>
          <w:ilvl w:val="0"/>
          <w:numId w:val="33"/>
        </w:numPr>
        <w:suppressAutoHyphens w:val="0"/>
        <w:overflowPunct/>
        <w:spacing w:after="120" w:line="259" w:lineRule="auto"/>
        <w:ind w:left="426" w:hanging="284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 każdym przypadku Państwowy Powiatowy Inspektor Sanitarny w Gołdapi może zwiększyć częstotliwość kontroli w danym obiekcie, kierując się innymi uzasadnionymi przesłankami wynikającymi z aktualnej sytuacji sanitarno-epidemiologicznej. Niezależnie od przypisanej kategorii ryzyka, na częstotliwość kontroli będą miały wpływ następujące czynniki:</w:t>
      </w:r>
    </w:p>
    <w:p w14:paraId="147CE8A7" w14:textId="77777777" w:rsidR="002C0CD3" w:rsidRPr="002C0CD3" w:rsidRDefault="002C0CD3" w:rsidP="002C0CD3">
      <w:pPr>
        <w:pStyle w:val="Akapitzlist"/>
        <w:numPr>
          <w:ilvl w:val="0"/>
          <w:numId w:val="3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wyniki kontroli własnych;</w:t>
      </w:r>
    </w:p>
    <w:p w14:paraId="16F5FCD4" w14:textId="77777777" w:rsidR="002C0CD3" w:rsidRPr="002C0CD3" w:rsidRDefault="002C0CD3" w:rsidP="002C0CD3">
      <w:pPr>
        <w:pStyle w:val="Akapitzlist"/>
        <w:numPr>
          <w:ilvl w:val="0"/>
          <w:numId w:val="3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wyniki kontroli prowadzonych przez organy zewnętrzne;</w:t>
      </w:r>
    </w:p>
    <w:p w14:paraId="75F1004B" w14:textId="77777777" w:rsidR="002C0CD3" w:rsidRPr="002C0CD3" w:rsidRDefault="002C0CD3" w:rsidP="002C0CD3">
      <w:pPr>
        <w:pStyle w:val="Akapitzlist"/>
        <w:numPr>
          <w:ilvl w:val="0"/>
          <w:numId w:val="3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analizę ryzyka zagrożenia zdrowia i życia ludzkiego;</w:t>
      </w:r>
    </w:p>
    <w:p w14:paraId="39A52EB0" w14:textId="77777777" w:rsidR="002C0CD3" w:rsidRPr="002C0CD3" w:rsidRDefault="002C0CD3" w:rsidP="002C0CD3">
      <w:pPr>
        <w:pStyle w:val="Akapitzlist"/>
        <w:numPr>
          <w:ilvl w:val="0"/>
          <w:numId w:val="3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ocenę stanu sanitarnego minionego roku;</w:t>
      </w:r>
    </w:p>
    <w:p w14:paraId="10FCF014" w14:textId="77777777" w:rsidR="002C0CD3" w:rsidRPr="002C0CD3" w:rsidRDefault="002C0CD3" w:rsidP="002C0CD3">
      <w:pPr>
        <w:pStyle w:val="Akapitzlist"/>
        <w:numPr>
          <w:ilvl w:val="0"/>
          <w:numId w:val="34"/>
        </w:numPr>
        <w:suppressAutoHyphens w:val="0"/>
        <w:overflowPunct/>
        <w:spacing w:after="160" w:line="259" w:lineRule="auto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wystąpienie podejrzenia zagrożenia życia lub zdrowia,</w:t>
      </w:r>
    </w:p>
    <w:p w14:paraId="5292F672" w14:textId="77777777" w:rsidR="002C0CD3" w:rsidRPr="002C0CD3" w:rsidRDefault="002C0CD3" w:rsidP="002C0CD3">
      <w:pPr>
        <w:pStyle w:val="Akapitzlist"/>
        <w:numPr>
          <w:ilvl w:val="0"/>
          <w:numId w:val="34"/>
        </w:numPr>
        <w:suppressAutoHyphens w:val="0"/>
        <w:overflowPunct/>
        <w:spacing w:after="120" w:line="259" w:lineRule="auto"/>
        <w:ind w:left="1434" w:hanging="357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wykonanie kontroli na polecenie uprawnionych/innych organów, interwencji lub zgłoszenie podmiotu rozpoczynającego działalność.</w:t>
      </w:r>
    </w:p>
    <w:p w14:paraId="6B0562AE" w14:textId="77777777" w:rsidR="002C0CD3" w:rsidRPr="002C0CD3" w:rsidRDefault="002C0CD3" w:rsidP="002C0CD3">
      <w:pPr>
        <w:pStyle w:val="Akapitzlist"/>
        <w:numPr>
          <w:ilvl w:val="0"/>
          <w:numId w:val="33"/>
        </w:numPr>
        <w:suppressAutoHyphens w:val="0"/>
        <w:overflowPunct/>
        <w:spacing w:after="120" w:line="259" w:lineRule="auto"/>
        <w:ind w:left="567" w:hanging="425"/>
        <w:contextualSpacing w:val="0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>Pierwszeństwo w wykonaniu kontroli w ramach tej samej grupy ryzyka planuje się z uwzględnieniem poniższych warunków: wielkość narażonej populacji, warunki zdrowotne populacji, inwazyjność zabiegów i usług, ryzyka wynikającego z samego obiektu.</w:t>
      </w:r>
    </w:p>
    <w:p w14:paraId="48A7A34C" w14:textId="77777777" w:rsidR="002C0CD3" w:rsidRPr="002C0CD3" w:rsidRDefault="002C0CD3" w:rsidP="002C0CD3">
      <w:pPr>
        <w:pStyle w:val="Akapitzlist"/>
        <w:numPr>
          <w:ilvl w:val="0"/>
          <w:numId w:val="33"/>
        </w:numPr>
        <w:suppressAutoHyphens w:val="0"/>
        <w:overflowPunct/>
        <w:spacing w:after="160" w:line="259" w:lineRule="auto"/>
        <w:ind w:left="567" w:hanging="425"/>
        <w:jc w:val="both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2C0CD3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Pobór próbek wody należy planować zgodnie z przepisami szczegółowymi w tym zakresie. W odniesieniu do wody do spożycia, w sytuacji gdy dla wodociągu wydawano oceny o warunkowej lub braku przydatności wody do spożycia, należy rozważyć wzmożenie nadzoru nad jakością wody z danego wodociągu. </w:t>
      </w:r>
    </w:p>
    <w:p w14:paraId="62307EA3" w14:textId="77777777" w:rsidR="002C0CD3" w:rsidRPr="002C0CD3" w:rsidRDefault="002C0CD3" w:rsidP="002C0CD3">
      <w:pPr>
        <w:jc w:val="both"/>
        <w:rPr>
          <w:rFonts w:asciiTheme="majorHAnsi" w:hAnsiTheme="majorHAnsi" w:cstheme="majorHAnsi"/>
          <w:b/>
          <w:bCs/>
          <w:color w:val="000000"/>
          <w:kern w:val="0"/>
          <w:sz w:val="22"/>
          <w:szCs w:val="22"/>
        </w:rPr>
      </w:pPr>
    </w:p>
    <w:p w14:paraId="255932EC" w14:textId="7BEC6223" w:rsidR="008A7042" w:rsidRDefault="008A7042" w:rsidP="00A54F42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</w:p>
    <w:sectPr w:rsidR="008A7042" w:rsidSect="008E649B">
      <w:pgSz w:w="11906" w:h="16838"/>
      <w:pgMar w:top="720" w:right="1133" w:bottom="720" w:left="851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D82F" w14:textId="77777777" w:rsidR="004045E9" w:rsidRDefault="004045E9" w:rsidP="00A54F42">
      <w:pPr>
        <w:rPr>
          <w:rFonts w:hint="eastAsia"/>
        </w:rPr>
      </w:pPr>
      <w:r>
        <w:separator/>
      </w:r>
    </w:p>
  </w:endnote>
  <w:endnote w:type="continuationSeparator" w:id="0">
    <w:p w14:paraId="69E04A6D" w14:textId="77777777" w:rsidR="004045E9" w:rsidRDefault="004045E9" w:rsidP="00A54F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414F" w14:textId="77777777" w:rsidR="004045E9" w:rsidRDefault="004045E9" w:rsidP="00A54F42">
      <w:pPr>
        <w:rPr>
          <w:rFonts w:hint="eastAsia"/>
        </w:rPr>
      </w:pPr>
      <w:r>
        <w:separator/>
      </w:r>
    </w:p>
  </w:footnote>
  <w:footnote w:type="continuationSeparator" w:id="0">
    <w:p w14:paraId="631CC78C" w14:textId="77777777" w:rsidR="004045E9" w:rsidRDefault="004045E9" w:rsidP="00A54F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79C"/>
    <w:multiLevelType w:val="hybridMultilevel"/>
    <w:tmpl w:val="8E16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0E3"/>
    <w:multiLevelType w:val="hybridMultilevel"/>
    <w:tmpl w:val="56C4F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2DAC"/>
    <w:multiLevelType w:val="hybridMultilevel"/>
    <w:tmpl w:val="BDF28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2559"/>
    <w:multiLevelType w:val="multilevel"/>
    <w:tmpl w:val="BF1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B58A1"/>
    <w:multiLevelType w:val="hybridMultilevel"/>
    <w:tmpl w:val="C5D07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6851"/>
    <w:multiLevelType w:val="hybridMultilevel"/>
    <w:tmpl w:val="8DE06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931E7"/>
    <w:multiLevelType w:val="hybridMultilevel"/>
    <w:tmpl w:val="7AE2D1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13482"/>
    <w:multiLevelType w:val="hybridMultilevel"/>
    <w:tmpl w:val="5E902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312379"/>
    <w:multiLevelType w:val="multilevel"/>
    <w:tmpl w:val="090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467E"/>
    <w:multiLevelType w:val="hybridMultilevel"/>
    <w:tmpl w:val="3048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51F19"/>
    <w:multiLevelType w:val="hybridMultilevel"/>
    <w:tmpl w:val="76701B2A"/>
    <w:lvl w:ilvl="0" w:tplc="16D690D0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29915F31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6A68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15BE"/>
    <w:multiLevelType w:val="hybridMultilevel"/>
    <w:tmpl w:val="BE38F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C417C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110AA"/>
    <w:multiLevelType w:val="hybridMultilevel"/>
    <w:tmpl w:val="ED3C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01D65"/>
    <w:multiLevelType w:val="hybridMultilevel"/>
    <w:tmpl w:val="AFCA544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6CB21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8D2301"/>
    <w:multiLevelType w:val="hybridMultilevel"/>
    <w:tmpl w:val="2D240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3C92"/>
    <w:multiLevelType w:val="hybridMultilevel"/>
    <w:tmpl w:val="BF3A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06E22"/>
    <w:multiLevelType w:val="hybridMultilevel"/>
    <w:tmpl w:val="DFDEE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D28AA"/>
    <w:multiLevelType w:val="hybridMultilevel"/>
    <w:tmpl w:val="AEAC676C"/>
    <w:lvl w:ilvl="0" w:tplc="15829766">
      <w:start w:val="1"/>
      <w:numFmt w:val="decimal"/>
      <w:lvlText w:val="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E7358"/>
    <w:multiLevelType w:val="hybridMultilevel"/>
    <w:tmpl w:val="7DA49076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1063DA"/>
    <w:multiLevelType w:val="multilevel"/>
    <w:tmpl w:val="06F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15EE0"/>
    <w:multiLevelType w:val="hybridMultilevel"/>
    <w:tmpl w:val="19C4F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C22AF4"/>
    <w:multiLevelType w:val="hybridMultilevel"/>
    <w:tmpl w:val="0D6EBB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5AE70EA2"/>
    <w:multiLevelType w:val="hybridMultilevel"/>
    <w:tmpl w:val="E4427C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2EC8"/>
    <w:multiLevelType w:val="hybridMultilevel"/>
    <w:tmpl w:val="55FE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91CEB"/>
    <w:multiLevelType w:val="hybridMultilevel"/>
    <w:tmpl w:val="4FAAB554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2129D5"/>
    <w:multiLevelType w:val="hybridMultilevel"/>
    <w:tmpl w:val="2D20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1A0C9A"/>
    <w:multiLevelType w:val="hybridMultilevel"/>
    <w:tmpl w:val="5B7E7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C751F"/>
    <w:multiLevelType w:val="hybridMultilevel"/>
    <w:tmpl w:val="E65874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16A7120"/>
    <w:multiLevelType w:val="multilevel"/>
    <w:tmpl w:val="7984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87B84"/>
    <w:multiLevelType w:val="hybridMultilevel"/>
    <w:tmpl w:val="AB0C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02419"/>
    <w:multiLevelType w:val="hybridMultilevel"/>
    <w:tmpl w:val="FC54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32D7"/>
    <w:multiLevelType w:val="hybridMultilevel"/>
    <w:tmpl w:val="509003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787E6F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24D63"/>
    <w:multiLevelType w:val="hybridMultilevel"/>
    <w:tmpl w:val="1BCCA000"/>
    <w:lvl w:ilvl="0" w:tplc="DFE4E5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4782C"/>
    <w:multiLevelType w:val="hybridMultilevel"/>
    <w:tmpl w:val="8F2C3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428C5"/>
    <w:multiLevelType w:val="hybridMultilevel"/>
    <w:tmpl w:val="C6E0FB6C"/>
    <w:lvl w:ilvl="0" w:tplc="1EFAB8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 w15:restartNumberingAfterBreak="0">
    <w:nsid w:val="7C9825DA"/>
    <w:multiLevelType w:val="multilevel"/>
    <w:tmpl w:val="C3A88F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51465736">
    <w:abstractNumId w:val="38"/>
  </w:num>
  <w:num w:numId="2" w16cid:durableId="1858274145">
    <w:abstractNumId w:val="26"/>
  </w:num>
  <w:num w:numId="3" w16cid:durableId="1099523135">
    <w:abstractNumId w:val="1"/>
  </w:num>
  <w:num w:numId="4" w16cid:durableId="2093892724">
    <w:abstractNumId w:val="32"/>
  </w:num>
  <w:num w:numId="5" w16cid:durableId="1746948173">
    <w:abstractNumId w:val="27"/>
  </w:num>
  <w:num w:numId="6" w16cid:durableId="524749638">
    <w:abstractNumId w:val="10"/>
  </w:num>
  <w:num w:numId="7" w16cid:durableId="1355425092">
    <w:abstractNumId w:val="21"/>
  </w:num>
  <w:num w:numId="8" w16cid:durableId="1130975756">
    <w:abstractNumId w:val="35"/>
  </w:num>
  <w:num w:numId="9" w16cid:durableId="1965384437">
    <w:abstractNumId w:val="12"/>
  </w:num>
  <w:num w:numId="10" w16cid:durableId="933321831">
    <w:abstractNumId w:val="11"/>
  </w:num>
  <w:num w:numId="11" w16cid:durableId="1225486209">
    <w:abstractNumId w:val="2"/>
  </w:num>
  <w:num w:numId="12" w16cid:durableId="580337175">
    <w:abstractNumId w:val="8"/>
  </w:num>
  <w:num w:numId="13" w16cid:durableId="141241625">
    <w:abstractNumId w:val="31"/>
  </w:num>
  <w:num w:numId="14" w16cid:durableId="482310265">
    <w:abstractNumId w:val="22"/>
  </w:num>
  <w:num w:numId="15" w16cid:durableId="2035885182">
    <w:abstractNumId w:val="15"/>
  </w:num>
  <w:num w:numId="16" w16cid:durableId="1930578172">
    <w:abstractNumId w:val="14"/>
  </w:num>
  <w:num w:numId="17" w16cid:durableId="429813990">
    <w:abstractNumId w:val="36"/>
  </w:num>
  <w:num w:numId="18" w16cid:durableId="417100536">
    <w:abstractNumId w:val="25"/>
  </w:num>
  <w:num w:numId="19" w16cid:durableId="1409577657">
    <w:abstractNumId w:val="39"/>
  </w:num>
  <w:num w:numId="20" w16cid:durableId="1671131447">
    <w:abstractNumId w:val="5"/>
  </w:num>
  <w:num w:numId="21" w16cid:durableId="1606771272">
    <w:abstractNumId w:val="7"/>
  </w:num>
  <w:num w:numId="22" w16cid:durableId="236478983">
    <w:abstractNumId w:val="33"/>
  </w:num>
  <w:num w:numId="23" w16cid:durableId="359862517">
    <w:abstractNumId w:val="17"/>
  </w:num>
  <w:num w:numId="24" w16cid:durableId="1649476662">
    <w:abstractNumId w:val="37"/>
  </w:num>
  <w:num w:numId="25" w16cid:durableId="840465068">
    <w:abstractNumId w:val="28"/>
  </w:num>
  <w:num w:numId="26" w16cid:durableId="2020739437">
    <w:abstractNumId w:val="24"/>
  </w:num>
  <w:num w:numId="27" w16cid:durableId="459540132">
    <w:abstractNumId w:val="30"/>
  </w:num>
  <w:num w:numId="28" w16cid:durableId="665282011">
    <w:abstractNumId w:val="6"/>
  </w:num>
  <w:num w:numId="29" w16cid:durableId="1398897148">
    <w:abstractNumId w:val="4"/>
  </w:num>
  <w:num w:numId="30" w16cid:durableId="1137648835">
    <w:abstractNumId w:val="0"/>
  </w:num>
  <w:num w:numId="31" w16cid:durableId="1823237198">
    <w:abstractNumId w:val="18"/>
  </w:num>
  <w:num w:numId="32" w16cid:durableId="615450529">
    <w:abstractNumId w:val="19"/>
  </w:num>
  <w:num w:numId="33" w16cid:durableId="152109334">
    <w:abstractNumId w:val="20"/>
  </w:num>
  <w:num w:numId="34" w16cid:durableId="1369066659">
    <w:abstractNumId w:val="23"/>
  </w:num>
  <w:num w:numId="35" w16cid:durableId="1981567669">
    <w:abstractNumId w:val="3"/>
  </w:num>
  <w:num w:numId="36" w16cid:durableId="191234065">
    <w:abstractNumId w:val="16"/>
  </w:num>
  <w:num w:numId="37" w16cid:durableId="420763162">
    <w:abstractNumId w:val="34"/>
  </w:num>
  <w:num w:numId="38" w16cid:durableId="154146369">
    <w:abstractNumId w:val="13"/>
  </w:num>
  <w:num w:numId="39" w16cid:durableId="593250212">
    <w:abstractNumId w:val="9"/>
  </w:num>
  <w:num w:numId="40" w16cid:durableId="250282032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EE"/>
    <w:rsid w:val="00005AC6"/>
    <w:rsid w:val="000B5B24"/>
    <w:rsid w:val="000C4236"/>
    <w:rsid w:val="000E52EF"/>
    <w:rsid w:val="00112A51"/>
    <w:rsid w:val="001732C2"/>
    <w:rsid w:val="001B67A2"/>
    <w:rsid w:val="00217A60"/>
    <w:rsid w:val="002433E1"/>
    <w:rsid w:val="002805E5"/>
    <w:rsid w:val="002C0CD3"/>
    <w:rsid w:val="0032758B"/>
    <w:rsid w:val="00347DA3"/>
    <w:rsid w:val="003615E1"/>
    <w:rsid w:val="00376FD2"/>
    <w:rsid w:val="004045E9"/>
    <w:rsid w:val="00404D06"/>
    <w:rsid w:val="0043366B"/>
    <w:rsid w:val="00465DFF"/>
    <w:rsid w:val="004C25E1"/>
    <w:rsid w:val="005815EE"/>
    <w:rsid w:val="00594DF4"/>
    <w:rsid w:val="00641BBF"/>
    <w:rsid w:val="00644762"/>
    <w:rsid w:val="00683B0B"/>
    <w:rsid w:val="00687B8C"/>
    <w:rsid w:val="006C59F3"/>
    <w:rsid w:val="0072413C"/>
    <w:rsid w:val="0074079E"/>
    <w:rsid w:val="007425C6"/>
    <w:rsid w:val="007723CD"/>
    <w:rsid w:val="007B2D9D"/>
    <w:rsid w:val="007F08C8"/>
    <w:rsid w:val="00851DAD"/>
    <w:rsid w:val="008608DF"/>
    <w:rsid w:val="008723E1"/>
    <w:rsid w:val="008A7042"/>
    <w:rsid w:val="008C4B31"/>
    <w:rsid w:val="008E649B"/>
    <w:rsid w:val="00901066"/>
    <w:rsid w:val="00971C0C"/>
    <w:rsid w:val="00A54F42"/>
    <w:rsid w:val="00A56785"/>
    <w:rsid w:val="00AA6571"/>
    <w:rsid w:val="00AC7676"/>
    <w:rsid w:val="00AD62A2"/>
    <w:rsid w:val="00B8503C"/>
    <w:rsid w:val="00BD1B1A"/>
    <w:rsid w:val="00BD3514"/>
    <w:rsid w:val="00CB7BF6"/>
    <w:rsid w:val="00CD33CD"/>
    <w:rsid w:val="00CE7104"/>
    <w:rsid w:val="00D14E61"/>
    <w:rsid w:val="00DA5716"/>
    <w:rsid w:val="00DA5BA0"/>
    <w:rsid w:val="00DB15F6"/>
    <w:rsid w:val="00DF333E"/>
    <w:rsid w:val="00E16900"/>
    <w:rsid w:val="00E25413"/>
    <w:rsid w:val="00EA0E33"/>
    <w:rsid w:val="00F20704"/>
    <w:rsid w:val="00FA0833"/>
    <w:rsid w:val="00FA653E"/>
    <w:rsid w:val="00FC166B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585D"/>
  <w15:chartTrackingRefBased/>
  <w15:docId w15:val="{272A7EEA-80CE-4C6E-A316-047BF7F9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2A2"/>
    <w:pPr>
      <w:suppressAutoHyphen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042"/>
    <w:pPr>
      <w:keepNext/>
      <w:keepLines/>
      <w:suppressAutoHyphens w:val="0"/>
      <w:overflowPunct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042"/>
    <w:pPr>
      <w:keepNext/>
      <w:keepLines/>
      <w:suppressAutoHyphens w:val="0"/>
      <w:overflowPunct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042"/>
    <w:pPr>
      <w:keepNext/>
      <w:keepLines/>
      <w:suppressAutoHyphens w:val="0"/>
      <w:overflowPunct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042"/>
    <w:pPr>
      <w:keepNext/>
      <w:keepLines/>
      <w:suppressAutoHyphens w:val="0"/>
      <w:overflowPunct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042"/>
    <w:pPr>
      <w:keepNext/>
      <w:keepLines/>
      <w:suppressAutoHyphens w:val="0"/>
      <w:overflowPunct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042"/>
    <w:pPr>
      <w:keepNext/>
      <w:keepLines/>
      <w:suppressAutoHyphens w:val="0"/>
      <w:overflowPunct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042"/>
    <w:pPr>
      <w:keepNext/>
      <w:keepLines/>
      <w:suppressAutoHyphens w:val="0"/>
      <w:overflowPunct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042"/>
    <w:pPr>
      <w:keepNext/>
      <w:keepLines/>
      <w:suppressAutoHyphens w:val="0"/>
      <w:overflowPunct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042"/>
    <w:pPr>
      <w:keepNext/>
      <w:keepLines/>
      <w:suppressAutoHyphens w:val="0"/>
      <w:overflowPunct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B8C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217A60"/>
    <w:rPr>
      <w:b/>
      <w:bCs/>
    </w:rPr>
  </w:style>
  <w:style w:type="paragraph" w:customStyle="1" w:styleId="spsize">
    <w:name w:val="sp_size"/>
    <w:basedOn w:val="Normalny"/>
    <w:rsid w:val="001732C2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DB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A704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04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042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042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042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042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042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042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042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8A7042"/>
    <w:pPr>
      <w:suppressAutoHyphens w:val="0"/>
      <w:overflowPunct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704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042"/>
    <w:pPr>
      <w:numPr>
        <w:ilvl w:val="1"/>
      </w:numPr>
      <w:suppressAutoHyphens w:val="0"/>
      <w:overflowPunct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704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8A7042"/>
    <w:pPr>
      <w:suppressAutoHyphens w:val="0"/>
      <w:overflowPunct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7042"/>
    <w:rPr>
      <w:i/>
      <w:iCs/>
      <w:color w:val="404040" w:themeColor="text1" w:themeTint="BF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70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042"/>
    <w:rPr>
      <w:i/>
      <w:iCs/>
      <w:color w:val="2F5496" w:themeColor="accent1" w:themeShade="BF"/>
      <w:kern w:val="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8A704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A704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70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04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F42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4F42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F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031691650/O/D20031650.pdf" TargetMode="External"/><Relationship Id="rId13" Type="http://schemas.openxmlformats.org/officeDocument/2006/relationships/hyperlink" Target="http://prawo.sejm.gov.pl/isap.nsf/download.xsp/WDU20031691650/O/D20031650.pdf" TargetMode="External"/><Relationship Id="rId18" Type="http://schemas.openxmlformats.org/officeDocument/2006/relationships/hyperlink" Target="http://prawo.sejm.gov.pl/isap.nsf/download.xsp/WDU20031691650/O/D20031650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sse.goldap@sanepid.go.pl" TargetMode="External"/><Relationship Id="rId12" Type="http://schemas.openxmlformats.org/officeDocument/2006/relationships/hyperlink" Target="http://prawo.sejm.gov.pl/isap.nsf/download.xsp/WDU20031691650/O/D20031650.pdf" TargetMode="External"/><Relationship Id="rId17" Type="http://schemas.openxmlformats.org/officeDocument/2006/relationships/hyperlink" Target="http://prawo.sejm.gov.pl/isap.nsf/download.xsp/WDU20031691650/O/D2003165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wo.sejm.gov.pl/isap.nsf/download.xsp/WDU20031691650/O/D20031650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wo.sejm.gov.pl/isap.nsf/download.xsp/WDU20031691650/O/D2003165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wo.sejm.gov.pl/isap.nsf/download.xsp/WDU20031691650/O/D20031650.pdf" TargetMode="External"/><Relationship Id="rId10" Type="http://schemas.openxmlformats.org/officeDocument/2006/relationships/hyperlink" Target="http://prawo.sejm.gov.pl/isap.nsf/download.xsp/WDU20031691650/O/D20031650.pdf" TargetMode="External"/><Relationship Id="rId19" Type="http://schemas.openxmlformats.org/officeDocument/2006/relationships/hyperlink" Target="http://prawo.sejm.gov.pl/isap.nsf/download.xsp/WDU20031691650/O/D2003165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wnload.xsp/WDU20031691650/O/D20031650.pdf" TargetMode="External"/><Relationship Id="rId14" Type="http://schemas.openxmlformats.org/officeDocument/2006/relationships/hyperlink" Target="http://prawo.sejm.gov.pl/isap.nsf/download.xsp/WDU20031691650/O/D2003165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5162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Grażyna Mentel</dc:creator>
  <cp:keywords/>
  <dc:description/>
  <cp:lastModifiedBy>PSSE Gołdap - Ewa Bolewska</cp:lastModifiedBy>
  <cp:revision>10</cp:revision>
  <cp:lastPrinted>2025-12-29T11:43:00Z</cp:lastPrinted>
  <dcterms:created xsi:type="dcterms:W3CDTF">2025-12-17T08:15:00Z</dcterms:created>
  <dcterms:modified xsi:type="dcterms:W3CDTF">2025-12-30T13:44:00Z</dcterms:modified>
</cp:coreProperties>
</file>