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8028" w14:textId="77777777" w:rsidR="00D10C4E" w:rsidRPr="00DF5CF7" w:rsidRDefault="00662ACB" w:rsidP="00DF5CF7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Warszawa, </w:t>
      </w:r>
      <w:bookmarkStart w:id="0" w:name="ezdDataPodpisu"/>
      <w:r w:rsidRPr="00DF5CF7">
        <w:rPr>
          <w:rFonts w:ascii="Arial" w:hAnsi="Arial" w:cs="Arial"/>
          <w:sz w:val="24"/>
          <w:szCs w:val="24"/>
        </w:rPr>
        <w:t>30 lipca 2026</w:t>
      </w:r>
      <w:bookmarkEnd w:id="0"/>
      <w:r w:rsidRPr="00DF5CF7">
        <w:rPr>
          <w:rFonts w:ascii="Arial" w:hAnsi="Arial" w:cs="Arial"/>
          <w:sz w:val="24"/>
          <w:szCs w:val="24"/>
        </w:rPr>
        <w:t xml:space="preserve"> r.</w:t>
      </w:r>
    </w:p>
    <w:p w14:paraId="21377CCA" w14:textId="77777777" w:rsidR="00D10C4E" w:rsidRPr="00DF5CF7" w:rsidRDefault="00662ACB" w:rsidP="00DF5CF7">
      <w:pPr>
        <w:spacing w:after="120" w:line="312" w:lineRule="auto"/>
        <w:rPr>
          <w:rFonts w:ascii="Arial" w:hAnsi="Arial" w:cs="Arial"/>
          <w:sz w:val="24"/>
          <w:szCs w:val="24"/>
        </w:rPr>
      </w:pPr>
      <w:bookmarkStart w:id="1" w:name="ezdSprawaZnak"/>
      <w:r w:rsidRPr="00DF5CF7">
        <w:rPr>
          <w:rFonts w:ascii="Arial" w:hAnsi="Arial" w:cs="Arial"/>
          <w:sz w:val="24"/>
          <w:szCs w:val="24"/>
        </w:rPr>
        <w:t>DOOŚ-WDŚII.420.25.2025</w:t>
      </w:r>
      <w:bookmarkEnd w:id="1"/>
      <w:r w:rsidRPr="00DF5CF7">
        <w:rPr>
          <w:rFonts w:ascii="Arial" w:hAnsi="Arial" w:cs="Arial"/>
          <w:sz w:val="24"/>
          <w:szCs w:val="24"/>
        </w:rPr>
        <w:t>.</w:t>
      </w:r>
      <w:bookmarkStart w:id="2" w:name="ezdAutorInicjaly"/>
      <w:bookmarkStart w:id="3" w:name="ezdAtrybut_ezdAutorInicjaly"/>
      <w:r w:rsidRPr="00DF5CF7">
        <w:rPr>
          <w:rFonts w:ascii="Arial" w:hAnsi="Arial" w:cs="Arial"/>
          <w:sz w:val="24"/>
          <w:szCs w:val="24"/>
        </w:rPr>
        <w:t>AWT</w:t>
      </w:r>
      <w:bookmarkEnd w:id="2"/>
      <w:bookmarkEnd w:id="3"/>
      <w:r w:rsidRPr="00DF5CF7">
        <w:rPr>
          <w:rFonts w:ascii="Arial" w:hAnsi="Arial" w:cs="Arial"/>
          <w:sz w:val="24"/>
          <w:szCs w:val="24"/>
        </w:rPr>
        <w:t>.5</w:t>
      </w:r>
    </w:p>
    <w:p w14:paraId="68BB0754" w14:textId="77777777" w:rsidR="00D10C4E" w:rsidRPr="00DF5CF7" w:rsidRDefault="00D10C4E" w:rsidP="00DF5CF7">
      <w:pPr>
        <w:spacing w:after="120" w:line="312" w:lineRule="auto"/>
        <w:rPr>
          <w:rFonts w:ascii="Arial" w:hAnsi="Arial" w:cs="Arial"/>
          <w:sz w:val="24"/>
          <w:szCs w:val="24"/>
        </w:rPr>
      </w:pPr>
    </w:p>
    <w:p w14:paraId="6A151953" w14:textId="77777777" w:rsidR="00D10C4E" w:rsidRPr="00362F78" w:rsidRDefault="00662ACB" w:rsidP="00362F78">
      <w:pPr>
        <w:pStyle w:val="Tytu"/>
        <w:jc w:val="center"/>
        <w:rPr>
          <w:rFonts w:ascii="Arial" w:hAnsi="Arial" w:cs="Arial"/>
          <w:sz w:val="32"/>
          <w:szCs w:val="32"/>
        </w:rPr>
      </w:pPr>
      <w:r w:rsidRPr="00362F78">
        <w:rPr>
          <w:rFonts w:ascii="Arial" w:hAnsi="Arial" w:cs="Arial"/>
          <w:sz w:val="32"/>
          <w:szCs w:val="32"/>
        </w:rPr>
        <w:t>DECYZJA</w:t>
      </w:r>
    </w:p>
    <w:p w14:paraId="46797000" w14:textId="77777777" w:rsidR="00D10C4E" w:rsidRPr="00DF5CF7" w:rsidRDefault="00662ACB" w:rsidP="00DF5CF7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Generalny Dyrektor Ochrony Środowiska, po rozpatrzeniu odwołania RWE Energie Odnawialne sp. z o.o. z 31 lipca 2025 r., od decyzji Regionalnego Dyrektora Ochrony Środowiska w Gorzowie Wielkopolskim z 17 lipca 2025 r., znak: </w:t>
      </w:r>
      <w:r w:rsidRPr="00DF5CF7">
        <w:rPr>
          <w:rFonts w:ascii="Arial" w:hAnsi="Arial" w:cs="Arial"/>
          <w:sz w:val="24"/>
          <w:szCs w:val="24"/>
        </w:rPr>
        <w:t>WZŚ.420.15.2023.PK, na podstawie art. 138 § 1 pkt 1 ustawy z dnia 14 czerwca 1960 r. – Kodeks postępowania administracyjnego (Dz. U. z 2025 r. poz. 1691), dalej k.p.a., w związku z art. 71 ust. 2 pkt 2 ustawy z dnia 3 października 2008 r. o udostępnianiu informacji o środowisku i jego ochronie, udziale społeczeństwa w ochronie środowiska oraz o ocenach oddziaływania na środowisko (Dz. U. z 2026 r. poz. 670), dalej u.o.o.ś.,</w:t>
      </w:r>
    </w:p>
    <w:p w14:paraId="3BCA8A97" w14:textId="77777777" w:rsidR="00D10C4E" w:rsidRPr="00DF5CF7" w:rsidRDefault="00D10C4E" w:rsidP="00DF5CF7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64338D7B" w14:textId="77777777" w:rsidR="00D10C4E" w:rsidRPr="00DF5CF7" w:rsidRDefault="00662ACB" w:rsidP="00DF5CF7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utrzymuje ww. decyzję w mocy.</w:t>
      </w:r>
    </w:p>
    <w:p w14:paraId="28C7A497" w14:textId="77777777" w:rsidR="00D10C4E" w:rsidRPr="00362F78" w:rsidRDefault="00662ACB" w:rsidP="00362F78">
      <w:pPr>
        <w:pStyle w:val="Nagwek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62F78">
        <w:rPr>
          <w:rFonts w:ascii="Arial" w:hAnsi="Arial" w:cs="Arial"/>
          <w:color w:val="000000" w:themeColor="text1"/>
          <w:sz w:val="28"/>
          <w:szCs w:val="28"/>
        </w:rPr>
        <w:t>Uzasadnienie</w:t>
      </w:r>
    </w:p>
    <w:p w14:paraId="0E0206D5" w14:textId="77777777" w:rsidR="00D10C4E" w:rsidRPr="00DF5CF7" w:rsidRDefault="00662ACB" w:rsidP="00DF5CF7">
      <w:pPr>
        <w:tabs>
          <w:tab w:val="left" w:pos="851"/>
        </w:tabs>
        <w:spacing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Wnioskiem z 27 lutego 2023 r. </w:t>
      </w:r>
      <w:r w:rsidRPr="00DF5CF7">
        <w:rPr>
          <w:rFonts w:ascii="Arial" w:hAnsi="Arial" w:cs="Arial"/>
          <w:sz w:val="24"/>
          <w:szCs w:val="24"/>
        </w:rPr>
        <w:t>RWE Energie Odnawialne sp. z o.o., dalej Spółka, zwróciła się do RDOŚ w Gorzowie Wielkopolskim o wydanie decyzji o środowiskowych uwarunkowaniach dla przedsięwzięcia pn. „Farma wiatrowa Skąpe”.</w:t>
      </w:r>
    </w:p>
    <w:p w14:paraId="7ECCC1E9" w14:textId="77777777" w:rsidR="00D10C4E" w:rsidRPr="00DF5CF7" w:rsidRDefault="00662ACB" w:rsidP="00DF5CF7">
      <w:pPr>
        <w:tabs>
          <w:tab w:val="left" w:pos="851"/>
        </w:tabs>
        <w:spacing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Obwieszczeniem z 8 maja 2025 r., znak: WZŚ.420.15.2023.PK, RDOŚ w Gorzowie Wielkopolskim poinformował o zgromadzeniu całego materiału dowodowego i możliwości wypowiedzenia się co do zebranych dowodów i materiałów oraz zgłoszonych żądań, a także, zgodnie z art. 79a  § 1 k.p.a., że na dzień wysłania informacji nie zostały spełnione przesłanki zależne od strony, co może skutkować wydaniem decyzji niezgodnej z żądaniem strony.</w:t>
      </w:r>
    </w:p>
    <w:p w14:paraId="1038121E" w14:textId="77777777" w:rsidR="00D10C4E" w:rsidRPr="00DF5CF7" w:rsidRDefault="00662ACB" w:rsidP="00DF5CF7">
      <w:pPr>
        <w:tabs>
          <w:tab w:val="left" w:pos="851"/>
        </w:tabs>
        <w:spacing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Następnie RDOŚ w Gorzowie Wielkopolskim decyzją z 17 lipca 2025 r., znak: </w:t>
      </w:r>
      <w:r w:rsidRPr="00DF5CF7">
        <w:rPr>
          <w:rFonts w:ascii="Arial" w:hAnsi="Arial" w:cs="Arial"/>
          <w:sz w:val="24"/>
          <w:szCs w:val="24"/>
        </w:rPr>
        <w:t>WZŚ.420.15.2023.PK, odmówił zgody na realizację ww. przedsięwzięcia.</w:t>
      </w:r>
    </w:p>
    <w:p w14:paraId="521BAFC9" w14:textId="77777777" w:rsidR="00D10C4E" w:rsidRPr="00DF5CF7" w:rsidRDefault="00662ACB" w:rsidP="00DF5CF7">
      <w:pPr>
        <w:tabs>
          <w:tab w:val="left" w:pos="851"/>
        </w:tabs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Od powyższej decyzji odwołanie z 31 lipca 2025 r. wniosła Spółka, wskazując na naruszenie:</w:t>
      </w:r>
    </w:p>
    <w:p w14:paraId="0B339647" w14:textId="77777777" w:rsidR="00D10C4E" w:rsidRPr="00DF5CF7" w:rsidRDefault="00662ACB" w:rsidP="00DF5CF7">
      <w:pPr>
        <w:pStyle w:val="Akapitzlist"/>
        <w:numPr>
          <w:ilvl w:val="0"/>
          <w:numId w:val="1"/>
        </w:numPr>
        <w:tabs>
          <w:tab w:val="left" w:pos="851"/>
        </w:tabs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art. 9 ust. 2 pkt 1 ustawy z dnia 9 marca 2023 r. o zmianie ustawy o inwestycjach w zakresie elektrowni wiatrowych oraz niektórych innych ustaw (Dz. U. z 2023 r. </w:t>
      </w:r>
      <w:r w:rsidRPr="00DF5CF7">
        <w:rPr>
          <w:rFonts w:ascii="Arial" w:hAnsi="Arial" w:cs="Arial"/>
          <w:sz w:val="24"/>
          <w:szCs w:val="24"/>
        </w:rPr>
        <w:lastRenderedPageBreak/>
        <w:t xml:space="preserve">poz. 553, ze zm.), dalej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</w:t>
      </w:r>
      <w:r w:rsidRPr="00DF5CF7">
        <w:rPr>
          <w:rFonts w:ascii="Arial" w:hAnsi="Arial" w:cs="Arial"/>
          <w:sz w:val="24"/>
          <w:szCs w:val="24"/>
        </w:rPr>
        <w:t xml:space="preserve">, poprzez jego niezastosowanie i pominięcie okoliczności, że do miejscowych planów zagospodarowania przestrzennego obowiązujących w dacie wejścia w życie ustawy z dnia 20 maja 2016 r. o inwestycjach w zakresie elektrowni wiatrowych (Dz. U. z 2024 r. poz. 317), dalej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nie stosuje się m.in. wymogów określonych w art. 4 ust.1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., a w konsekwencji błędne zastosowanie tego przepisu przez organ;</w:t>
      </w:r>
    </w:p>
    <w:p w14:paraId="5518D69E" w14:textId="77777777" w:rsidR="00D10C4E" w:rsidRPr="00DF5CF7" w:rsidRDefault="00662ACB" w:rsidP="00DF5CF7">
      <w:pPr>
        <w:pStyle w:val="Akapitzlist"/>
        <w:numPr>
          <w:ilvl w:val="0"/>
          <w:numId w:val="1"/>
        </w:numPr>
        <w:tabs>
          <w:tab w:val="left" w:pos="851"/>
        </w:tabs>
        <w:spacing w:line="300" w:lineRule="auto"/>
        <w:ind w:left="426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art. 5 ust. 1 pkt 6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 związku z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poprzez jego </w:t>
      </w:r>
      <w:r w:rsidRPr="00DF5CF7">
        <w:rPr>
          <w:rFonts w:ascii="Arial" w:hAnsi="Arial" w:cs="Arial"/>
          <w:sz w:val="24"/>
          <w:szCs w:val="24"/>
        </w:rPr>
        <w:t xml:space="preserve">błędną wykładnię i uznanie, że w niniejszej sprawie do wykazania spełnienia wymogu zachowania odległości nie mniejszej niż 700 m od budynku mieszkalnego lub budynku o funkcji mieszanej, o którym mowa w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należy zastosować metodologię wskazaną w art. 5 ust. 1 pkt 1-3 i 6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podczas gdy ze wspomnianego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wynika, że chodzi o wykazanie zachowania faktycznego odległości 700 m między turbiną wiatrową a obszarami wskazanymi w art. 5 ust. 1 pkt 1-3, tj. zgodnie z art. 5 ust. 1 pkt 1-3 i 4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</w:t>
      </w:r>
    </w:p>
    <w:p w14:paraId="34EE4769" w14:textId="77777777" w:rsidR="00D10C4E" w:rsidRPr="00DF5CF7" w:rsidRDefault="00662ACB" w:rsidP="00DF5CF7">
      <w:pPr>
        <w:tabs>
          <w:tab w:val="left" w:pos="851"/>
        </w:tabs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Spółka wniosła o uchylenie skarżonej decyzji z 17 lipca 2025 r. w całości i orzeczenie co do istoty sprawy, poprzez określenie środowiskowych uwarunkowań realizacji przedsięwzięcia na podstawie wniosku Spółki z 27 lutego 2023 r. oraz materiałów załączonych do ww. wniosku.</w:t>
      </w:r>
    </w:p>
    <w:p w14:paraId="34366315" w14:textId="77777777" w:rsidR="00D10C4E" w:rsidRPr="00DF5CF7" w:rsidRDefault="00662ACB" w:rsidP="00DF5CF7">
      <w:pPr>
        <w:tabs>
          <w:tab w:val="left" w:pos="851"/>
        </w:tabs>
        <w:spacing w:before="240" w:line="312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GDOŚ ustalił i zważył, co następuje.</w:t>
      </w:r>
    </w:p>
    <w:p w14:paraId="2583F199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bookmarkStart w:id="4" w:name="_Hlk126659402"/>
      <w:r w:rsidRPr="00DF5CF7">
        <w:rPr>
          <w:rFonts w:ascii="Arial" w:hAnsi="Arial" w:cs="Arial"/>
          <w:sz w:val="24"/>
          <w:szCs w:val="24"/>
        </w:rPr>
        <w:t xml:space="preserve">Jak wynika z art. 127 ust. 3 u.o.o.ś., </w:t>
      </w:r>
      <w:bookmarkEnd w:id="4"/>
      <w:r w:rsidRPr="00DF5CF7">
        <w:rPr>
          <w:rFonts w:ascii="Arial" w:hAnsi="Arial" w:cs="Arial"/>
          <w:sz w:val="24"/>
          <w:szCs w:val="24"/>
        </w:rPr>
        <w:t>GDOŚ pełni funkcję organu wyższego stopnia w rozumieniu k.p.a. w stosunku do regionalnych dyrektorów ochrony środowiska, zatem jest organem właściwym do rozpatrzenia odwołania od decyzji RDOŚ w Gorzowie Wielkopolskim.</w:t>
      </w:r>
    </w:p>
    <w:p w14:paraId="51D853AC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Odwołanie od ww. decyzji zostało wniesione z zachowaniem terminu przewidzianego w art. 129 § 2 k.p.a. – zaskarżona decyzja została doręczona odwołującej się Spółce 21 lipca 2025 r., natomiast odwołanie wniesiono 31 lipca 2025 r. (data nadania </w:t>
      </w:r>
      <w:r w:rsidRPr="00DF5CF7">
        <w:rPr>
          <w:rFonts w:ascii="Arial" w:hAnsi="Arial" w:cs="Arial"/>
          <w:sz w:val="24"/>
          <w:szCs w:val="24"/>
        </w:rPr>
        <w:t>korespondencji przez usługę e-Doręczenia).</w:t>
      </w:r>
    </w:p>
    <w:p w14:paraId="730EC632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Mając na uwadze zasadę dwuinstancyjności postępowania administracyjnego, której istotą jest zapewnienie stronom prawa do dwukrotnego rozpatrzenia i rozstrzygnięcia sprawy, GDOŚ w ramach postępowania odwoławczego dokonał analizy sprawy w pełnym zakresie co do okoliczności faktycznych i prawnych.</w:t>
      </w:r>
    </w:p>
    <w:p w14:paraId="18D66EC4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Zgodnie z przedłożonym przy piśmie Spółki z 20 grudnia 2023 r. raportem o odziaływaniu przedsięwzięcia na środowisko (uzupełnionym 27 czerwca 2024 r.</w:t>
      </w:r>
      <w:r w:rsidRPr="00DF5CF7">
        <w:rPr>
          <w:rFonts w:ascii="Arial" w:hAnsi="Arial" w:cs="Arial"/>
          <w:sz w:val="24"/>
          <w:szCs w:val="24"/>
        </w:rPr>
        <w:t>, 19 sierpnia 2024 r., 5 grudnia 2024 r. oraz 25 marca 2025 r.), dalej raport, planowane przedsięwzięcie polega na realizacji farmy wiatrowej zakładającej budowę do 8 turbin wiatrowych, o mocy do 6,6 MW każda, wraz z niezbędną infrastrukturą.</w:t>
      </w:r>
    </w:p>
    <w:p w14:paraId="75641FC1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lastRenderedPageBreak/>
        <w:t>Planowane przedsięwzięcie zlokalizowane będzie na działkach ewid. nr 8, 42/3, 44, 45, 207/2, 207/3, 279, 205/1, 201/1, 228/1, 280, 217/1 obręb Darnawa, 294/4, 290, 294/3 obręb Niekarzyn, gmina Skąpe, powiat Świebodziński, województwo lubuskie.</w:t>
      </w:r>
    </w:p>
    <w:p w14:paraId="1D23250E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color w:val="EE0000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Ww. działki, zgodnie z załączonym do wniosku z 27 lutego 2023 r. wyrysem z miejscowego planu zagospodarowania przestrzennego zatwierdzonego Uchwałą Nr X/59/2011 Rady Gminy Skąpe z dnia 22 czerwca 2011 r. w sprawie przyjęcia miejscowego planu zagospodarowania przestrzennego gminy Skąpe dla lokalizacji elektrowni wiatrowych (Dz. Urz. Woj. Lub. Nr 90, poz. 1801), dalej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położone są na obszarach objętych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>. oznaczonych symbolami: 01R/E, 02R/E, 03R/E, 04R/E, 05R/E, 06R/E, 07R/E – tereny</w:t>
      </w:r>
      <w:r w:rsidRPr="00DF5CF7">
        <w:rPr>
          <w:rFonts w:ascii="Arial" w:hAnsi="Arial" w:cs="Arial"/>
          <w:sz w:val="24"/>
          <w:szCs w:val="24"/>
        </w:rPr>
        <w:t xml:space="preserve"> rolnicze z możliwością lokalizacji elektrowni wiatrowych. W myśl § 13 ust. 1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>., na terenach oznaczonych symbolami 01R/E-07R/E ustala się przeznaczenie podstawowe – tereny rolnicze, i przeznaczenie uzupełniające – elektroenergetyka.</w:t>
      </w:r>
    </w:p>
    <w:p w14:paraId="685139F7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Powyżej opisane przedsięwzięcie należy zakwalifikować zgodnie z § 3 ust. 1 pkt 6 lit b rozporządzenia Rady Ministrów z 10 września 2019 r. w sprawie przedsięwzięć mogących znacząco oddziaływać na środowisko (Dz. U. z 2019 r. poz. 1838, ze zm.), dalej </w:t>
      </w:r>
      <w:proofErr w:type="spellStart"/>
      <w:r w:rsidRPr="00DF5CF7">
        <w:rPr>
          <w:rFonts w:ascii="Arial" w:hAnsi="Arial" w:cs="Arial"/>
          <w:sz w:val="24"/>
          <w:szCs w:val="24"/>
        </w:rPr>
        <w:t>r.o.o.ś</w:t>
      </w:r>
      <w:proofErr w:type="spellEnd"/>
      <w:r w:rsidRPr="00DF5CF7">
        <w:rPr>
          <w:rFonts w:ascii="Arial" w:hAnsi="Arial" w:cs="Arial"/>
          <w:sz w:val="24"/>
          <w:szCs w:val="24"/>
        </w:rPr>
        <w:t>., jako przedsięwzięcie mogące potencjalnie znacząco oddziaływać na środowisko, polegające na realizacji instalacji wykorzystującej do wytwarzania energii elektrycznej energię wiatru, innej niż wymienione w z § 2 ust. 1 pkt 5, o całkowitej wysokości nie niższej niż 30 m. Z uwagi na powyższe, na mocy art. 71 ust. 1 pkt 2 u.o.o.ś., przedsięwzięcie to wymaga uzyskania decyzji o środowiskowych uwarunkowaniach.</w:t>
      </w:r>
    </w:p>
    <w:p w14:paraId="0F299532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Organ wydający decyzję o środowiskowych uwarunkowaniach działa w granicach wniosku inwestora, badając możliwość udzielenia zgody na realizację przedsięwzięcia w wariancie wskazanym przez inwestora. Jeśli w wyniku analizy dokumentacji zgromadzonej w trakcie prowadzonego postępowania nie zdiagnozuje on przesłanek odmownych określenia warunków realizacji przedsięwzięcia, wówczas jest zobowiązany do wskazania w decyzji wariantu inwestora jako dopuszczonego do realizacji i określenia dla niego warunków realizacj</w:t>
      </w:r>
      <w:r w:rsidRPr="00DF5CF7">
        <w:rPr>
          <w:rFonts w:ascii="Arial" w:hAnsi="Arial" w:cs="Arial"/>
          <w:sz w:val="24"/>
          <w:szCs w:val="24"/>
        </w:rPr>
        <w:t>i.</w:t>
      </w:r>
    </w:p>
    <w:p w14:paraId="494D582F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Przesłanki odmowy zgody na realizację przedsięwzięcia wymienione zostały w art. 80 ust. 2 oraz art. 81 u.o.o.ś. Ponadto przesłankami odmowy zgody na realizację przedsięwzięcia mogą być również inne okoliczności, ale muszą one wynikać z konkretnych uregulowań prawnych lub faktycznych. Rozpatrując więc wniosek o wydanie decyzji o środowiskowych uwarunkowaniach, należy wpierw zbadać dopuszczalność realizacji planowanego przedsięwzięcia. U podstaw wydania decyzji określającej środowiskowe uwarunkowania realizac</w:t>
      </w:r>
      <w:r w:rsidRPr="00DF5CF7">
        <w:rPr>
          <w:rFonts w:ascii="Arial" w:hAnsi="Arial" w:cs="Arial"/>
          <w:sz w:val="24"/>
          <w:szCs w:val="24"/>
        </w:rPr>
        <w:t>ji przedsięwzięcia musi leżeć założenie, że inwestycja objęta wnioskiem jest w ogóle dopuszczalna.</w:t>
      </w:r>
    </w:p>
    <w:p w14:paraId="373CE5AE" w14:textId="77777777" w:rsidR="00D10C4E" w:rsidRPr="00DF5CF7" w:rsidRDefault="00662ACB" w:rsidP="00DF5CF7">
      <w:pPr>
        <w:tabs>
          <w:tab w:val="left" w:pos="851"/>
        </w:tabs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 niniejszym przypadku, zgodnie z treścią decyzji RDOŚ w Gorzowie Wielkopolskim z 17 lipca 2025 r., przesłanką determinującą odmowę zgody na realizację </w:t>
      </w:r>
      <w:r w:rsidRPr="00DF5CF7">
        <w:rPr>
          <w:rFonts w:ascii="Arial" w:hAnsi="Arial" w:cs="Arial"/>
          <w:sz w:val="24"/>
          <w:szCs w:val="24"/>
        </w:rPr>
        <w:lastRenderedPageBreak/>
        <w:t xml:space="preserve">przedsięwzięcia był warunek zachowania wymaganej odległości elektrowni wiatrowej od budynku mieszkalnego, o którym mowa w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Zgodnie z tym przepisem organ prowadzący postępowanie w sprawie decyzji o środowiskowych uwarunkowaniach odmawia zgody na realizację przedsięwzięcia, jeżeli inwestycja w zakresie elektrowni wiatrowej nie spełnia wymogu zachowania odległości nie mniejszej niż 700 metrów od budynku mieszkalnego lub budynku o funkcji mieszanej. Przy czym zaznaczenia wymaga, że odległość o której mowa w powyższym przepisie, w ocenie organu pierwszej instancji, winna być liczona w myśl art. 5 ust. 1 pkt 1-3 i pkt 6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., tj. między:</w:t>
      </w:r>
    </w:p>
    <w:p w14:paraId="36441F8D" w14:textId="77777777" w:rsidR="00D10C4E" w:rsidRPr="00DF5CF7" w:rsidRDefault="00662ACB" w:rsidP="00DF5CF7">
      <w:pPr>
        <w:pStyle w:val="Akapitzlist"/>
        <w:numPr>
          <w:ilvl w:val="0"/>
          <w:numId w:val="6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rzutem poziomym istniejącego budynku mieszkalnego albo istniejącego budynku o funkcji mieszanej, albo</w:t>
      </w:r>
    </w:p>
    <w:p w14:paraId="6E7B27CE" w14:textId="77777777" w:rsidR="00D10C4E" w:rsidRPr="00DF5CF7" w:rsidRDefault="00662ACB" w:rsidP="00DF5CF7">
      <w:pPr>
        <w:pStyle w:val="Akapitzlist"/>
        <w:numPr>
          <w:ilvl w:val="0"/>
          <w:numId w:val="6"/>
        </w:numPr>
        <w:tabs>
          <w:tab w:val="left" w:pos="851"/>
        </w:tabs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granicą terenu objętego decyzją WZ albo decyzję LICP dotyczącą inwestycji, o której mowa w pkt 1, na którym jest możliwa lokalizacja tej inwestycji, albo</w:t>
      </w:r>
    </w:p>
    <w:p w14:paraId="05B303E6" w14:textId="77777777" w:rsidR="00D10C4E" w:rsidRPr="00DF5CF7" w:rsidRDefault="00662ACB" w:rsidP="00DF5CF7">
      <w:pPr>
        <w:tabs>
          <w:tab w:val="left" w:pos="851"/>
        </w:tabs>
        <w:spacing w:after="0" w:line="300" w:lineRule="auto"/>
        <w:ind w:left="708" w:hanging="424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2a) </w:t>
      </w:r>
      <w:r w:rsidRPr="00DF5CF7">
        <w:rPr>
          <w:rFonts w:ascii="Arial" w:hAnsi="Arial" w:cs="Arial"/>
          <w:sz w:val="24"/>
          <w:szCs w:val="24"/>
        </w:rPr>
        <w:t xml:space="preserve">granicą terenu objętego inwestycją mieszkaniową określoną w uchwale o ustaleniu lokalizacji mieszkaniowej, o której mowa w art. 7 ust. 4 ustawy z dnia 5 lipca 2017 r. o ułatwieniach w przygotowaniu i realizacji inwestycji towarzyszących (Dz. U. z 2024 r. poz. 195), albo </w:t>
      </w:r>
    </w:p>
    <w:p w14:paraId="3FA93DFC" w14:textId="77777777" w:rsidR="00D10C4E" w:rsidRPr="00DF5CF7" w:rsidRDefault="00662ACB" w:rsidP="00DF5CF7">
      <w:pPr>
        <w:pStyle w:val="Akapitzlist"/>
        <w:numPr>
          <w:ilvl w:val="0"/>
          <w:numId w:val="6"/>
        </w:numPr>
        <w:tabs>
          <w:tab w:val="left" w:pos="851"/>
        </w:tabs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linią rozgraniczającą teren, którego sposób zagospodarowania określony w planie miejscowym dopuszcza realizację inwestycji, o której mowa w pkt 1,</w:t>
      </w:r>
    </w:p>
    <w:p w14:paraId="5ABBC58F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a linią rozgraniczającą teren, którego sposób zagospodarowania określony w planie miejscowym dopuszcza budowę elektrowni wiatrowej – w przypadku lokalizowania elektrowni wiatrowej.</w:t>
      </w:r>
    </w:p>
    <w:p w14:paraId="7096F70E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color w:val="EE0000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Mając na uwadze powyższe, RDOŚ w Gorzowie Wielkopolskim odmówił zgody na realizację przedmiotowej inwestycji, ze względu na fakt, że teren oznaczony symbolem 07R/E w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na którym planowana jest jedna z turbin wiatrowych znajduje się w odległości ok. 465 m od terenu oznaczonego w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>. symbolem MN – zabudowa mieszkaniowa jednorodzinna.</w:t>
      </w:r>
    </w:p>
    <w:p w14:paraId="6A90DACE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Organ odwoławczy podziela stanowisko RDOŚ w Gorzowie Wielkopolskim przedstawione w skarżonej decyzji z 17 lipca 2025 r. W ocenie GDOŚ, organ pierwszej instancji słusznie odmówił zgody na realizację planowanej farmy wiatrowej, powołując się przy tym na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</w:t>
      </w:r>
    </w:p>
    <w:p w14:paraId="52270174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 niniejszej sprawie przesłanki odmowy zgody na realizację przedmiotowego przedsięwzięcia należy poszukiwać w innych uregulowaniach prawnych niż ww. art. 80 ust. 2 oraz art. 81 u.o.o.ś., a mianowicie w przepisach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oraz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., które bezpośrednio odnoszą się do kwestii lokalizowania i dopuszczalności realizacji inwestycji w zakresie elektrowni wiatrowych.</w:t>
      </w:r>
    </w:p>
    <w:p w14:paraId="3D6F9934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 pierwszej kolejności zaznaczyć należy, że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obowiązujący na obszarze, gdzie realizowane ma być przedmiotowe przedsięwzięcie, został uchwalony przed dniem wejścia w życie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czyli przed dniem 20 maja 2016 r. Zgodnie z art. 15 ust. </w:t>
      </w:r>
      <w:r w:rsidRPr="00DF5CF7">
        <w:rPr>
          <w:rFonts w:ascii="Arial" w:hAnsi="Arial" w:cs="Arial"/>
          <w:sz w:val="24"/>
          <w:szCs w:val="24"/>
        </w:rPr>
        <w:lastRenderedPageBreak/>
        <w:t xml:space="preserve">2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., plany miejscowe obowiązujące w dniu wejścia w życie ustawy zachowują moc.</w:t>
      </w:r>
    </w:p>
    <w:p w14:paraId="7D554677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wskazuje, że jeżeli w planie miejscowym, o którym mowa w art. 15 ust. 2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., przewiduje się lokalizację elektrowni wiatrowej, organ prowadzący postępowanie w sprawie decyzji o środowiskowych uwarunkowaniach odmawia zgody na realizację przedsięwzięcia, jeżeli inwestycja w zakresie elektrowni wiatrowej nie spełnia wymogu zachowania odległości nie mniejszej niż 700 metrów od budynku mieszkalnego lub budynku o funkcji mieszanej.</w:t>
      </w:r>
    </w:p>
    <w:p w14:paraId="4B7D369F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 ocenie GDOŚ, w normie obejmującej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istnieje luka prawna, bowiem ustawodawca, wprowadzając w tym przepisie obowiązek zachowania odległości nie mniejszej niż 700 m od budynku mieszkalnego lub budynku o funkcji mieszanej, w przeciwieństwie do przepisów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nie wskazał sposobu określania tej odległości, ani nie odwołał się do odpowiedniego przepisu w jaki sposób odległość ta powinna być wyznaczana. W oparciu wyłącznie o regulację ustanowioną w treści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 nie jest możliwe wyprowadzenie normy, która wskazywałaby, w jaki sposób należy określić odległość inwestycji w zakresie farmy wiatrowej od budynku mieszkalnego lub budynku o funkcji mieszanej, aby można było ocenić, czy obowiązek zachowania tej odległości został spełniony.</w:t>
      </w:r>
    </w:p>
    <w:p w14:paraId="1DA5411D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Wobec powyższego zasadne jest posłużenie się wnioskowaniem przez analogię i uzupełnienie tego przepisu odpowiednio o treść art. 5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 przeciwnym razie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 byłby przepisem martwym.</w:t>
      </w:r>
    </w:p>
    <w:p w14:paraId="67BFB6B8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 art. 5 ust. 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 zostały wymienione sposoby określania odległości elektrowni wiatrowej od budynku mieszkalnego. W niniejszej sprawie zastosowanie mają pkt 3 i 6 tego artykułu w brzmieniu: przez odległości, o których mowa w art. 4 ust. 1 i 4, rozumie się najkrótsze odcinki między linią rozgraniczającą tere</w:t>
      </w:r>
      <w:r w:rsidRPr="00DF5CF7">
        <w:rPr>
          <w:rFonts w:ascii="Arial" w:hAnsi="Arial" w:cs="Arial"/>
          <w:sz w:val="24"/>
          <w:szCs w:val="24"/>
        </w:rPr>
        <w:t xml:space="preserve">n, którego sposób zagospodarowania określony w planie miejscowym dopuszcza realizację inwestycji, o której mowa w pkt 1 (budynek mieszkalny lub budynek o funkcji mieszanej) a linią rozgraniczającą teren, którego sposób zagospodarowania określony w planie miejscowym dopuszcza budowę elektrowni wiatrowej – w przypadku lokalizowania elektrowni wiatrowej. W tej sprawie w odległości ok. 465 m na południe od linii rozgraniczającej teren oznaczony w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>. symbolem 07R/E</w:t>
      </w:r>
      <w:r w:rsidRPr="00DF5CF7">
        <w:rPr>
          <w:rFonts w:ascii="Arial" w:hAnsi="Arial" w:cs="Arial"/>
          <w:sz w:val="24"/>
          <w:szCs w:val="24"/>
        </w:rPr>
        <w:t xml:space="preserve"> – teren rolniczy z możliwością lokalizacji elektrowni wiatrowych (część działki ewid. nr 294/4 obręb Niekarzyn) - znajduje się linia rozgraniczająca działkę ewid. nr 295/8 obręb Niekarzyn oznaczona w </w:t>
      </w:r>
      <w:proofErr w:type="spellStart"/>
      <w:r w:rsidRPr="00DF5CF7">
        <w:rPr>
          <w:rFonts w:ascii="Arial" w:hAnsi="Arial" w:cs="Arial"/>
          <w:sz w:val="24"/>
          <w:szCs w:val="24"/>
        </w:rPr>
        <w:t>m.p.z.p</w:t>
      </w:r>
      <w:proofErr w:type="spellEnd"/>
      <w:r w:rsidRPr="00DF5CF7">
        <w:rPr>
          <w:rFonts w:ascii="Arial" w:hAnsi="Arial" w:cs="Arial"/>
          <w:sz w:val="24"/>
          <w:szCs w:val="24"/>
        </w:rPr>
        <w:t>.  symbolem MN – teren zabudowy mieszkaniowej jednorodzinnej.</w:t>
      </w:r>
    </w:p>
    <w:p w14:paraId="40D1B218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Odnosząc się w tym miejscu do zarzutu nr 2 (naruszenie art. 5 ust. 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 zw. z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.), jak już GDOŚ wyjaśnił powyżej, treść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nie wskazuje bezpośrednio sposobu określenia odległości 700 m między inwestycją w zakresie elektrowni wiatrowej a budynkiem mieszkalnym lub budynkiem </w:t>
      </w:r>
      <w:r w:rsidRPr="00DF5CF7">
        <w:rPr>
          <w:rFonts w:ascii="Arial" w:hAnsi="Arial" w:cs="Arial"/>
          <w:sz w:val="24"/>
          <w:szCs w:val="24"/>
        </w:rPr>
        <w:lastRenderedPageBreak/>
        <w:t xml:space="preserve">o funkcji mieszanej. W przypadku braku odniesienia się do art. 5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który doprecyzowuje sposoby określania odległości,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byłby przepisem martwym i nieweryfikowalnym. W związku z faktem, że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jest ustawą zmieniająca miedzy innymi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dla organu oczywistym jest, że jeżeli z treści samego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nie wynika sposób określania odległości, to należy posiłkować się przepisami zawartymi w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., w tym odpowiednio treścią art. 5 tejże ustawy.</w:t>
      </w:r>
    </w:p>
    <w:p w14:paraId="47AA2938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Należy zauważyć, że odległość określona w art. 4 ust. 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jest definiowana jako odcinek między dwoma punktami, wyspecyfikowanymi w poszczególnych jednostkach redakcyjnych art. 5 ust. 1 (por. wyrok Wojewódzkiego Sądu Administracyjnego w Poznaniu z 17 marca 2021 r., sygn. akt: IV SA/Po 1881/20).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również wskazuje odcinek między dwoma punktami – inwestycji w zakresie elektrowni wiatrowej oraz budynku mieszkalnego lub budynku o funkcji mieszanej, jednakże nie został przez ustawodawcę doprecyzowany sposób liczenia odległości między tymi punktami. Wobec powyższego, wnioskując przez analogię, dopuszczalnym jest zastosowanie normy przewidzianej w art. 5 ust. 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jako uzupełniającej dla określenia odległości, o której mowa w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 ocenie GDOŚ zarzut naruszenia art. 5 ust. 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 zw. z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 nie zasługuje na uwzględnienie.</w:t>
      </w:r>
    </w:p>
    <w:p w14:paraId="65FC35C3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Organ nie może zgodzić się ze stanowiskiem Spółki, przedstawionym w odwołaniu z 31 lipca  2025 r., wskazującym, że z treści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wynika, że chodzi o zachowanie faktycznej odległości 700 m między turbiną wiatrową (okręgiem, którego promień jest równy połowie średnicy wirnika wraz z łopatami, a środek jest środkiem okręgu opisanego na obrysie wieży istniejącej lub planowanej elektrowni wiatrowej) </w:t>
      </w:r>
      <w:r w:rsidRPr="00DF5CF7">
        <w:rPr>
          <w:rFonts w:ascii="Arial" w:hAnsi="Arial" w:cs="Arial"/>
          <w:sz w:val="24"/>
          <w:szCs w:val="24"/>
        </w:rPr>
        <w:t xml:space="preserve">a obszarami wskazanymi w art. 5 ust. 1 pkt 1-3, tj. zgodnie z art. 5 ust. 1 pkt 1-3 i pkt 4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Ustawodawca w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nie posłużył się pojęciem turbiny wiatrowej, które w ocenie Spółki wskazywałoby na możliwość zastosowania art. 5 ust. 1 pkt 4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a jedynie pojęciem „inwestycji w zakresie elektrowni wiatrowej”. Ponadto art. 5 ust. 1 pkt 4 lit. a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odnosi się bezpośrednio do przypadku wydawania pozwolenia na budowę dla elektrowni wiatrowej, co wyklucza zastosowanie tego przepisu w przypadku wydania decyzji o środowiskowych uwarunkowaniach. Interpretacja tego przepisu przywołana przez Spółkę, wskazującą, że „w przypadku jednak wydawania decyzji o pozwoleniu na budowę (tj. wydawania rozstrzygnięcia w indywidualnej sprawie z wniosku inwestora)” jest według organu rozszerzająca i nie znajduje ona odniesienia w przepisach prawa. </w:t>
      </w:r>
    </w:p>
    <w:p w14:paraId="17A773AD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Argumentując zarzut nr 2</w:t>
      </w:r>
      <w:r w:rsidRPr="00DF5CF7">
        <w:rPr>
          <w:rFonts w:ascii="Arial" w:hAnsi="Arial" w:cs="Arial"/>
          <w:sz w:val="24"/>
          <w:szCs w:val="24"/>
        </w:rPr>
        <w:t xml:space="preserve">, Spółka wskazuje również na proponowaną zmianę w art. 1 pkt 7 projektu ustawy z dnia 5 sierpnia 2025 r. o zmianie ustawy o inwestycjach w zakresie elektrowni wiatrowych oraz niektórych ustaw (druk sejmowy nr 1130), </w:t>
      </w:r>
      <w:r w:rsidRPr="00DF5CF7">
        <w:rPr>
          <w:rFonts w:ascii="Arial" w:hAnsi="Arial" w:cs="Arial"/>
          <w:sz w:val="24"/>
          <w:szCs w:val="24"/>
        </w:rPr>
        <w:lastRenderedPageBreak/>
        <w:t xml:space="preserve">dotyczącą nowego brzmienia art. 5 ust. 1 pkt 4 lit. a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>. tj.: „wydawania decyzji o środowiskowych uwarunkowaniach oraz pozwolenia na budowę dla elektrowni wiatrowej lub”. Podkreślenia wymaga, że projekt ww. us</w:t>
      </w:r>
      <w:r w:rsidRPr="00DF5CF7">
        <w:rPr>
          <w:rFonts w:ascii="Arial" w:hAnsi="Arial" w:cs="Arial"/>
          <w:sz w:val="24"/>
          <w:szCs w:val="24"/>
        </w:rPr>
        <w:t>tawy nie wszedł w życie – Prezydent Rzeczypospolitej Polskiej wnioskiem z 21 sierpnia 2025 r. (druk sejmowy nr 1642) odmówił podpisania ww. ustawy z dnia 5 sierpnia 2025 r. i wniósł o ponowne jej rozpatrzenie. Wobec tego argumentacja Spółki jest nietrafna.</w:t>
      </w:r>
    </w:p>
    <w:p w14:paraId="0E0D74AA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Ze względu na fakt, że ustawodawca nie wskazał w treści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sposobu liczenia odległości, organ wnioskując przez analogię, sięgnął do treści art. 5 ust. 1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co jest w ocenie organu logiczne. </w:t>
      </w:r>
      <w:r w:rsidRPr="00DF5CF7">
        <w:rPr>
          <w:rFonts w:ascii="Arial" w:hAnsi="Arial" w:cs="Arial"/>
          <w:sz w:val="24"/>
          <w:szCs w:val="24"/>
        </w:rPr>
        <w:t xml:space="preserve">Jak już GDOŚ wyjaśnił powyżej, w przypadku braku odniesienia się do art. 5 </w:t>
      </w:r>
      <w:proofErr w:type="spellStart"/>
      <w:r w:rsidRPr="00DF5CF7">
        <w:rPr>
          <w:rFonts w:ascii="Arial" w:hAnsi="Arial" w:cs="Arial"/>
          <w:sz w:val="24"/>
          <w:szCs w:val="24"/>
        </w:rPr>
        <w:t>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który doprecyzowuje sposoby określania odległości,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 byłby przepisem martwym.</w:t>
      </w:r>
    </w:p>
    <w:p w14:paraId="354155CE" w14:textId="77777777" w:rsidR="00D10C4E" w:rsidRPr="00DF5CF7" w:rsidRDefault="00662ACB" w:rsidP="00DF5CF7">
      <w:pPr>
        <w:tabs>
          <w:tab w:val="left" w:pos="851"/>
        </w:tabs>
        <w:spacing w:after="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Odpowiadając natomiast na zarzut nr 1, tj. naruszenie art. 9 ust. 2 pkt 1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., należy podkreślić, że pkt 1 i pkt 2 art. 9 ust.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stanowią dwa odrębne przepisy. Treść art. 9 ust.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 brzmi następująco: „J</w:t>
      </w:r>
      <w:r w:rsidRPr="00DF5CF7">
        <w:rPr>
          <w:rFonts w:ascii="Arial" w:hAnsi="Arial" w:cs="Arial"/>
          <w:sz w:val="24"/>
          <w:szCs w:val="24"/>
        </w:rPr>
        <w:t>eżeli w planie miejscowym, o którym mowa w art. 15 ust.2 lub ust. 7 pkt 1 ustawy zmienianej w art. 1, przewiduje się lokalizację elektrowni wiatrowej:</w:t>
      </w:r>
    </w:p>
    <w:p w14:paraId="26859495" w14:textId="77777777" w:rsidR="00D10C4E" w:rsidRPr="00DF5CF7" w:rsidRDefault="00662ACB" w:rsidP="00DF5CF7">
      <w:pPr>
        <w:pStyle w:val="Akapitzlist"/>
        <w:numPr>
          <w:ilvl w:val="0"/>
          <w:numId w:val="7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nie stosuje się wymogów określenia odległości elektrowni wiatrowej od budynku mieszkalnego albo budynku o funkcji mieszanej, o której mowa w art. 4 ust. 1 ustawy zmienianej w art. 1 w brzmieniu nadanym niniejszą ustawą, oraz wymogów, o których mowa w art. 4a ust. 1 i 2 oraz art. 4c ustawy zmienianej w art. 1, oraz wymogów, o których mowa w art. 7 ustawy zmienianej w art. 1 w brzmieniu nadanym niniejszą ustawą;</w:t>
      </w:r>
    </w:p>
    <w:p w14:paraId="6DA1DC50" w14:textId="77777777" w:rsidR="00D10C4E" w:rsidRPr="00DF5CF7" w:rsidRDefault="00662ACB" w:rsidP="00DF5CF7">
      <w:pPr>
        <w:pStyle w:val="Akapitzlist"/>
        <w:numPr>
          <w:ilvl w:val="0"/>
          <w:numId w:val="7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organ administracji architektoniczno-budowlanej odmawia wydania pozwolenia na budowę, a organ prowadzący postępowanie w sprawie decyzji o środowiskowych uwarunkowaniach odmawia zgody na realizację przedsięwzięcia, jeżeli inwestycja w zakresie elektrowni wiatrowej nie spełnia wymogu zachowania odległości nie mniejszej niż 700 metrów od budynku mieszkalnego lub budynku o funkcji mieszanej”.</w:t>
      </w:r>
    </w:p>
    <w:p w14:paraId="758DCE23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Zauważenia zatem wymaga, że pomiędzy art. 9 ust. 2 pkt 1 a art. 9 ust. 2 pkt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nie został zastosowany żaden </w:t>
      </w:r>
      <w:r w:rsidRPr="00DF5CF7">
        <w:rPr>
          <w:rFonts w:ascii="Arial" w:hAnsi="Arial" w:cs="Arial"/>
          <w:sz w:val="24"/>
          <w:szCs w:val="24"/>
        </w:rPr>
        <w:t xml:space="preserve">spójnik logiczny, który wykluczałby stosowanie jednego z punktów art. 9 ust. 2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 xml:space="preserve">. w przypadku zastosowania drugiego z nich. Ponadto pkt 2 ww. przepisu bezpośrednio odnosi się do działań, jakie winien podjąć organ prowadzący postępowanie w sprawie decyzji o środowiskowych uwarunkowaniach, więc jest on wiążący zarówno dla RDOŚ w Gorzowie Wielkopolskim, jak i dla GDOŚ. Dlatego zarzut naruszenia art. 9 ust. 2 pkt 1 </w:t>
      </w:r>
      <w:proofErr w:type="spellStart"/>
      <w:r w:rsidRPr="00DF5CF7">
        <w:rPr>
          <w:rFonts w:ascii="Arial" w:hAnsi="Arial" w:cs="Arial"/>
          <w:sz w:val="24"/>
          <w:szCs w:val="24"/>
        </w:rPr>
        <w:t>u.z.u.w</w:t>
      </w:r>
      <w:proofErr w:type="spellEnd"/>
      <w:r w:rsidRPr="00DF5CF7">
        <w:rPr>
          <w:rFonts w:ascii="Arial" w:hAnsi="Arial" w:cs="Arial"/>
          <w:sz w:val="24"/>
          <w:szCs w:val="24"/>
        </w:rPr>
        <w:t>. poprzez jego niezastosowanie, należy uznać za niezasługujący na uwzględnienie.</w:t>
      </w:r>
    </w:p>
    <w:p w14:paraId="5C2A1644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Zgodnie z art. 138 § 1 pkt 1 k.p.a. organ odwoławczy może utrzymać w mocy zaskarżoną decyzję, jeżeli rozstrzygnięcie organu odwoławczego jest zgodne z </w:t>
      </w:r>
      <w:r w:rsidRPr="00DF5CF7">
        <w:rPr>
          <w:rFonts w:ascii="Arial" w:hAnsi="Arial" w:cs="Arial"/>
          <w:sz w:val="24"/>
          <w:szCs w:val="24"/>
        </w:rPr>
        <w:lastRenderedPageBreak/>
        <w:t xml:space="preserve">rozstrzygnięciem organu pierwszej instancji zawartym w zaskarżonej decyzji. Organ, wydając w postępowaniu odwoławczym decyzję utrzymujące w mocy zaskarżoną decyzję, zajmuje stanowisko, że rozstrzygnięcie organu pierwszej instancji jest prawidłowe, zarówno co do zgodności z prawem, jak i co do istoty. </w:t>
      </w:r>
    </w:p>
    <w:p w14:paraId="55A50ACA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W ocenie GDOŚ, rozstrzygnięcie podjęte przez RDOŚ w </w:t>
      </w:r>
      <w:r w:rsidRPr="00DF5CF7">
        <w:rPr>
          <w:rFonts w:ascii="Arial" w:hAnsi="Arial" w:cs="Arial"/>
          <w:sz w:val="24"/>
          <w:szCs w:val="24"/>
        </w:rPr>
        <w:t>Gorzowie Wielkopolskim decyzją z 17 lipca 2025 r., znak: WZŚ.420.15.2023.PK, jest prawidłowe i nie narusza przepisów prawa w stopniu uzasadniającym jego uchylenie.</w:t>
      </w:r>
    </w:p>
    <w:p w14:paraId="379BCA4A" w14:textId="77777777" w:rsidR="00D10C4E" w:rsidRPr="00DF5CF7" w:rsidRDefault="00662ACB" w:rsidP="00DF5CF7">
      <w:p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Wobec powyższego orzeczono jak w sentencji.</w:t>
      </w:r>
    </w:p>
    <w:p w14:paraId="6EAC49BA" w14:textId="77777777" w:rsidR="00D10C4E" w:rsidRPr="00DF5CF7" w:rsidRDefault="00D10C4E" w:rsidP="00DF5CF7">
      <w:pPr>
        <w:tabs>
          <w:tab w:val="left" w:pos="851"/>
        </w:tabs>
        <w:spacing w:after="120" w:line="312" w:lineRule="auto"/>
        <w:rPr>
          <w:rFonts w:ascii="Arial" w:hAnsi="Arial" w:cs="Arial"/>
          <w:sz w:val="24"/>
          <w:szCs w:val="24"/>
        </w:rPr>
      </w:pPr>
    </w:p>
    <w:p w14:paraId="62956465" w14:textId="77777777" w:rsidR="00D10C4E" w:rsidRPr="00362F78" w:rsidRDefault="00662ACB" w:rsidP="00362F78">
      <w:pPr>
        <w:pStyle w:val="Nagwek2"/>
        <w:rPr>
          <w:rFonts w:ascii="Arial" w:hAnsi="Arial" w:cs="Arial"/>
          <w:color w:val="000000" w:themeColor="text1"/>
          <w:sz w:val="28"/>
          <w:szCs w:val="28"/>
        </w:rPr>
      </w:pPr>
      <w:r w:rsidRPr="00362F78">
        <w:rPr>
          <w:rFonts w:ascii="Arial" w:hAnsi="Arial" w:cs="Arial"/>
          <w:color w:val="000000" w:themeColor="text1"/>
          <w:sz w:val="28"/>
          <w:szCs w:val="28"/>
        </w:rPr>
        <w:t>Pouczenie</w:t>
      </w:r>
    </w:p>
    <w:p w14:paraId="18397267" w14:textId="77777777" w:rsidR="00D10C4E" w:rsidRPr="00DF5CF7" w:rsidRDefault="00662ACB" w:rsidP="00DF5CF7">
      <w:pPr>
        <w:numPr>
          <w:ilvl w:val="0"/>
          <w:numId w:val="3"/>
        </w:numPr>
        <w:suppressAutoHyphens/>
        <w:spacing w:after="0" w:line="312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bookmarkStart w:id="5" w:name="_Hlk153181224"/>
      <w:r w:rsidRPr="00DF5CF7">
        <w:rPr>
          <w:rFonts w:ascii="Arial" w:eastAsia="Times New Roman" w:hAnsi="Arial" w:cs="Arial"/>
          <w:sz w:val="24"/>
          <w:szCs w:val="24"/>
        </w:rPr>
        <w:t xml:space="preserve">niniejsza decyzja jest ostateczna w administracyjnym toku instancji. Na decyzję, zgodnie z art. 50 oraz art. 52 § 1 i 2 w związku z art. 3 § 2 pkt 1 ustawy z dnia 30 sierpnia 2002 r. – Prawo o postępowaniu przed sądami administracyjnymi (Dz. U. z 2026 r. poz. </w:t>
      </w:r>
      <w:r w:rsidRPr="00DF5CF7">
        <w:rPr>
          <w:rFonts w:ascii="Arial" w:eastAsia="Times New Roman" w:hAnsi="Arial" w:cs="Arial"/>
          <w:sz w:val="24"/>
          <w:szCs w:val="24"/>
        </w:rPr>
        <w:t>143, ze zm.), dalej p.p.s.a., służy skarga do Wojewódzkiego Sądu Administracyjnego w Warszawie;</w:t>
      </w:r>
    </w:p>
    <w:p w14:paraId="6EE6889F" w14:textId="77777777" w:rsidR="00D10C4E" w:rsidRPr="00DF5CF7" w:rsidRDefault="00662ACB" w:rsidP="00DF5CF7">
      <w:pPr>
        <w:numPr>
          <w:ilvl w:val="0"/>
          <w:numId w:val="3"/>
        </w:numPr>
        <w:suppressAutoHyphens/>
        <w:spacing w:after="0" w:line="312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 w:rsidRPr="00DF5CF7">
        <w:rPr>
          <w:rFonts w:ascii="Arial" w:eastAsia="Times New Roman" w:hAnsi="Arial" w:cs="Arial"/>
          <w:sz w:val="24"/>
          <w:szCs w:val="24"/>
        </w:rPr>
        <w:t>zgodnie z art. 53 § 1 oraz art. 54 § 1 p.p.s.a. skargę należy wnieść, za pośrednictwem GDOŚ, w terminie trzydziestu dni od dnia otrzymania decyzji;</w:t>
      </w:r>
    </w:p>
    <w:p w14:paraId="1D14263D" w14:textId="77777777" w:rsidR="00D10C4E" w:rsidRPr="00DF5CF7" w:rsidRDefault="00662ACB" w:rsidP="00DF5CF7">
      <w:pPr>
        <w:numPr>
          <w:ilvl w:val="0"/>
          <w:numId w:val="3"/>
        </w:numPr>
        <w:suppressAutoHyphens/>
        <w:spacing w:after="0" w:line="312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 w:rsidRPr="00DF5CF7">
        <w:rPr>
          <w:rFonts w:ascii="Arial" w:eastAsia="Times New Roman" w:hAnsi="Arial" w:cs="Arial"/>
          <w:sz w:val="24"/>
          <w:szCs w:val="24"/>
        </w:rPr>
        <w:t xml:space="preserve">skarżący, zgodnie z </w:t>
      </w:r>
      <w:bookmarkStart w:id="6" w:name="_Hlk196470525"/>
      <w:r w:rsidRPr="00DF5CF7">
        <w:rPr>
          <w:rFonts w:ascii="Arial" w:eastAsia="Times New Roman" w:hAnsi="Arial" w:cs="Arial"/>
          <w:sz w:val="24"/>
          <w:szCs w:val="24"/>
        </w:rPr>
        <w:t xml:space="preserve">art. 230 p.p.s.a. </w:t>
      </w:r>
      <w:bookmarkEnd w:id="6"/>
      <w:r w:rsidRPr="00DF5CF7">
        <w:rPr>
          <w:rFonts w:ascii="Arial" w:eastAsia="Times New Roman" w:hAnsi="Arial" w:cs="Arial"/>
          <w:sz w:val="24"/>
          <w:szCs w:val="24"/>
        </w:rPr>
        <w:t xml:space="preserve">w związku z § 2 ust. 3 pkt 3 rozporządzenia Rady Ministrów z dnia 16 grudnia 2003 r. w sprawie wysokości oraz szczegółowych zasad pobierania wpisu w postępowaniu przed sądami administracyjnymi (Dz. U. z 2021 r. poz. 535), obowiązany jest do uiszczenia wpisu od skargi w kwocie 200 zł. Skarżący, co wynika z </w:t>
      </w:r>
      <w:bookmarkStart w:id="7" w:name="_Hlk196470548"/>
      <w:r w:rsidRPr="00DF5CF7">
        <w:rPr>
          <w:rFonts w:ascii="Arial" w:eastAsia="Times New Roman" w:hAnsi="Arial" w:cs="Arial"/>
          <w:sz w:val="24"/>
          <w:szCs w:val="24"/>
        </w:rPr>
        <w:t>art. 239 p.p.s.a.</w:t>
      </w:r>
      <w:bookmarkEnd w:id="7"/>
      <w:r w:rsidRPr="00DF5CF7">
        <w:rPr>
          <w:rFonts w:ascii="Arial" w:eastAsia="Times New Roman" w:hAnsi="Arial" w:cs="Arial"/>
          <w:sz w:val="24"/>
          <w:szCs w:val="24"/>
        </w:rPr>
        <w:t>, może być zwolniony z obowiązku uiszczenia kosztów sądowych;</w:t>
      </w:r>
    </w:p>
    <w:p w14:paraId="290BA9FC" w14:textId="77777777" w:rsidR="00D10C4E" w:rsidRPr="00DF5CF7" w:rsidRDefault="00662ACB" w:rsidP="00DF5CF7">
      <w:pPr>
        <w:numPr>
          <w:ilvl w:val="0"/>
          <w:numId w:val="3"/>
        </w:numPr>
        <w:suppressAutoHyphens/>
        <w:spacing w:after="0" w:line="312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 w:rsidRPr="00DF5CF7">
        <w:rPr>
          <w:rFonts w:ascii="Arial" w:eastAsia="Times New Roman" w:hAnsi="Arial" w:cs="Arial"/>
          <w:sz w:val="24"/>
          <w:szCs w:val="24"/>
        </w:rPr>
        <w:t xml:space="preserve">skarżącemu, zgodnie z </w:t>
      </w:r>
      <w:bookmarkStart w:id="8" w:name="_Hlk196470580"/>
      <w:r w:rsidRPr="00DF5CF7">
        <w:rPr>
          <w:rFonts w:ascii="Arial" w:eastAsia="Times New Roman" w:hAnsi="Arial" w:cs="Arial"/>
          <w:sz w:val="24"/>
          <w:szCs w:val="24"/>
        </w:rPr>
        <w:t>art. 243 p.p.s.a.</w:t>
      </w:r>
      <w:bookmarkEnd w:id="8"/>
      <w:r w:rsidRPr="00DF5CF7">
        <w:rPr>
          <w:rFonts w:ascii="Arial" w:eastAsia="Times New Roman" w:hAnsi="Arial" w:cs="Arial"/>
          <w:sz w:val="24"/>
          <w:szCs w:val="24"/>
        </w:rPr>
        <w:t>, może być przyznane, na jego wniosek, prawo pomocy. Wniosek ten wolny jest od opłat sądowych;</w:t>
      </w:r>
    </w:p>
    <w:p w14:paraId="3F84E863" w14:textId="77777777" w:rsidR="00D10C4E" w:rsidRPr="00DF5CF7" w:rsidRDefault="00662ACB" w:rsidP="00DF5CF7">
      <w:pPr>
        <w:numPr>
          <w:ilvl w:val="0"/>
          <w:numId w:val="3"/>
        </w:numPr>
        <w:suppressAutoHyphens/>
        <w:spacing w:after="120" w:line="312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 w:rsidRPr="00DF5CF7">
        <w:rPr>
          <w:rFonts w:ascii="Arial" w:eastAsia="Times New Roman" w:hAnsi="Arial" w:cs="Arial"/>
          <w:sz w:val="24"/>
          <w:szCs w:val="24"/>
        </w:rPr>
        <w:t xml:space="preserve">skargę w formie elektronicznej należy wnieść na adres </w:t>
      </w:r>
      <w:proofErr w:type="spellStart"/>
      <w:r w:rsidRPr="00DF5CF7">
        <w:rPr>
          <w:rFonts w:ascii="Arial" w:eastAsia="Times New Roman" w:hAnsi="Arial" w:cs="Arial"/>
          <w:sz w:val="24"/>
          <w:szCs w:val="24"/>
        </w:rPr>
        <w:t>ePUAP</w:t>
      </w:r>
      <w:proofErr w:type="spellEnd"/>
      <w:r w:rsidRPr="00DF5CF7">
        <w:rPr>
          <w:rFonts w:ascii="Arial" w:eastAsia="Times New Roman" w:hAnsi="Arial" w:cs="Arial"/>
          <w:sz w:val="24"/>
          <w:szCs w:val="24"/>
        </w:rPr>
        <w:t>: /</w:t>
      </w:r>
      <w:proofErr w:type="spellStart"/>
      <w:r w:rsidRPr="00DF5CF7">
        <w:rPr>
          <w:rFonts w:ascii="Arial" w:eastAsia="Times New Roman" w:hAnsi="Arial" w:cs="Arial"/>
          <w:sz w:val="24"/>
          <w:szCs w:val="24"/>
        </w:rPr>
        <w:t>gdosgovpl</w:t>
      </w:r>
      <w:proofErr w:type="spellEnd"/>
      <w:r w:rsidRPr="00DF5CF7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DF5CF7">
        <w:rPr>
          <w:rFonts w:ascii="Arial" w:eastAsia="Times New Roman" w:hAnsi="Arial" w:cs="Arial"/>
          <w:sz w:val="24"/>
          <w:szCs w:val="24"/>
        </w:rPr>
        <w:t>SkrytkaESP</w:t>
      </w:r>
      <w:proofErr w:type="spellEnd"/>
      <w:r w:rsidRPr="00DF5CF7">
        <w:rPr>
          <w:rFonts w:ascii="Arial" w:eastAsia="Times New Roman" w:hAnsi="Arial" w:cs="Arial"/>
          <w:sz w:val="24"/>
          <w:szCs w:val="24"/>
        </w:rPr>
        <w:t>, natomiast w formie papierowej – na adres siedziby Generalnej Dyrekcji Ochrony Środowiska: Al. Jerozolimskie 136, 02-305 Warszawa.</w:t>
      </w:r>
      <w:bookmarkEnd w:id="5"/>
    </w:p>
    <w:p w14:paraId="68D3EE83" w14:textId="77777777" w:rsidR="00D10C4E" w:rsidRPr="00DF5CF7" w:rsidRDefault="00D10C4E" w:rsidP="00DF5CF7">
      <w:pPr>
        <w:spacing w:after="120" w:line="312" w:lineRule="auto"/>
        <w:rPr>
          <w:rFonts w:ascii="Arial" w:hAnsi="Arial" w:cs="Arial"/>
          <w:sz w:val="24"/>
          <w:szCs w:val="24"/>
        </w:rPr>
      </w:pPr>
    </w:p>
    <w:p w14:paraId="2571FB8C" w14:textId="77777777" w:rsidR="00D10C4E" w:rsidRPr="00DF5CF7" w:rsidRDefault="00662ACB" w:rsidP="00DF5CF7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3C39B7" wp14:editId="047F0A4F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37CB8D" w14:textId="77777777" w:rsidR="00D10C4E" w:rsidRPr="00BF015D" w:rsidRDefault="00662ACB" w:rsidP="00DF5CF7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</w:rPr>
                            </w:pPr>
                            <w:bookmarkStart w:id="9" w:name="_Hlk205499864"/>
                            <w:r w:rsidRPr="00BF015D">
                              <w:rPr>
                                <w:rFonts w:ascii="Arial" w:hAnsi="Arial" w:cs="Arial"/>
                              </w:rPr>
                              <w:t>PIOTR OTAWSKI</w:t>
                            </w:r>
                          </w:p>
                          <w:p w14:paraId="0A88BE30" w14:textId="77777777" w:rsidR="00D10C4E" w:rsidRPr="00BF015D" w:rsidRDefault="00662ACB" w:rsidP="00DF5CF7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BF015D">
                              <w:rPr>
                                <w:rFonts w:ascii="Arial" w:hAnsi="Arial" w:cs="Arial"/>
                              </w:rPr>
                              <w:t>Generalny Dyrektor Ochrony Środowiska</w:t>
                            </w:r>
                          </w:p>
                          <w:p w14:paraId="3AF4E25F" w14:textId="77777777" w:rsidR="00D10C4E" w:rsidRPr="00D771A3" w:rsidRDefault="00662ACB" w:rsidP="00D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</w:pPr>
                            <w:r w:rsidRPr="00BF015D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/podpis elektroniczny/</w:t>
                            </w:r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3C39B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2F37CB8D" w14:textId="77777777" w:rsidR="00D10C4E" w:rsidRPr="00BF015D" w:rsidRDefault="00662ACB" w:rsidP="00DF5CF7">
                      <w:pPr>
                        <w:spacing w:after="60" w:line="240" w:lineRule="auto"/>
                        <w:rPr>
                          <w:rFonts w:ascii="Arial" w:hAnsi="Arial" w:cs="Arial"/>
                        </w:rPr>
                      </w:pPr>
                      <w:bookmarkStart w:id="10" w:name="_Hlk205499864"/>
                      <w:r w:rsidRPr="00BF015D">
                        <w:rPr>
                          <w:rFonts w:ascii="Arial" w:hAnsi="Arial" w:cs="Arial"/>
                        </w:rPr>
                        <w:t>PIOTR OTAWSKI</w:t>
                      </w:r>
                    </w:p>
                    <w:p w14:paraId="0A88BE30" w14:textId="77777777" w:rsidR="00D10C4E" w:rsidRPr="00BF015D" w:rsidRDefault="00662ACB" w:rsidP="00DF5CF7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BF015D">
                        <w:rPr>
                          <w:rFonts w:ascii="Arial" w:hAnsi="Arial" w:cs="Arial"/>
                        </w:rPr>
                        <w:t>Generalny Dyrektor Ochrony Środowiska</w:t>
                      </w:r>
                    </w:p>
                    <w:p w14:paraId="3AF4E25F" w14:textId="77777777" w:rsidR="00D10C4E" w:rsidRPr="00D771A3" w:rsidRDefault="00662ACB" w:rsidP="00DF5CF7">
                      <w:pPr>
                        <w:spacing w:after="0" w:line="240" w:lineRule="auto"/>
                        <w:rPr>
                          <w:rFonts w:ascii="Arial" w:hAnsi="Arial" w:cs="Arial"/>
                          <w:color w:val="7F7F7F" w:themeColor="text1" w:themeTint="80"/>
                        </w:rPr>
                      </w:pPr>
                      <w:r w:rsidRPr="00BF015D">
                        <w:rPr>
                          <w:rFonts w:ascii="Arial" w:hAnsi="Arial" w:cs="Arial"/>
                          <w:color w:val="7F7F7F" w:themeColor="text1" w:themeTint="80"/>
                        </w:rPr>
                        <w:t>/podpis elektroniczny/</w:t>
                      </w:r>
                      <w:bookmarkEnd w:id="1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0CBE92D" w14:textId="77777777" w:rsidR="00D10C4E" w:rsidRPr="00DF5CF7" w:rsidRDefault="00D10C4E" w:rsidP="00DF5CF7">
      <w:pPr>
        <w:rPr>
          <w:sz w:val="24"/>
          <w:szCs w:val="24"/>
        </w:rPr>
      </w:pPr>
    </w:p>
    <w:p w14:paraId="49BD297B" w14:textId="77777777" w:rsidR="00D10C4E" w:rsidRPr="00DF5CF7" w:rsidRDefault="00662ACB" w:rsidP="00DF5CF7">
      <w:pPr>
        <w:pStyle w:val="Akapitzlist"/>
        <w:spacing w:line="288" w:lineRule="auto"/>
        <w:ind w:left="0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Otrzymują:</w:t>
      </w:r>
    </w:p>
    <w:p w14:paraId="78ED2E1E" w14:textId="77777777" w:rsidR="00D10C4E" w:rsidRPr="00DF5CF7" w:rsidRDefault="00662ACB" w:rsidP="00DF5CF7">
      <w:pPr>
        <w:pStyle w:val="Akapitzlist"/>
        <w:numPr>
          <w:ilvl w:val="0"/>
          <w:numId w:val="4"/>
        </w:numPr>
        <w:tabs>
          <w:tab w:val="left" w:pos="284"/>
        </w:tabs>
        <w:spacing w:after="240" w:line="288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lastRenderedPageBreak/>
        <w:t>RWE Energie Odnawialne sp. z o.o.;</w:t>
      </w:r>
    </w:p>
    <w:p w14:paraId="3E0F3E51" w14:textId="77777777" w:rsidR="00D10C4E" w:rsidRPr="00DF5CF7" w:rsidRDefault="00662ACB" w:rsidP="00DF5CF7">
      <w:pPr>
        <w:pStyle w:val="Akapitzlist"/>
        <w:numPr>
          <w:ilvl w:val="0"/>
          <w:numId w:val="4"/>
        </w:numPr>
        <w:tabs>
          <w:tab w:val="left" w:pos="284"/>
        </w:tabs>
        <w:spacing w:after="240" w:line="288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pozostałe strony postępowania, zgodnie z art. 49 k.p.a. w zw. z art. 74 ust. 3 u.o.o.ś.</w:t>
      </w:r>
    </w:p>
    <w:p w14:paraId="69D6885C" w14:textId="77777777" w:rsidR="00D10C4E" w:rsidRPr="00DF5CF7" w:rsidRDefault="00662ACB" w:rsidP="00DF5CF7">
      <w:pPr>
        <w:tabs>
          <w:tab w:val="left" w:pos="284"/>
        </w:tabs>
        <w:spacing w:after="0" w:line="288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>Do wiadomości:</w:t>
      </w:r>
    </w:p>
    <w:p w14:paraId="663A1094" w14:textId="77777777" w:rsidR="00D10C4E" w:rsidRPr="00DF5CF7" w:rsidRDefault="00662ACB" w:rsidP="00DF5CF7">
      <w:pPr>
        <w:pStyle w:val="Akapitzlist"/>
        <w:numPr>
          <w:ilvl w:val="0"/>
          <w:numId w:val="5"/>
        </w:numPr>
        <w:tabs>
          <w:tab w:val="left" w:pos="284"/>
        </w:tabs>
        <w:spacing w:after="240" w:line="288" w:lineRule="auto"/>
        <w:rPr>
          <w:rFonts w:ascii="Arial" w:hAnsi="Arial" w:cs="Arial"/>
          <w:sz w:val="24"/>
          <w:szCs w:val="24"/>
        </w:rPr>
      </w:pPr>
      <w:r w:rsidRPr="00DF5CF7">
        <w:rPr>
          <w:rFonts w:ascii="Arial" w:hAnsi="Arial" w:cs="Arial"/>
          <w:sz w:val="24"/>
          <w:szCs w:val="24"/>
        </w:rPr>
        <w:t xml:space="preserve">Regionalny Dyrektor Ochrony Środowiska </w:t>
      </w:r>
      <w:r w:rsidRPr="00DF5CF7">
        <w:rPr>
          <w:rFonts w:ascii="Arial" w:hAnsi="Arial" w:cs="Arial"/>
          <w:color w:val="000000"/>
          <w:sz w:val="24"/>
          <w:szCs w:val="24"/>
        </w:rPr>
        <w:t xml:space="preserve">w </w:t>
      </w:r>
      <w:r w:rsidRPr="00DF5CF7">
        <w:rPr>
          <w:rFonts w:ascii="Arial" w:hAnsi="Arial" w:cs="Arial"/>
          <w:color w:val="000000"/>
          <w:sz w:val="24"/>
          <w:szCs w:val="24"/>
        </w:rPr>
        <w:t>Gorzowie Wielkopolskim.</w:t>
      </w:r>
    </w:p>
    <w:p w14:paraId="5C9AF1D4" w14:textId="77777777" w:rsidR="00D10C4E" w:rsidRPr="00DF5CF7" w:rsidRDefault="00D10C4E" w:rsidP="00DF5CF7">
      <w:pPr>
        <w:rPr>
          <w:sz w:val="24"/>
          <w:szCs w:val="24"/>
        </w:rPr>
      </w:pPr>
    </w:p>
    <w:sectPr w:rsidR="00D10C4E" w:rsidRPr="00DF5CF7" w:rsidSect="0075694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6F12" w14:textId="77777777" w:rsidR="00662ACB" w:rsidRDefault="00662ACB">
      <w:pPr>
        <w:spacing w:after="0" w:line="240" w:lineRule="auto"/>
      </w:pPr>
      <w:r>
        <w:separator/>
      </w:r>
    </w:p>
  </w:endnote>
  <w:endnote w:type="continuationSeparator" w:id="0">
    <w:p w14:paraId="47E1336F" w14:textId="77777777" w:rsidR="00662ACB" w:rsidRDefault="0066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48396"/>
      <w:docPartObj>
        <w:docPartGallery w:val="Page Numbers (Bottom of Page)"/>
        <w:docPartUnique/>
      </w:docPartObj>
    </w:sdtPr>
    <w:sdtEndPr/>
    <w:sdtContent>
      <w:p w14:paraId="18CD7D7C" w14:textId="77777777" w:rsidR="00D10C4E" w:rsidRDefault="00662ACB" w:rsidP="00D323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187F" w14:textId="77777777" w:rsidR="00662ACB" w:rsidRDefault="00662ACB">
      <w:pPr>
        <w:spacing w:after="0" w:line="240" w:lineRule="auto"/>
      </w:pPr>
      <w:r>
        <w:separator/>
      </w:r>
    </w:p>
  </w:footnote>
  <w:footnote w:type="continuationSeparator" w:id="0">
    <w:p w14:paraId="47336AA2" w14:textId="77777777" w:rsidR="00662ACB" w:rsidRDefault="00662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0EE7" w14:textId="77777777" w:rsidR="00D10C4E" w:rsidRDefault="00D10C4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472CCF" w14:paraId="0091D995" w14:textId="77777777" w:rsidTr="003E67BC">
      <w:trPr>
        <w:trHeight w:val="470"/>
      </w:trPr>
      <w:tc>
        <w:tcPr>
          <w:tcW w:w="4641" w:type="dxa"/>
          <w:vAlign w:val="center"/>
        </w:tcPr>
        <w:p w14:paraId="0AE83DB3" w14:textId="77777777" w:rsidR="00D10C4E" w:rsidRDefault="00662ACB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  <w:r>
            <w:rPr>
              <w:noProof/>
              <w:lang w:eastAsia="pl-PL"/>
            </w:rPr>
            <w:drawing>
              <wp:inline distT="0" distB="0" distL="0" distR="0" wp14:anchorId="74C235D3" wp14:editId="5997CA46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A93C5D6" w14:textId="77777777" w:rsidR="00D10C4E" w:rsidRPr="00A3212B" w:rsidRDefault="00662ACB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621952FF" w14:textId="77777777" w:rsidR="00D10C4E" w:rsidRPr="00A65CAB" w:rsidRDefault="00662ACB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7654CD8B" w14:textId="77777777" w:rsidR="00D10C4E" w:rsidRDefault="00D10C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CAC"/>
    <w:multiLevelType w:val="hybridMultilevel"/>
    <w:tmpl w:val="2CC62126"/>
    <w:lvl w:ilvl="0" w:tplc="B3F2B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D6B9EA">
      <w:start w:val="1"/>
      <w:numFmt w:val="lowerLetter"/>
      <w:lvlText w:val="%2."/>
      <w:lvlJc w:val="left"/>
      <w:pPr>
        <w:ind w:left="1440" w:hanging="360"/>
      </w:pPr>
    </w:lvl>
    <w:lvl w:ilvl="2" w:tplc="BC9EADB6" w:tentative="1">
      <w:start w:val="1"/>
      <w:numFmt w:val="lowerRoman"/>
      <w:lvlText w:val="%3."/>
      <w:lvlJc w:val="right"/>
      <w:pPr>
        <w:ind w:left="2160" w:hanging="180"/>
      </w:pPr>
    </w:lvl>
    <w:lvl w:ilvl="3" w:tplc="BD306298" w:tentative="1">
      <w:start w:val="1"/>
      <w:numFmt w:val="decimal"/>
      <w:lvlText w:val="%4."/>
      <w:lvlJc w:val="left"/>
      <w:pPr>
        <w:ind w:left="2880" w:hanging="360"/>
      </w:pPr>
    </w:lvl>
    <w:lvl w:ilvl="4" w:tplc="EB6AF1C0" w:tentative="1">
      <w:start w:val="1"/>
      <w:numFmt w:val="lowerLetter"/>
      <w:lvlText w:val="%5."/>
      <w:lvlJc w:val="left"/>
      <w:pPr>
        <w:ind w:left="3600" w:hanging="360"/>
      </w:pPr>
    </w:lvl>
    <w:lvl w:ilvl="5" w:tplc="18D05FC4" w:tentative="1">
      <w:start w:val="1"/>
      <w:numFmt w:val="lowerRoman"/>
      <w:lvlText w:val="%6."/>
      <w:lvlJc w:val="right"/>
      <w:pPr>
        <w:ind w:left="4320" w:hanging="180"/>
      </w:pPr>
    </w:lvl>
    <w:lvl w:ilvl="6" w:tplc="81700D08" w:tentative="1">
      <w:start w:val="1"/>
      <w:numFmt w:val="decimal"/>
      <w:lvlText w:val="%7."/>
      <w:lvlJc w:val="left"/>
      <w:pPr>
        <w:ind w:left="5040" w:hanging="360"/>
      </w:pPr>
    </w:lvl>
    <w:lvl w:ilvl="7" w:tplc="2E5E463E" w:tentative="1">
      <w:start w:val="1"/>
      <w:numFmt w:val="lowerLetter"/>
      <w:lvlText w:val="%8."/>
      <w:lvlJc w:val="left"/>
      <w:pPr>
        <w:ind w:left="5760" w:hanging="360"/>
      </w:pPr>
    </w:lvl>
    <w:lvl w:ilvl="8" w:tplc="23140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3680E"/>
    <w:multiLevelType w:val="hybridMultilevel"/>
    <w:tmpl w:val="76122A18"/>
    <w:lvl w:ilvl="0" w:tplc="F89861BE">
      <w:start w:val="1"/>
      <w:numFmt w:val="decimal"/>
      <w:lvlText w:val="%1."/>
      <w:lvlJc w:val="left"/>
      <w:pPr>
        <w:ind w:left="720" w:hanging="360"/>
      </w:pPr>
    </w:lvl>
    <w:lvl w:ilvl="1" w:tplc="2C9E1734" w:tentative="1">
      <w:start w:val="1"/>
      <w:numFmt w:val="lowerLetter"/>
      <w:lvlText w:val="%2."/>
      <w:lvlJc w:val="left"/>
      <w:pPr>
        <w:ind w:left="1440" w:hanging="360"/>
      </w:pPr>
    </w:lvl>
    <w:lvl w:ilvl="2" w:tplc="AA1EBACA" w:tentative="1">
      <w:start w:val="1"/>
      <w:numFmt w:val="lowerRoman"/>
      <w:lvlText w:val="%3."/>
      <w:lvlJc w:val="right"/>
      <w:pPr>
        <w:ind w:left="2160" w:hanging="180"/>
      </w:pPr>
    </w:lvl>
    <w:lvl w:ilvl="3" w:tplc="8AE2A5DC" w:tentative="1">
      <w:start w:val="1"/>
      <w:numFmt w:val="decimal"/>
      <w:lvlText w:val="%4."/>
      <w:lvlJc w:val="left"/>
      <w:pPr>
        <w:ind w:left="2880" w:hanging="360"/>
      </w:pPr>
    </w:lvl>
    <w:lvl w:ilvl="4" w:tplc="8A7078BC" w:tentative="1">
      <w:start w:val="1"/>
      <w:numFmt w:val="lowerLetter"/>
      <w:lvlText w:val="%5."/>
      <w:lvlJc w:val="left"/>
      <w:pPr>
        <w:ind w:left="3600" w:hanging="360"/>
      </w:pPr>
    </w:lvl>
    <w:lvl w:ilvl="5" w:tplc="4158586C" w:tentative="1">
      <w:start w:val="1"/>
      <w:numFmt w:val="lowerRoman"/>
      <w:lvlText w:val="%6."/>
      <w:lvlJc w:val="right"/>
      <w:pPr>
        <w:ind w:left="4320" w:hanging="180"/>
      </w:pPr>
    </w:lvl>
    <w:lvl w:ilvl="6" w:tplc="91725D88" w:tentative="1">
      <w:start w:val="1"/>
      <w:numFmt w:val="decimal"/>
      <w:lvlText w:val="%7."/>
      <w:lvlJc w:val="left"/>
      <w:pPr>
        <w:ind w:left="5040" w:hanging="360"/>
      </w:pPr>
    </w:lvl>
    <w:lvl w:ilvl="7" w:tplc="83280BFE" w:tentative="1">
      <w:start w:val="1"/>
      <w:numFmt w:val="lowerLetter"/>
      <w:lvlText w:val="%8."/>
      <w:lvlJc w:val="left"/>
      <w:pPr>
        <w:ind w:left="5760" w:hanging="360"/>
      </w:pPr>
    </w:lvl>
    <w:lvl w:ilvl="8" w:tplc="75629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A737A"/>
    <w:multiLevelType w:val="hybridMultilevel"/>
    <w:tmpl w:val="BE0C6E60"/>
    <w:lvl w:ilvl="0" w:tplc="936C0B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64C59E" w:tentative="1">
      <w:start w:val="1"/>
      <w:numFmt w:val="lowerLetter"/>
      <w:lvlText w:val="%2."/>
      <w:lvlJc w:val="left"/>
      <w:pPr>
        <w:ind w:left="1440" w:hanging="360"/>
      </w:pPr>
    </w:lvl>
    <w:lvl w:ilvl="2" w:tplc="BC9AE44C" w:tentative="1">
      <w:start w:val="1"/>
      <w:numFmt w:val="lowerRoman"/>
      <w:lvlText w:val="%3."/>
      <w:lvlJc w:val="right"/>
      <w:pPr>
        <w:ind w:left="2160" w:hanging="180"/>
      </w:pPr>
    </w:lvl>
    <w:lvl w:ilvl="3" w:tplc="F53EE11E" w:tentative="1">
      <w:start w:val="1"/>
      <w:numFmt w:val="decimal"/>
      <w:lvlText w:val="%4."/>
      <w:lvlJc w:val="left"/>
      <w:pPr>
        <w:ind w:left="2880" w:hanging="360"/>
      </w:pPr>
    </w:lvl>
    <w:lvl w:ilvl="4" w:tplc="FA008B82" w:tentative="1">
      <w:start w:val="1"/>
      <w:numFmt w:val="lowerLetter"/>
      <w:lvlText w:val="%5."/>
      <w:lvlJc w:val="left"/>
      <w:pPr>
        <w:ind w:left="3600" w:hanging="360"/>
      </w:pPr>
    </w:lvl>
    <w:lvl w:ilvl="5" w:tplc="7F6482F2" w:tentative="1">
      <w:start w:val="1"/>
      <w:numFmt w:val="lowerRoman"/>
      <w:lvlText w:val="%6."/>
      <w:lvlJc w:val="right"/>
      <w:pPr>
        <w:ind w:left="4320" w:hanging="180"/>
      </w:pPr>
    </w:lvl>
    <w:lvl w:ilvl="6" w:tplc="01FC705C" w:tentative="1">
      <w:start w:val="1"/>
      <w:numFmt w:val="decimal"/>
      <w:lvlText w:val="%7."/>
      <w:lvlJc w:val="left"/>
      <w:pPr>
        <w:ind w:left="5040" w:hanging="360"/>
      </w:pPr>
    </w:lvl>
    <w:lvl w:ilvl="7" w:tplc="F0D01956" w:tentative="1">
      <w:start w:val="1"/>
      <w:numFmt w:val="lowerLetter"/>
      <w:lvlText w:val="%8."/>
      <w:lvlJc w:val="left"/>
      <w:pPr>
        <w:ind w:left="5760" w:hanging="360"/>
      </w:pPr>
    </w:lvl>
    <w:lvl w:ilvl="8" w:tplc="51D83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A7576"/>
    <w:multiLevelType w:val="hybridMultilevel"/>
    <w:tmpl w:val="E3A00B4A"/>
    <w:lvl w:ilvl="0" w:tplc="171E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A04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63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82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C7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7AD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8C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5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7A2A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E7FA0"/>
    <w:multiLevelType w:val="hybridMultilevel"/>
    <w:tmpl w:val="9C24BF2E"/>
    <w:lvl w:ilvl="0" w:tplc="C4F6A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9454E2" w:tentative="1">
      <w:start w:val="1"/>
      <w:numFmt w:val="lowerLetter"/>
      <w:lvlText w:val="%2."/>
      <w:lvlJc w:val="left"/>
      <w:pPr>
        <w:ind w:left="1440" w:hanging="360"/>
      </w:pPr>
    </w:lvl>
    <w:lvl w:ilvl="2" w:tplc="C762AA14" w:tentative="1">
      <w:start w:val="1"/>
      <w:numFmt w:val="lowerRoman"/>
      <w:lvlText w:val="%3."/>
      <w:lvlJc w:val="right"/>
      <w:pPr>
        <w:ind w:left="2160" w:hanging="180"/>
      </w:pPr>
    </w:lvl>
    <w:lvl w:ilvl="3" w:tplc="4B80DF96" w:tentative="1">
      <w:start w:val="1"/>
      <w:numFmt w:val="decimal"/>
      <w:lvlText w:val="%4."/>
      <w:lvlJc w:val="left"/>
      <w:pPr>
        <w:ind w:left="2880" w:hanging="360"/>
      </w:pPr>
    </w:lvl>
    <w:lvl w:ilvl="4" w:tplc="1504788C" w:tentative="1">
      <w:start w:val="1"/>
      <w:numFmt w:val="lowerLetter"/>
      <w:lvlText w:val="%5."/>
      <w:lvlJc w:val="left"/>
      <w:pPr>
        <w:ind w:left="3600" w:hanging="360"/>
      </w:pPr>
    </w:lvl>
    <w:lvl w:ilvl="5" w:tplc="2A869E08" w:tentative="1">
      <w:start w:val="1"/>
      <w:numFmt w:val="lowerRoman"/>
      <w:lvlText w:val="%6."/>
      <w:lvlJc w:val="right"/>
      <w:pPr>
        <w:ind w:left="4320" w:hanging="180"/>
      </w:pPr>
    </w:lvl>
    <w:lvl w:ilvl="6" w:tplc="24F2D582" w:tentative="1">
      <w:start w:val="1"/>
      <w:numFmt w:val="decimal"/>
      <w:lvlText w:val="%7."/>
      <w:lvlJc w:val="left"/>
      <w:pPr>
        <w:ind w:left="5040" w:hanging="360"/>
      </w:pPr>
    </w:lvl>
    <w:lvl w:ilvl="7" w:tplc="59C2BE02" w:tentative="1">
      <w:start w:val="1"/>
      <w:numFmt w:val="lowerLetter"/>
      <w:lvlText w:val="%8."/>
      <w:lvlJc w:val="left"/>
      <w:pPr>
        <w:ind w:left="5760" w:hanging="360"/>
      </w:pPr>
    </w:lvl>
    <w:lvl w:ilvl="8" w:tplc="0DC82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01CE"/>
    <w:multiLevelType w:val="hybridMultilevel"/>
    <w:tmpl w:val="E5688950"/>
    <w:lvl w:ilvl="0" w:tplc="29E6B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C009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4B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07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E27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83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EB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203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4C3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142A4"/>
    <w:multiLevelType w:val="hybridMultilevel"/>
    <w:tmpl w:val="2AE8571A"/>
    <w:lvl w:ilvl="0" w:tplc="7CE82D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5CACAE" w:tentative="1">
      <w:start w:val="1"/>
      <w:numFmt w:val="lowerLetter"/>
      <w:lvlText w:val="%2."/>
      <w:lvlJc w:val="left"/>
      <w:pPr>
        <w:ind w:left="1440" w:hanging="360"/>
      </w:pPr>
    </w:lvl>
    <w:lvl w:ilvl="2" w:tplc="FB685658" w:tentative="1">
      <w:start w:val="1"/>
      <w:numFmt w:val="lowerRoman"/>
      <w:lvlText w:val="%3."/>
      <w:lvlJc w:val="right"/>
      <w:pPr>
        <w:ind w:left="2160" w:hanging="180"/>
      </w:pPr>
    </w:lvl>
    <w:lvl w:ilvl="3" w:tplc="C1E4EE52" w:tentative="1">
      <w:start w:val="1"/>
      <w:numFmt w:val="decimal"/>
      <w:lvlText w:val="%4."/>
      <w:lvlJc w:val="left"/>
      <w:pPr>
        <w:ind w:left="2880" w:hanging="360"/>
      </w:pPr>
    </w:lvl>
    <w:lvl w:ilvl="4" w:tplc="52BED784" w:tentative="1">
      <w:start w:val="1"/>
      <w:numFmt w:val="lowerLetter"/>
      <w:lvlText w:val="%5."/>
      <w:lvlJc w:val="left"/>
      <w:pPr>
        <w:ind w:left="3600" w:hanging="360"/>
      </w:pPr>
    </w:lvl>
    <w:lvl w:ilvl="5" w:tplc="687CD466" w:tentative="1">
      <w:start w:val="1"/>
      <w:numFmt w:val="lowerRoman"/>
      <w:lvlText w:val="%6."/>
      <w:lvlJc w:val="right"/>
      <w:pPr>
        <w:ind w:left="4320" w:hanging="180"/>
      </w:pPr>
    </w:lvl>
    <w:lvl w:ilvl="6" w:tplc="D5B63C90" w:tentative="1">
      <w:start w:val="1"/>
      <w:numFmt w:val="decimal"/>
      <w:lvlText w:val="%7."/>
      <w:lvlJc w:val="left"/>
      <w:pPr>
        <w:ind w:left="5040" w:hanging="360"/>
      </w:pPr>
    </w:lvl>
    <w:lvl w:ilvl="7" w:tplc="BCCED060" w:tentative="1">
      <w:start w:val="1"/>
      <w:numFmt w:val="lowerLetter"/>
      <w:lvlText w:val="%8."/>
      <w:lvlJc w:val="left"/>
      <w:pPr>
        <w:ind w:left="5760" w:hanging="360"/>
      </w:pPr>
    </w:lvl>
    <w:lvl w:ilvl="8" w:tplc="6780F4B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277149">
    <w:abstractNumId w:val="0"/>
  </w:num>
  <w:num w:numId="2" w16cid:durableId="885407770">
    <w:abstractNumId w:val="3"/>
  </w:num>
  <w:num w:numId="3" w16cid:durableId="682711875">
    <w:abstractNumId w:val="5"/>
  </w:num>
  <w:num w:numId="4" w16cid:durableId="1081486278">
    <w:abstractNumId w:val="1"/>
  </w:num>
  <w:num w:numId="5" w16cid:durableId="1721706891">
    <w:abstractNumId w:val="4"/>
  </w:num>
  <w:num w:numId="6" w16cid:durableId="722871245">
    <w:abstractNumId w:val="2"/>
  </w:num>
  <w:num w:numId="7" w16cid:durableId="153689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CF"/>
    <w:rsid w:val="00264BEB"/>
    <w:rsid w:val="00362F78"/>
    <w:rsid w:val="00472CCF"/>
    <w:rsid w:val="005831FC"/>
    <w:rsid w:val="00662ACB"/>
    <w:rsid w:val="00AA4503"/>
    <w:rsid w:val="00D10C4E"/>
    <w:rsid w:val="00D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55AD"/>
  <w15:docId w15:val="{03B7B6BF-449B-424E-B21B-2EA47C60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2F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2F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List Paragraph_0,Wyliczanie"/>
    <w:basedOn w:val="Normalny"/>
    <w:link w:val="AkapitzlistZnak"/>
    <w:uiPriority w:val="34"/>
    <w:qFormat/>
    <w:rsid w:val="00D771A3"/>
    <w:pPr>
      <w:ind w:left="720"/>
      <w:contextualSpacing/>
    </w:pPr>
  </w:style>
  <w:style w:type="character" w:customStyle="1" w:styleId="AkapitzlistZnak">
    <w:name w:val="Akapit z listą Znak"/>
    <w:aliases w:val="List Paragraph_0 Znak,Wyliczanie Znak"/>
    <w:link w:val="Akapitzlist"/>
    <w:uiPriority w:val="34"/>
    <w:rsid w:val="00D771A3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rsid w:val="00C862D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06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06F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6F6"/>
    <w:rPr>
      <w:b/>
      <w:bCs/>
      <w:lang w:eastAsia="en-US"/>
    </w:rPr>
  </w:style>
  <w:style w:type="paragraph" w:styleId="Poprawka">
    <w:name w:val="Revision"/>
    <w:hidden/>
    <w:uiPriority w:val="99"/>
    <w:semiHidden/>
    <w:rsid w:val="00D47B02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62F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2F7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62F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62F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9</Pages>
  <Words>2977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DOOŚ-WDŚII.420.25.2025.AWT.5</dc:title>
  <dc:creator>EZD</dc:creator>
  <cp:lastModifiedBy>Ewa Bakuła</cp:lastModifiedBy>
  <cp:revision>2</cp:revision>
  <cp:lastPrinted>2010-12-24T09:23:00Z</cp:lastPrinted>
  <dcterms:created xsi:type="dcterms:W3CDTF">2026-08-04T05:31:00Z</dcterms:created>
  <dcterms:modified xsi:type="dcterms:W3CDTF">2026-08-04T05:31:00Z</dcterms:modified>
</cp:coreProperties>
</file>