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44B7" w14:textId="513E210E"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zlecenie nr [●]</w:t>
      </w:r>
    </w:p>
    <w:p w14:paraId="5786F193" w14:textId="12C64998"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 xml:space="preserve">[świadczenie usług </w:t>
      </w:r>
      <w:r w:rsidR="009D34B5">
        <w:rPr>
          <w:rFonts w:eastAsia="Arial Unicode MS" w:cstheme="minorHAnsi"/>
          <w:lang w:eastAsia="pl-PL"/>
        </w:rPr>
        <w:t>poza działalnością]</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w imieniu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BF1EE03"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Pr="007337F8">
        <w:rPr>
          <w:rFonts w:cstheme="minorHAnsi"/>
        </w:rPr>
        <w:t xml:space="preserve">, </w:t>
      </w:r>
      <w:r w:rsidR="0005702B">
        <w:rPr>
          <w:rFonts w:cstheme="minorHAnsi"/>
        </w:rPr>
        <w:t xml:space="preserve">PESEL </w:t>
      </w:r>
      <w:r w:rsidR="0005702B" w:rsidRPr="007337F8">
        <w:rPr>
          <w:rFonts w:eastAsia="Arial Unicode MS" w:cstheme="minorHAnsi"/>
          <w:lang w:eastAsia="pl-PL"/>
        </w:rPr>
        <w:t>[●]</w:t>
      </w:r>
      <w:r w:rsidR="0005702B">
        <w:rPr>
          <w:rFonts w:eastAsia="Arial Unicode MS" w:cstheme="minorHAnsi"/>
          <w:lang w:eastAsia="pl-PL"/>
        </w:rPr>
        <w:t xml:space="preserve">, zam. </w:t>
      </w:r>
      <w:r w:rsidRPr="007337F8">
        <w:rPr>
          <w:rFonts w:eastAsia="Arial Unicode MS" w:cstheme="minorHAnsi"/>
          <w:lang w:eastAsia="pl-PL"/>
        </w:rPr>
        <w:t>[●]</w:t>
      </w:r>
      <w:r w:rsidRPr="007337F8">
        <w:rPr>
          <w:rFonts w:eastAsia="Times New Roman" w:cstheme="minorHAnsi"/>
          <w:lang w:eastAsia="pl-PL"/>
        </w:rPr>
        <w:t>, (</w:t>
      </w:r>
      <w:r w:rsidRPr="007337F8">
        <w:rPr>
          <w:rFonts w:eastAsia="Arial Unicode MS" w:cstheme="minorHAnsi"/>
          <w:lang w:eastAsia="pl-PL"/>
        </w:rPr>
        <w:t>[●]</w:t>
      </w:r>
      <w:r w:rsidRPr="007337F8">
        <w:rPr>
          <w:rFonts w:eastAsia="Times New Roman" w:cstheme="minorHAnsi"/>
          <w:lang w:eastAsia="pl-PL"/>
        </w:rPr>
        <w:t xml:space="preserve">) </w:t>
      </w:r>
      <w:r w:rsidRPr="007337F8">
        <w:rPr>
          <w:rFonts w:eastAsia="Arial Unicode MS" w:cstheme="minorHAnsi"/>
          <w:lang w:eastAsia="pl-PL"/>
        </w:rPr>
        <w:t>[●]</w:t>
      </w:r>
      <w:r w:rsidRPr="007337F8">
        <w:rPr>
          <w:rFonts w:eastAsia="Times New Roman" w:cstheme="minorHAnsi"/>
          <w:lang w:eastAsia="pl-PL"/>
        </w:rPr>
        <w:t>,</w:t>
      </w:r>
      <w:r w:rsidR="0005702B">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p>
    <w:p w14:paraId="0807576D"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77777777"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130 000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42A0A9C6"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A06BBF">
        <w:rPr>
          <w:rFonts w:eastAsia="Times New Roman" w:cstheme="minorHAnsi"/>
          <w:lang w:eastAsia="pl-PL"/>
        </w:rPr>
        <w:br/>
      </w:r>
      <w:r w:rsidRPr="007337F8">
        <w:rPr>
          <w:rFonts w:eastAsia="Times New Roman" w:cstheme="minorHAnsi"/>
          <w:lang w:eastAsia="pl-PL"/>
        </w:rPr>
        <w:t xml:space="preserve">00-454 Warszawa). Strony dopuszczają realizację Umowy poza siedzibą DIRS </w:t>
      </w:r>
      <w:r w:rsidR="00A06BBF">
        <w:rPr>
          <w:rFonts w:eastAsia="Times New Roman" w:cstheme="minorHAnsi"/>
          <w:lang w:eastAsia="pl-PL"/>
        </w:rPr>
        <w:t>w trybie zdalnym (online</w:t>
      </w:r>
      <w:r w:rsidR="00A06BBF" w:rsidRPr="007337F8">
        <w:rPr>
          <w:rFonts w:eastAsia="Times New Roman" w:cstheme="minorHAnsi"/>
          <w:lang w:eastAsia="pl-PL"/>
        </w:rPr>
        <w:t xml:space="preserve">) </w:t>
      </w:r>
      <w:r w:rsidRPr="007337F8">
        <w:rPr>
          <w:rFonts w:eastAsia="Times New Roman" w:cstheme="minorHAnsi"/>
          <w:lang w:eastAsia="pl-PL"/>
        </w:rPr>
        <w:t>wyłącznie w uzasadnionych przypadkach i dopiero po uzgodnieniu ze Zleceniodawcą.</w:t>
      </w:r>
    </w:p>
    <w:p w14:paraId="03A0C142" w14:textId="6AF7B131"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A06BBF" w:rsidRPr="00A06BBF">
        <w:rPr>
          <w:rFonts w:eastAsia="Times New Roman" w:cstheme="minorHAnsi"/>
          <w:lang w:eastAsia="pl-PL"/>
        </w:rPr>
        <w:t>Wydziału Utrzymania Infrastruktury</w:t>
      </w:r>
      <w:r w:rsidRPr="007337F8">
        <w:rPr>
          <w:rFonts w:eastAsia="Times New Roman" w:cstheme="minorHAnsi"/>
          <w:lang w:eastAsia="pl-PL"/>
        </w:rPr>
        <w:t>.</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0ECA2D78"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Umowa zostaje zawarta na</w:t>
      </w:r>
      <w:r w:rsidR="00FB558A" w:rsidRPr="007337F8">
        <w:rPr>
          <w:rFonts w:eastAsia="Times New Roman" w:cstheme="minorHAnsi"/>
          <w:lang w:eastAsia="pl-PL"/>
        </w:rPr>
        <w:t xml:space="preserve"> okres od </w:t>
      </w:r>
      <w:r w:rsidR="00F242A7">
        <w:rPr>
          <w:rFonts w:eastAsia="Arial Unicode MS" w:cstheme="minorHAnsi"/>
          <w:lang w:eastAsia="pl-PL"/>
        </w:rPr>
        <w:t>1 września 2024 r.</w:t>
      </w:r>
      <w:r w:rsidR="00FB558A" w:rsidRPr="007337F8">
        <w:rPr>
          <w:rFonts w:eastAsia="Times New Roman" w:cstheme="minorHAnsi"/>
          <w:lang w:eastAsia="pl-PL"/>
        </w:rPr>
        <w:t xml:space="preserve"> do </w:t>
      </w:r>
      <w:r w:rsidR="00F242A7">
        <w:rPr>
          <w:rFonts w:eastAsia="Arial Unicode MS" w:cstheme="minorHAnsi"/>
          <w:lang w:eastAsia="pl-PL"/>
        </w:rPr>
        <w:t>31 sierpnia 2025 r.</w:t>
      </w:r>
      <w:r w:rsidR="00FB558A" w:rsidRPr="007337F8">
        <w:rPr>
          <w:rFonts w:eastAsia="Times New Roman" w:cstheme="minorHAnsi"/>
          <w:lang w:eastAsia="pl-PL"/>
        </w:rPr>
        <w:t>,</w:t>
      </w:r>
      <w:r w:rsidR="00B23D66" w:rsidRPr="007337F8">
        <w:rPr>
          <w:rFonts w:eastAsia="Times New Roman" w:cstheme="minorHAnsi"/>
          <w:lang w:eastAsia="pl-PL"/>
        </w:rPr>
        <w:t xml:space="preserve"> z tym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6E5094A6" w14:textId="18FAE66E" w:rsidR="00FB558A" w:rsidRPr="001F7084" w:rsidRDefault="00B23D66" w:rsidP="001F7084">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r w:rsidR="00695950" w:rsidRPr="001F7084">
        <w:rPr>
          <w:rFonts w:eastAsia="Times New Roman" w:cstheme="minorHAnsi"/>
          <w:strike/>
          <w:lang w:eastAsia="pl-PL"/>
        </w:rPr>
        <w:t xml:space="preserve"> </w:t>
      </w:r>
    </w:p>
    <w:p w14:paraId="7D31138D" w14:textId="6C66D57C" w:rsidR="00340F35" w:rsidRPr="00340F35" w:rsidRDefault="00340F35" w:rsidP="001F7084">
      <w:pPr>
        <w:pStyle w:val="Akapitzlist"/>
        <w:numPr>
          <w:ilvl w:val="0"/>
          <w:numId w:val="33"/>
        </w:numPr>
        <w:spacing w:after="0" w:line="259" w:lineRule="auto"/>
        <w:jc w:val="both"/>
        <w:rPr>
          <w:rFonts w:eastAsia="Times New Roman" w:cstheme="minorHAnsi"/>
          <w:lang w:eastAsia="pl-PL"/>
        </w:rPr>
      </w:pPr>
      <w:r w:rsidRPr="001F7084">
        <w:rPr>
          <w:rFonts w:eastAsia="Times New Roman" w:cstheme="minorHAnsi"/>
          <w:lang w:eastAsia="pl-PL"/>
        </w:rPr>
        <w:t xml:space="preserve">Przedmiot Umowy będzie realizowany </w:t>
      </w:r>
      <w:r w:rsidR="001F7084" w:rsidRPr="001F7084">
        <w:rPr>
          <w:rFonts w:eastAsia="Times New Roman" w:cstheme="minorHAnsi"/>
          <w:lang w:eastAsia="pl-PL"/>
        </w:rPr>
        <w:t>zgodnie z grafikiem ustalonym przez Zleceniobiorcę w uzgodnieniu ze Zleceniodawcą, przy czym – o ile Strony nie uzgodnią inaczej, albo w braku takiego grafiku – usługi świadczone będą przez Zleceniobiorcę w dni robocze przez przeciętnie 40 godzin tygodniowo w godzinach przypadających pomiędzy 8.00 a 17.00.</w:t>
      </w:r>
    </w:p>
    <w:p w14:paraId="2463A748" w14:textId="5E9B3892" w:rsidR="00FB558A" w:rsidRPr="007337F8" w:rsidRDefault="00695950" w:rsidP="00BC5152">
      <w:pPr>
        <w:numPr>
          <w:ilvl w:val="0"/>
          <w:numId w:val="33"/>
        </w:numPr>
        <w:spacing w:before="60" w:after="60" w:line="259" w:lineRule="auto"/>
        <w:jc w:val="both"/>
        <w:rPr>
          <w:rFonts w:eastAsia="Times New Roman" w:cstheme="minorHAnsi"/>
          <w:lang w:eastAsia="pl-PL"/>
        </w:rPr>
      </w:pPr>
      <w:r w:rsidRPr="00695950">
        <w:rPr>
          <w:rFonts w:eastAsia="Times New Roman" w:cstheme="minorHAnsi"/>
          <w:lang w:eastAsia="pl-PL"/>
        </w:rPr>
        <w:t>Na każde wezwanie Zleceniodawcy, wystosowane do Zleceniobiorcy nie częściej niż 5 razy w miesiącu kalendarzowym, przedmiot Umowy będzie realizowany w godzinach i dniach, które pierwotnie nie były uwzględnione w grafiku.</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razie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53754F9D" w14:textId="684E1DFD"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D303E4" w:rsidRPr="007337F8">
        <w:rPr>
          <w:rFonts w:eastAsia="Times New Roman" w:cstheme="minorHAnsi"/>
          <w:lang w:eastAsia="pl-PL"/>
        </w:rPr>
        <w:t xml:space="preserve"> i nie może </w:t>
      </w:r>
      <w:r w:rsidRPr="007337F8">
        <w:rPr>
          <w:rFonts w:eastAsia="Times New Roman" w:cstheme="minorHAnsi"/>
          <w:lang w:eastAsia="pl-PL"/>
        </w:rPr>
        <w:t>powierz</w:t>
      </w:r>
      <w:r w:rsidR="00D303E4" w:rsidRPr="007337F8">
        <w:rPr>
          <w:rFonts w:eastAsia="Times New Roman" w:cstheme="minorHAnsi"/>
          <w:lang w:eastAsia="pl-PL"/>
        </w:rPr>
        <w:t xml:space="preserve">yć </w:t>
      </w:r>
      <w:r w:rsidRPr="007337F8">
        <w:rPr>
          <w:rFonts w:eastAsia="Times New Roman" w:cstheme="minorHAnsi"/>
          <w:lang w:eastAsia="pl-PL"/>
        </w:rPr>
        <w:t>osobie trzeciej realizacji Umowy w całości ani w części.</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4CC53D45"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26C3BDE"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28305A09" w14:textId="59CD831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Do bieżącej współpracy Stron w zakresie realizacji niniejszej Umowy</w:t>
      </w:r>
      <w:r w:rsidR="007D5ABF" w:rsidRPr="007337F8">
        <w:rPr>
          <w:rFonts w:cstheme="minorHAnsi"/>
        </w:rPr>
        <w:t xml:space="preserve"> (w tym podpisywania protokołów),</w:t>
      </w:r>
      <w:r w:rsidRPr="007337F8">
        <w:rPr>
          <w:rFonts w:cstheme="minorHAnsi"/>
        </w:rPr>
        <w:t xml:space="preserve"> </w:t>
      </w:r>
      <w:r w:rsidR="00147E9B" w:rsidRPr="007337F8">
        <w:rPr>
          <w:rFonts w:cstheme="minorHAnsi"/>
        </w:rPr>
        <w:t>Zleceniobiorca</w:t>
      </w:r>
      <w:r w:rsidRPr="007337F8">
        <w:rPr>
          <w:rFonts w:cstheme="minorHAnsi"/>
        </w:rPr>
        <w:t xml:space="preserve"> upoważnia następujące osoby:</w:t>
      </w:r>
    </w:p>
    <w:p w14:paraId="61FACEEE" w14:textId="77777777" w:rsidR="001872DB" w:rsidRPr="007337F8" w:rsidRDefault="001872DB" w:rsidP="00BC5152">
      <w:pPr>
        <w:numPr>
          <w:ilvl w:val="0"/>
          <w:numId w:val="44"/>
        </w:numPr>
        <w:tabs>
          <w:tab w:val="clear" w:pos="1080"/>
        </w:tabs>
        <w:spacing w:before="60" w:after="60" w:line="259" w:lineRule="auto"/>
        <w:ind w:left="709"/>
        <w:jc w:val="both"/>
        <w:rPr>
          <w:rFonts w:cstheme="minorHAnsi"/>
        </w:rPr>
      </w:pPr>
      <w:r w:rsidRPr="007337F8">
        <w:rPr>
          <w:rFonts w:cstheme="minorHAnsi"/>
        </w:rPr>
        <w:t>[●], tel. [●], e-mail [●];</w:t>
      </w:r>
    </w:p>
    <w:p w14:paraId="6DE15B1F" w14:textId="77777777" w:rsidR="001872DB" w:rsidRPr="007337F8" w:rsidRDefault="001872DB" w:rsidP="00BC5152">
      <w:pPr>
        <w:numPr>
          <w:ilvl w:val="0"/>
          <w:numId w:val="44"/>
        </w:numPr>
        <w:tabs>
          <w:tab w:val="clear" w:pos="1080"/>
        </w:tabs>
        <w:spacing w:before="60" w:after="60" w:line="259" w:lineRule="auto"/>
        <w:ind w:left="709"/>
        <w:jc w:val="both"/>
        <w:rPr>
          <w:rFonts w:cstheme="minorHAnsi"/>
        </w:rPr>
      </w:pPr>
      <w:r w:rsidRPr="007337F8">
        <w:rPr>
          <w:rFonts w:cstheme="minorHAnsi"/>
        </w:rPr>
        <w:t>[●], tel. [●], e-mail [●].</w:t>
      </w:r>
    </w:p>
    <w:p w14:paraId="7971AC38" w14:textId="77777777"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 xml:space="preserve">Wszelka korespondencja dotycząca Umowy, prowadzona będzie w postaci elektronicznej (zwykłą pocztą elektroniczną, tj. bez opatrywania jej kwalifikowanym podpisem elektronicznym), chyba że </w:t>
      </w:r>
      <w:r w:rsidRPr="007337F8">
        <w:rPr>
          <w:rFonts w:cstheme="minorHAnsi"/>
        </w:rPr>
        <w:lastRenderedPageBreak/>
        <w:t>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98CA031"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11,</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011D6E4"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70E03" w:rsidRPr="007337F8">
        <w:rPr>
          <w:rFonts w:eastAsia="Times New Roman" w:cstheme="minorHAnsi"/>
          <w:lang w:eastAsia="pl-PL"/>
        </w:rPr>
        <w:t>faktury</w:t>
      </w:r>
      <w:r w:rsidR="00FE568A"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6A1AD7E" w14:textId="0FBBFADD" w:rsidR="00D303E4" w:rsidRPr="007337F8" w:rsidRDefault="00D303E4" w:rsidP="00D303E4">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 w tym należny podatek od towarów i usług.</w:t>
      </w:r>
    </w:p>
    <w:p w14:paraId="78D6912D" w14:textId="3EE9873A" w:rsidR="00881E34" w:rsidRPr="007337F8" w:rsidRDefault="001657E6"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p>
    <w:p w14:paraId="26435B59" w14:textId="75C6B838" w:rsidR="00671FBE" w:rsidRPr="007337F8" w:rsidRDefault="00DA7F75"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wynagrodzenie twórcy oraz tytułem przeniesienia praw własności intelektualnej. </w:t>
      </w:r>
      <w:r w:rsidR="00671FBE" w:rsidRPr="007337F8">
        <w:rPr>
          <w:rFonts w:eastAsia="Times New Roman" w:cstheme="minorHAnsi"/>
          <w:lang w:eastAsia="pl-PL"/>
        </w:rPr>
        <w:t>Stosowanie artykułów 742 i 743 Kodeksu cywilnego wyłącza się.</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7777777" w:rsidR="001B2188" w:rsidRPr="001B2188" w:rsidRDefault="001B2188" w:rsidP="001B2188">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p>
    <w:p w14:paraId="3D927234" w14:textId="12FCE5AC" w:rsidR="001B2188" w:rsidRPr="001B2188" w:rsidRDefault="001B2188" w:rsidP="001B2188">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Z wynagrodzenia umownego obliczonego stosownie do zdania poprzedzającego,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 Dane płatnika do rachunków: Ministerstwo Sprawiedliwości, Aleje Ujazdowskie 11, 00-567 Warszawa, NIP: 5261673166</w:t>
      </w:r>
    </w:p>
    <w:p w14:paraId="755C062A" w14:textId="42384A53" w:rsidR="008A7E12" w:rsidRPr="008A7E12" w:rsidRDefault="001B2188" w:rsidP="008A7E12">
      <w:pPr>
        <w:numPr>
          <w:ilvl w:val="0"/>
          <w:numId w:val="18"/>
        </w:numPr>
        <w:spacing w:before="60" w:after="60" w:line="259" w:lineRule="auto"/>
        <w:ind w:left="357" w:hanging="357"/>
        <w:jc w:val="both"/>
        <w:rPr>
          <w:rFonts w:eastAsia="Times New Roman" w:cstheme="minorHAnsi"/>
          <w:lang w:eastAsia="pl-PL"/>
        </w:rPr>
      </w:pPr>
      <w:bookmarkStart w:id="0" w:name="_Hlk129076963"/>
      <w:r>
        <w:rPr>
          <w:rFonts w:eastAsia="Times New Roman" w:cstheme="minorHAnsi"/>
          <w:lang w:eastAsia="pl-PL"/>
        </w:rPr>
        <w:t>Rachunki</w:t>
      </w:r>
      <w:r w:rsidR="008A7E12" w:rsidRPr="008A7E12">
        <w:rPr>
          <w:rFonts w:eastAsia="Times New Roman" w:cstheme="minorHAnsi"/>
          <w:lang w:eastAsia="pl-PL"/>
        </w:rPr>
        <w:t xml:space="preserve"> tytułem należnego mu wynagrodzenia </w:t>
      </w:r>
      <w:r>
        <w:rPr>
          <w:rFonts w:eastAsia="Times New Roman" w:cstheme="minorHAnsi"/>
          <w:lang w:eastAsia="pl-PL"/>
        </w:rPr>
        <w:t>Zleceniobiorca</w:t>
      </w:r>
      <w:r w:rsidR="008A7E12" w:rsidRPr="008A7E12">
        <w:rPr>
          <w:rFonts w:eastAsia="Times New Roman" w:cstheme="minorHAnsi"/>
          <w:lang w:eastAsia="pl-PL"/>
        </w:rPr>
        <w:t xml:space="preserve"> wystawi na </w:t>
      </w:r>
      <w:r w:rsidR="008A7E12">
        <w:rPr>
          <w:rFonts w:eastAsia="Times New Roman" w:cstheme="minorHAnsi"/>
          <w:lang w:eastAsia="pl-PL"/>
        </w:rPr>
        <w:t>płatnika/</w:t>
      </w:r>
      <w:r w:rsidR="008A7E12" w:rsidRPr="008A7E12">
        <w:rPr>
          <w:rFonts w:eastAsia="Times New Roman" w:cstheme="minorHAnsi"/>
          <w:lang w:eastAsia="pl-PL"/>
        </w:rPr>
        <w:t xml:space="preserve">płatników, jak przewidziano w </w:t>
      </w:r>
      <w:r w:rsidR="008A7E12" w:rsidRPr="008A7E12">
        <w:rPr>
          <w:rFonts w:eastAsia="Times New Roman" w:cstheme="minorHAnsi"/>
          <w:u w:val="single"/>
          <w:lang w:eastAsia="pl-PL"/>
        </w:rPr>
        <w:t>Załączniku nr 4</w:t>
      </w:r>
      <w:r w:rsidR="008A7E12" w:rsidRPr="008A7E12">
        <w:rPr>
          <w:rFonts w:eastAsia="Times New Roman" w:cstheme="minorHAnsi"/>
          <w:lang w:eastAsia="pl-PL"/>
        </w:rPr>
        <w:t xml:space="preserve"> do Umowy.</w:t>
      </w:r>
      <w:r w:rsidRPr="001B2188">
        <w:rPr>
          <w:rFonts w:eastAsia="Times New Roman" w:cstheme="minorHAnsi"/>
          <w:lang w:eastAsia="pl-PL"/>
        </w:rPr>
        <w:t xml:space="preserve"> Rachunki </w:t>
      </w:r>
      <w:r>
        <w:rPr>
          <w:rFonts w:eastAsia="Times New Roman" w:cstheme="minorHAnsi"/>
          <w:lang w:eastAsia="pl-PL"/>
        </w:rPr>
        <w:t xml:space="preserve">muszą </w:t>
      </w:r>
      <w:r w:rsidRPr="001B2188">
        <w:rPr>
          <w:rFonts w:eastAsia="Times New Roman" w:cstheme="minorHAnsi"/>
          <w:lang w:eastAsia="pl-PL"/>
        </w:rPr>
        <w:t>być zgodne z oświadczeniem, o którym mowa w in fine ust. 6 powyżej</w:t>
      </w:r>
      <w:r w:rsidR="00FE600C">
        <w:rPr>
          <w:rFonts w:eastAsia="Times New Roman" w:cstheme="minorHAnsi"/>
          <w:lang w:eastAsia="pl-PL"/>
        </w:rPr>
        <w:t xml:space="preserve"> i </w:t>
      </w:r>
      <w:r>
        <w:rPr>
          <w:rFonts w:eastAsia="Times New Roman" w:cstheme="minorHAnsi"/>
          <w:lang w:eastAsia="pl-PL"/>
        </w:rPr>
        <w:t>w</w:t>
      </w:r>
      <w:r w:rsidRPr="001B2188">
        <w:rPr>
          <w:rFonts w:eastAsia="Times New Roman" w:cstheme="minorHAnsi"/>
          <w:lang w:eastAsia="pl-PL"/>
        </w:rPr>
        <w:t>z</w:t>
      </w:r>
      <w:r>
        <w:rPr>
          <w:rFonts w:eastAsia="Times New Roman" w:cstheme="minorHAnsi"/>
          <w:lang w:eastAsia="pl-PL"/>
        </w:rPr>
        <w:t xml:space="preserve">orem </w:t>
      </w:r>
      <w:r w:rsidRPr="001B2188">
        <w:rPr>
          <w:rFonts w:eastAsia="Times New Roman" w:cstheme="minorHAnsi"/>
          <w:lang w:eastAsia="pl-PL"/>
        </w:rPr>
        <w:t>stanowi</w:t>
      </w:r>
      <w:r>
        <w:rPr>
          <w:rFonts w:eastAsia="Times New Roman" w:cstheme="minorHAnsi"/>
          <w:lang w:eastAsia="pl-PL"/>
        </w:rPr>
        <w:t xml:space="preserve">ącym </w:t>
      </w:r>
      <w:r w:rsidRPr="001B2188">
        <w:rPr>
          <w:rFonts w:eastAsia="Times New Roman" w:cstheme="minorHAnsi"/>
          <w:u w:val="single"/>
          <w:lang w:eastAsia="pl-PL"/>
        </w:rPr>
        <w:t xml:space="preserve">Załącznik nr </w:t>
      </w:r>
      <w:r>
        <w:rPr>
          <w:rFonts w:eastAsia="Times New Roman" w:cstheme="minorHAnsi"/>
          <w:u w:val="single"/>
          <w:lang w:eastAsia="pl-PL"/>
        </w:rPr>
        <w:t>8</w:t>
      </w:r>
      <w:r w:rsidRPr="001B2188">
        <w:rPr>
          <w:rFonts w:eastAsia="Times New Roman" w:cstheme="minorHAnsi"/>
          <w:lang w:eastAsia="pl-PL"/>
        </w:rPr>
        <w:t xml:space="preserve"> do Umowy.</w:t>
      </w:r>
    </w:p>
    <w:bookmarkEnd w:id="0"/>
    <w:p w14:paraId="19532F35" w14:textId="307EEE48" w:rsidR="008D639D" w:rsidRPr="007337F8" w:rsidRDefault="00DA7F75"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rejestrem czynności) </w:t>
      </w:r>
      <w:r w:rsidRPr="007337F8">
        <w:rPr>
          <w:rFonts w:eastAsia="Times New Roman" w:cstheme="minorHAnsi"/>
          <w:lang w:eastAsia="pl-PL"/>
        </w:rPr>
        <w:t xml:space="preserve">i prawidłowo wystawionej faktury,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17E15B10"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Pr="007337F8">
        <w:rPr>
          <w:rFonts w:eastAsia="Times New Roman" w:cstheme="minorHAnsi"/>
          <w:lang w:eastAsia="pl-PL"/>
        </w:rPr>
        <w:t>;</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przekazaniu haseł do systemów teleinformatycznych;</w:t>
      </w:r>
    </w:p>
    <w:p w14:paraId="745AD961" w14:textId="3150C7DB" w:rsidR="00990215" w:rsidRPr="007337F8" w:rsidRDefault="00990215"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100 000 złotych za każdy przypadek naruszenia zasad poufności lub bezpieczeństwa informacji wskazanych w § 10, o ile skutkiem naruszenia był wyciek lub utrata informacji poufnych przetwarzanych w systemie teleinformatycznym Zleceniodawcy;</w:t>
      </w:r>
    </w:p>
    <w:p w14:paraId="5C52493C" w14:textId="2A094F33" w:rsidR="00990215" w:rsidRPr="007337F8" w:rsidRDefault="00990215"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5000 złotych za każdy przypadek naruszenia zasad poufności lub bezpieczeństwa informacji nieobjęty pkt 8 powyżej;</w:t>
      </w:r>
    </w:p>
    <w:p w14:paraId="591FB024" w14:textId="3832D200" w:rsidR="00990215" w:rsidRPr="007337F8" w:rsidRDefault="00990215" w:rsidP="00A839D7">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1000 złotych za każdy przypadek </w:t>
      </w:r>
      <w:r w:rsidR="00AE2717" w:rsidRPr="007337F8">
        <w:rPr>
          <w:rFonts w:cstheme="minorHAnsi"/>
        </w:rPr>
        <w:t>powierzeni</w:t>
      </w:r>
      <w:r w:rsidR="00172F36" w:rsidRPr="007337F8">
        <w:rPr>
          <w:rFonts w:cstheme="minorHAnsi"/>
        </w:rPr>
        <w:t>a</w:t>
      </w:r>
      <w:r w:rsidR="00AE2717" w:rsidRPr="007337F8">
        <w:rPr>
          <w:rFonts w:cstheme="minorHAnsi"/>
        </w:rPr>
        <w:t xml:space="preserve"> </w:t>
      </w:r>
      <w:r w:rsidR="00172F36" w:rsidRPr="007337F8">
        <w:rPr>
          <w:rFonts w:cstheme="minorHAnsi"/>
        </w:rPr>
        <w:t xml:space="preserve">przez Zleceniobiorcę </w:t>
      </w:r>
      <w:r w:rsidR="00AE2717" w:rsidRPr="007337F8">
        <w:rPr>
          <w:rFonts w:cstheme="minorHAnsi"/>
        </w:rPr>
        <w:t>osobie trzeciej realizacji przedmiotu Umowy w całości lub choćby w części</w:t>
      </w:r>
      <w:r w:rsidR="00172F36" w:rsidRPr="007337F8">
        <w:rPr>
          <w:rFonts w:cstheme="minorHAnsi"/>
        </w:rPr>
        <w:t xml:space="preserve"> z naruszeniem § 3 ust. 5</w:t>
      </w:r>
      <w:r w:rsidRPr="007337F8">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139C0F6C"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 xml:space="preserve">Łączna maksymalna wysokość kar umownych, których </w:t>
      </w:r>
      <w:r w:rsidR="00147E9B" w:rsidRPr="007337F8">
        <w:rPr>
          <w:rFonts w:eastAsia="Times New Roman" w:cstheme="minorHAnsi"/>
          <w:lang w:eastAsia="pl-PL"/>
        </w:rPr>
        <w:t>Zleceniodawca</w:t>
      </w:r>
      <w:r w:rsidRPr="007337F8">
        <w:rPr>
          <w:rFonts w:eastAsia="Times New Roman" w:cstheme="minorHAnsi"/>
          <w:lang w:eastAsia="pl-PL"/>
        </w:rPr>
        <w:t xml:space="preserve"> może dochodzić od </w:t>
      </w:r>
      <w:r w:rsidR="00147E9B" w:rsidRPr="007337F8">
        <w:rPr>
          <w:rFonts w:eastAsia="Times New Roman" w:cstheme="minorHAnsi"/>
          <w:lang w:eastAsia="pl-PL"/>
        </w:rPr>
        <w:t xml:space="preserve">Zleceniobiorcy </w:t>
      </w:r>
      <w:r w:rsidRPr="007337F8">
        <w:rPr>
          <w:rFonts w:eastAsia="Times New Roman" w:cstheme="minorHAnsi"/>
          <w:lang w:eastAsia="pl-PL"/>
        </w:rPr>
        <w:t>na podstawie niniejszej Umowy równa jest 50%</w:t>
      </w:r>
      <w:r w:rsidR="006F0EF2">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73E85F36" w14:textId="77777777" w:rsidR="00286043" w:rsidRPr="007337F8" w:rsidRDefault="00286043" w:rsidP="00286043">
      <w:pPr>
        <w:spacing w:before="60" w:after="60" w:line="259" w:lineRule="auto"/>
        <w:jc w:val="center"/>
        <w:rPr>
          <w:rFonts w:eastAsia="Times New Roman" w:cstheme="minorHAnsi"/>
          <w:b/>
          <w:lang w:eastAsia="pl-PL"/>
        </w:rPr>
      </w:pPr>
      <w:r w:rsidRPr="007337F8">
        <w:rPr>
          <w:rFonts w:eastAsia="Times New Roman" w:cstheme="minorHAnsi"/>
          <w:b/>
          <w:lang w:eastAsia="pl-PL"/>
        </w:rPr>
        <w:t>§ 8</w:t>
      </w:r>
    </w:p>
    <w:p w14:paraId="34997F2C" w14:textId="77777777" w:rsidR="00286043" w:rsidRPr="007337F8" w:rsidRDefault="00286043" w:rsidP="00286043">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32F143D8" w14:textId="42E768A1" w:rsidR="00286043" w:rsidRPr="00EA29A1" w:rsidRDefault="00286043" w:rsidP="00286043">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6CC48ACF" w14:textId="77777777" w:rsidR="00286043" w:rsidRPr="00EA29A1" w:rsidRDefault="00286043" w:rsidP="00286043">
      <w:pPr>
        <w:numPr>
          <w:ilvl w:val="0"/>
          <w:numId w:val="48"/>
        </w:numPr>
        <w:tabs>
          <w:tab w:val="clear" w:pos="1080"/>
        </w:tabs>
        <w:spacing w:before="60" w:after="60" w:line="259" w:lineRule="auto"/>
        <w:ind w:left="709"/>
        <w:jc w:val="both"/>
        <w:rPr>
          <w:rFonts w:cstheme="minorHAnsi"/>
        </w:rPr>
      </w:pPr>
      <w:r w:rsidRPr="00EA29A1">
        <w:rPr>
          <w:rFonts w:cstheme="minorHAns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EA29A1">
        <w:rPr>
          <w:rFonts w:cstheme="minorHAnsi"/>
        </w:rPr>
        <w:t>flash</w:t>
      </w:r>
      <w:proofErr w:type="spellEnd"/>
      <w:r w:rsidRPr="00EA29A1">
        <w:rPr>
          <w:rFonts w:cstheme="minorHAnsi"/>
        </w:rPr>
        <w:t xml:space="preserve"> lub jakimkolwiek innym nośniku pamięci;</w:t>
      </w:r>
    </w:p>
    <w:p w14:paraId="4B0E2321" w14:textId="77777777" w:rsidR="00286043" w:rsidRPr="00EA29A1" w:rsidRDefault="00286043" w:rsidP="00286043">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866939C" w14:textId="77777777" w:rsidR="00286043" w:rsidRPr="007337F8" w:rsidRDefault="00286043" w:rsidP="00286043">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1239B3B9" w14:textId="77777777" w:rsidR="00286043" w:rsidRPr="007337F8" w:rsidRDefault="00286043" w:rsidP="00286043">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7337F8">
        <w:rPr>
          <w:rFonts w:eastAsia="Times New Roman" w:cstheme="minorHAnsi"/>
          <w:lang w:eastAsia="pl-PL"/>
        </w:rPr>
        <w:t>flash</w:t>
      </w:r>
      <w:proofErr w:type="spellEnd"/>
      <w:r w:rsidRPr="007337F8">
        <w:rPr>
          <w:rFonts w:eastAsia="Times New Roman" w:cstheme="minorHAnsi"/>
          <w:lang w:eastAsia="pl-PL"/>
        </w:rPr>
        <w:t xml:space="preserve"> lub jakimkolwiek innym nośniku pamięci;</w:t>
      </w:r>
    </w:p>
    <w:p w14:paraId="4AB070FC" w14:textId="77777777" w:rsidR="00286043" w:rsidRPr="007337F8" w:rsidRDefault="00286043" w:rsidP="00286043">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tłumaczenie, przystosowywanie, zmiany układu lub wprowadzanie jakichkolwiek innych zmian w programie komputerowym;</w:t>
      </w:r>
    </w:p>
    <w:p w14:paraId="6DEB56E6" w14:textId="77777777" w:rsidR="00286043" w:rsidRPr="007337F8" w:rsidRDefault="00286043" w:rsidP="00286043">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BCC2069" w14:textId="77777777" w:rsidR="002D36DC" w:rsidRPr="003616DA" w:rsidRDefault="002D36DC" w:rsidP="002D36DC">
      <w:pPr>
        <w:numPr>
          <w:ilvl w:val="0"/>
          <w:numId w:val="49"/>
        </w:numPr>
        <w:tabs>
          <w:tab w:val="clear" w:pos="360"/>
        </w:tabs>
        <w:spacing w:before="60" w:after="60" w:line="259" w:lineRule="auto"/>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41043C34"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prawo zezwalania na wykonywanie zależnych praw autorskich do wszelkich opracowań utworów (lub ich poszczególnych elementów), tj. prawo zezwalania na rozporządzanie i korzystanie z takich opracowań na polach eksploatacji wskazanych powyżej,</w:t>
      </w:r>
    </w:p>
    <w:p w14:paraId="5A866B7C"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71D650A8" w14:textId="77777777" w:rsidR="002D36DC" w:rsidRPr="003616DA" w:rsidRDefault="002D36DC" w:rsidP="002D36DC">
      <w:pPr>
        <w:numPr>
          <w:ilvl w:val="0"/>
          <w:numId w:val="49"/>
        </w:numPr>
        <w:tabs>
          <w:tab w:val="clear" w:pos="360"/>
        </w:tabs>
        <w:spacing w:before="60" w:after="60" w:line="259" w:lineRule="auto"/>
        <w:jc w:val="both"/>
        <w:rPr>
          <w:rFonts w:cstheme="minorHAnsi"/>
        </w:rPr>
      </w:pPr>
      <w:r w:rsidRPr="003616DA">
        <w:rPr>
          <w:rFonts w:cstheme="minorHAnsi"/>
        </w:rPr>
        <w:t>Przeniesienie praw, o którym mowa powyżej, nastąpi z chwilą wydania nośnika, względnie pierwszego udostępnienia Zamawiającemu danego utworu.</w:t>
      </w:r>
    </w:p>
    <w:p w14:paraId="45E12A5A" w14:textId="77777777" w:rsidR="002D36DC" w:rsidRPr="003616DA" w:rsidRDefault="002D36DC" w:rsidP="002D36DC">
      <w:pPr>
        <w:numPr>
          <w:ilvl w:val="0"/>
          <w:numId w:val="49"/>
        </w:numPr>
        <w:tabs>
          <w:tab w:val="clear" w:pos="360"/>
        </w:tabs>
        <w:spacing w:before="60" w:after="60" w:line="259" w:lineRule="auto"/>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6A229922"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4C599068"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2305C491"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2F52BFE6"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1498B080" w14:textId="77777777" w:rsidR="002D36DC" w:rsidRPr="003616DA" w:rsidRDefault="002D36DC" w:rsidP="002D36DC">
      <w:pPr>
        <w:pStyle w:val="Akapitzlist"/>
        <w:numPr>
          <w:ilvl w:val="2"/>
          <w:numId w:val="5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68F63EDC" w14:textId="77777777" w:rsidR="002D36DC" w:rsidRPr="003616DA" w:rsidRDefault="002D36DC" w:rsidP="002D36DC">
      <w:pPr>
        <w:numPr>
          <w:ilvl w:val="0"/>
          <w:numId w:val="49"/>
        </w:numPr>
        <w:tabs>
          <w:tab w:val="clear" w:pos="360"/>
        </w:tabs>
        <w:spacing w:before="60" w:after="60" w:line="259" w:lineRule="auto"/>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49D65F07"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400878F8"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20158B60"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7590AE13"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4A7304B0"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987C275" w14:textId="77777777" w:rsidR="002D36DC" w:rsidRPr="003616DA" w:rsidRDefault="002D36DC" w:rsidP="002D36DC">
      <w:pPr>
        <w:pStyle w:val="Akapitzlist"/>
        <w:numPr>
          <w:ilvl w:val="2"/>
          <w:numId w:val="47"/>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5F496698" w14:textId="77777777" w:rsidR="00286043" w:rsidRPr="007337F8" w:rsidRDefault="00286043" w:rsidP="002D36DC">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w:t>
      </w:r>
      <w:r w:rsidRPr="002D36DC">
        <w:rPr>
          <w:rFonts w:cstheme="minorHAnsi"/>
        </w:rPr>
        <w:t>powstanie</w:t>
      </w:r>
      <w:r w:rsidRPr="007337F8">
        <w:rPr>
          <w:rFonts w:eastAsia="Times New Roman" w:cstheme="minorHAnsi"/>
          <w:lang w:eastAsia="pl-PL"/>
        </w:rPr>
        <w:t xml:space="preserve"> baza danych, podlegająca ochronie na podstawie przepisów Ustawy z </w:t>
      </w:r>
      <w:r w:rsidRPr="002D36DC">
        <w:rPr>
          <w:rFonts w:cstheme="minorHAnsi"/>
        </w:rPr>
        <w:t>dnia</w:t>
      </w:r>
      <w:r w:rsidRPr="007337F8">
        <w:rPr>
          <w:rFonts w:eastAsia="Times New Roman" w:cstheme="minorHAnsi"/>
          <w:lang w:eastAsia="pl-PL"/>
        </w:rPr>
        <w:t xml:space="preserve">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5BBBC549" w14:textId="77777777" w:rsidR="00286043" w:rsidRPr="007337F8" w:rsidRDefault="00286043" w:rsidP="00286043">
      <w:pPr>
        <w:spacing w:before="60" w:after="60" w:line="259" w:lineRule="auto"/>
        <w:jc w:val="center"/>
        <w:rPr>
          <w:rFonts w:eastAsia="Times New Roman" w:cstheme="minorHAnsi"/>
          <w:bCs/>
          <w:lang w:eastAsia="pl-PL"/>
        </w:rPr>
      </w:pPr>
    </w:p>
    <w:p w14:paraId="4D8C59A2" w14:textId="77777777" w:rsidR="00286043" w:rsidRPr="007337F8" w:rsidRDefault="00286043" w:rsidP="00286043">
      <w:pPr>
        <w:spacing w:before="60" w:after="60" w:line="259" w:lineRule="auto"/>
        <w:jc w:val="center"/>
        <w:rPr>
          <w:rFonts w:eastAsia="Times New Roman" w:cstheme="minorHAnsi"/>
          <w:b/>
          <w:lang w:eastAsia="pl-PL"/>
        </w:rPr>
      </w:pPr>
      <w:r w:rsidRPr="007337F8">
        <w:rPr>
          <w:rFonts w:eastAsia="Times New Roman" w:cstheme="minorHAnsi"/>
          <w:b/>
          <w:lang w:eastAsia="pl-PL"/>
        </w:rPr>
        <w:t>§ 9</w:t>
      </w:r>
    </w:p>
    <w:p w14:paraId="1C578D12" w14:textId="77777777" w:rsidR="00286043" w:rsidRPr="007337F8" w:rsidRDefault="00286043" w:rsidP="00286043">
      <w:pPr>
        <w:spacing w:before="60" w:after="60" w:line="259" w:lineRule="auto"/>
        <w:jc w:val="center"/>
        <w:rPr>
          <w:rFonts w:eastAsia="Times New Roman" w:cstheme="minorHAnsi"/>
          <w:b/>
          <w:lang w:eastAsia="pl-PL"/>
        </w:rPr>
      </w:pPr>
      <w:r w:rsidRPr="007337F8">
        <w:rPr>
          <w:rFonts w:eastAsia="Times New Roman" w:cstheme="minorHAnsi"/>
          <w:b/>
          <w:lang w:eastAsia="pl-PL"/>
        </w:rPr>
        <w:lastRenderedPageBreak/>
        <w:t>Gwarancja i rękojmia</w:t>
      </w:r>
    </w:p>
    <w:p w14:paraId="65CBB09F" w14:textId="48CDA476"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1" w:name="_Hlk143761528"/>
      <w:r w:rsidRPr="007337F8">
        <w:rPr>
          <w:rFonts w:eastAsia="Times New Roman" w:cstheme="minorHAnsi"/>
          <w:lang w:eastAsia="pl-PL"/>
        </w:rPr>
        <w:t>Zleceniobiorca udziela Zleceniodawcy gwarancji co do jakości wykonaneg</w:t>
      </w:r>
      <w:r w:rsidR="008B41D3">
        <w:rPr>
          <w:rFonts w:eastAsia="Times New Roman" w:cstheme="minorHAnsi"/>
          <w:lang w:eastAsia="pl-PL"/>
        </w:rPr>
        <w:t>o przedmiotu Umowy (dokumentacji, skryptu komputerowego, bazy danych, itd.)</w:t>
      </w:r>
      <w:r w:rsidRPr="007337F8">
        <w:rPr>
          <w:rFonts w:eastAsia="Times New Roman" w:cstheme="minorHAnsi"/>
          <w:lang w:eastAsia="pl-PL"/>
        </w:rPr>
        <w:t>, na okres do upływu 12 miesięcy od daty protokolarnego odbioru.</w:t>
      </w:r>
    </w:p>
    <w:bookmarkEnd w:id="1"/>
    <w:p w14:paraId="5243AFBC" w14:textId="77777777"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09B98F53" w14:textId="77777777"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2EBC1654" w14:textId="77777777"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00B170AE" w14:textId="77777777"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323C86B9" w14:textId="31B7BCE5" w:rsidR="00286043" w:rsidRPr="007337F8" w:rsidRDefault="00286043" w:rsidP="00286043">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2" w:name="_Toc455493986"/>
      <w:r w:rsidRPr="007337F8">
        <w:rPr>
          <w:rFonts w:eastAsia="Times New Roman" w:cstheme="minorHAnsi"/>
          <w:lang w:eastAsia="pl-PL"/>
        </w:rPr>
        <w:t>Jeżeli w ramach realizacji gwarancji Zleceniobiorca dostarczy lub stworzy jakiekolwiek utwory/programy komputerowe w rozumieniu prawa autorskiego</w:t>
      </w:r>
      <w:r w:rsidR="008B41D3">
        <w:rPr>
          <w:rFonts w:eastAsia="Times New Roman" w:cstheme="minorHAnsi"/>
          <w:lang w:eastAsia="pl-PL"/>
        </w:rPr>
        <w:t xml:space="preserve"> lub bazy danych</w:t>
      </w:r>
      <w:r w:rsidRPr="007337F8">
        <w:rPr>
          <w:rFonts w:eastAsia="Times New Roman" w:cstheme="minorHAnsi"/>
          <w:lang w:eastAsia="pl-PL"/>
        </w:rPr>
        <w:t>, Zleceniodawca nabywa autorskie prawa majątkowe do takich utworów/programów komputerowych</w:t>
      </w:r>
      <w:r w:rsidR="008B41D3">
        <w:rPr>
          <w:rFonts w:eastAsia="Times New Roman" w:cstheme="minorHAnsi"/>
          <w:lang w:eastAsia="pl-PL"/>
        </w:rPr>
        <w:t xml:space="preserve"> i prawa do takiej bazy danych</w:t>
      </w:r>
      <w:r w:rsidRPr="007337F8">
        <w:rPr>
          <w:rFonts w:eastAsia="Times New Roman" w:cstheme="minorHAnsi"/>
          <w:lang w:eastAsia="pl-PL"/>
        </w:rPr>
        <w:t>, przy czym postanowienia § 8 odnoszące się do praw własności intelektualnej</w:t>
      </w:r>
      <w:bookmarkEnd w:id="2"/>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1041AD8" w14:textId="77777777" w:rsidR="00A456D3" w:rsidRPr="007337F8" w:rsidRDefault="00A456D3" w:rsidP="00A456D3">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658690D5" w14:textId="77777777" w:rsidR="00A456D3" w:rsidRPr="007337F8" w:rsidRDefault="00A456D3" w:rsidP="00A456D3">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766F1657"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1EB8F514"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389EC247" w14:textId="77777777" w:rsidR="00A456D3" w:rsidRPr="007337F8" w:rsidRDefault="00A456D3" w:rsidP="00A456D3">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3D8FF89B"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574131D7"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7B21F5A5"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60D9B466" w14:textId="77777777" w:rsidR="00A456D3" w:rsidRPr="007337F8" w:rsidRDefault="00A456D3" w:rsidP="00A456D3">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1AEA97D5" w14:textId="77777777" w:rsidR="00A456D3" w:rsidRPr="007337F8" w:rsidRDefault="00A456D3" w:rsidP="00A456D3">
      <w:pPr>
        <w:pStyle w:val="Akapitzlist"/>
        <w:numPr>
          <w:ilvl w:val="1"/>
          <w:numId w:val="14"/>
        </w:numPr>
        <w:suppressAutoHyphens/>
        <w:spacing w:before="60" w:after="60" w:line="259" w:lineRule="auto"/>
        <w:contextualSpacing w:val="0"/>
        <w:jc w:val="both"/>
      </w:pPr>
      <w:r w:rsidRPr="007337F8">
        <w:lastRenderedPageBreak/>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34CF73A3" w14:textId="77777777" w:rsidR="00A456D3" w:rsidRPr="007337F8" w:rsidRDefault="00A456D3" w:rsidP="00A456D3">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p>
    <w:p w14:paraId="159402F8" w14:textId="77777777" w:rsidR="00A456D3" w:rsidRPr="007337F8" w:rsidRDefault="00A456D3" w:rsidP="00A456D3">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5)</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p>
    <w:p w14:paraId="6A4293E5" w14:textId="77777777" w:rsidR="00A456D3" w:rsidRPr="007337F8" w:rsidRDefault="00A456D3" w:rsidP="00A456D3">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p>
    <w:p w14:paraId="1730B40D" w14:textId="77777777" w:rsidR="00A456D3" w:rsidRPr="007337F8" w:rsidRDefault="00A456D3" w:rsidP="00A456D3">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427813DD" w14:textId="77777777" w:rsidR="00A456D3" w:rsidRPr="007337F8" w:rsidRDefault="00A456D3" w:rsidP="00A456D3">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139EE785" w14:textId="77777777" w:rsidR="00A456D3" w:rsidRPr="007337F8" w:rsidRDefault="00A456D3" w:rsidP="00A456D3">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p>
    <w:p w14:paraId="522491D0" w14:textId="77777777" w:rsidR="00A456D3" w:rsidRPr="007337F8" w:rsidRDefault="00A456D3" w:rsidP="00A456D3">
      <w:pPr>
        <w:pStyle w:val="Akapitzlist"/>
        <w:numPr>
          <w:ilvl w:val="1"/>
          <w:numId w:val="14"/>
        </w:numPr>
        <w:suppressAutoHyphens/>
        <w:spacing w:before="60" w:after="60" w:line="259" w:lineRule="auto"/>
        <w:contextualSpacing w:val="0"/>
        <w:jc w:val="both"/>
      </w:pPr>
      <w:r w:rsidRPr="007337F8">
        <w:t>Informacje przetwarzane w postaci elektronicznej usunie ze swoich zasobów i nośników oraz zapewni, że osoby i podmioty, o których mowa w ust. 4 usuną je ze swoich zasobów i nośników.</w:t>
      </w:r>
    </w:p>
    <w:p w14:paraId="5FFAB0C0" w14:textId="77777777" w:rsidR="00A456D3" w:rsidRPr="00755055" w:rsidRDefault="00A456D3" w:rsidP="00A456D3">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2F5BADF0" w14:textId="77777777" w:rsidR="00A456D3" w:rsidRPr="00755055" w:rsidRDefault="00A456D3" w:rsidP="00A456D3">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6B2C9126" w14:textId="77777777" w:rsidR="00A456D3" w:rsidRPr="00755055" w:rsidRDefault="00A456D3" w:rsidP="00A456D3">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27C94B27" w14:textId="77777777" w:rsidR="00A456D3" w:rsidRPr="00755055" w:rsidRDefault="00A456D3" w:rsidP="00A456D3">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7054E3D1" w14:textId="77777777" w:rsidR="00A456D3" w:rsidRPr="007337F8" w:rsidRDefault="00A456D3" w:rsidP="00A456D3">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03B4C22A" w14:textId="77777777" w:rsidR="00A456D3" w:rsidRPr="007337F8" w:rsidRDefault="00A456D3" w:rsidP="00A456D3">
      <w:pPr>
        <w:numPr>
          <w:ilvl w:val="0"/>
          <w:numId w:val="14"/>
        </w:numPr>
        <w:suppressAutoHyphens/>
        <w:spacing w:before="60" w:after="60" w:line="259" w:lineRule="auto"/>
        <w:jc w:val="both"/>
        <w:rPr>
          <w:lang w:eastAsia="ar-SA"/>
        </w:rPr>
      </w:pPr>
      <w:r w:rsidRPr="00922A48">
        <w:rPr>
          <w:i/>
          <w:iCs/>
          <w:lang w:eastAsia="ar-SA"/>
        </w:rPr>
        <w:t>celowo pominięt</w:t>
      </w:r>
      <w:r>
        <w:rPr>
          <w:i/>
          <w:iCs/>
          <w:lang w:eastAsia="ar-SA"/>
        </w:rPr>
        <w:t>o</w:t>
      </w:r>
    </w:p>
    <w:p w14:paraId="488974D6" w14:textId="77777777" w:rsidR="00A456D3" w:rsidRPr="007337F8" w:rsidRDefault="00A456D3" w:rsidP="00A456D3">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5C541CB1" w14:textId="77777777" w:rsidR="00A456D3" w:rsidRPr="007337F8" w:rsidRDefault="00000000" w:rsidP="00A456D3">
      <w:pPr>
        <w:suppressAutoHyphens/>
        <w:spacing w:before="60" w:after="60" w:line="259" w:lineRule="auto"/>
        <w:ind w:left="360"/>
        <w:jc w:val="both"/>
        <w:rPr>
          <w:lang w:eastAsia="ar-SA"/>
        </w:rPr>
      </w:pPr>
      <w:hyperlink r:id="rId9" w:history="1">
        <w:r w:rsidR="00A456D3" w:rsidRPr="006E13F3">
          <w:rPr>
            <w:rStyle w:val="Hipercze"/>
            <w:lang w:eastAsia="ar-SA"/>
          </w:rPr>
          <w:t>https://www.gov.pl/web/sprawiedliwosc/informacja-o-przetwarzaniu-danych-osobowych</w:t>
        </w:r>
      </w:hyperlink>
      <w:r w:rsidR="00A456D3">
        <w:rPr>
          <w:lang w:eastAsia="ar-SA"/>
        </w:rPr>
        <w:t xml:space="preserve"> </w:t>
      </w:r>
    </w:p>
    <w:p w14:paraId="21DDA22C" w14:textId="77777777" w:rsidR="00A456D3" w:rsidRPr="00922A48" w:rsidRDefault="00A456D3" w:rsidP="00A456D3">
      <w:pPr>
        <w:numPr>
          <w:ilvl w:val="0"/>
          <w:numId w:val="14"/>
        </w:numPr>
        <w:suppressAutoHyphens/>
        <w:spacing w:before="60" w:after="60" w:line="259" w:lineRule="auto"/>
        <w:jc w:val="both"/>
        <w:rPr>
          <w:lang w:eastAsia="ar-SA"/>
        </w:rPr>
      </w:pPr>
      <w:r w:rsidRPr="00483C61">
        <w:rPr>
          <w:lang w:eastAsia="ar-SA"/>
        </w:rPr>
        <w:t xml:space="preserve">Niniejsza Umowa stanowi podstawę do wydania dla Zleceniobiorcy stosownych upoważnień do przetwarzania danych osobowych </w:t>
      </w:r>
      <w:r w:rsidRPr="00922A48">
        <w:rPr>
          <w:lang w:eastAsia="ar-SA"/>
        </w:rPr>
        <w:t>ze zbiorów</w:t>
      </w:r>
      <w:r>
        <w:rPr>
          <w:lang w:eastAsia="ar-SA"/>
        </w:rPr>
        <w:t xml:space="preserve">, </w:t>
      </w:r>
      <w:r w:rsidRPr="00483C61">
        <w:rPr>
          <w:lang w:eastAsia="ar-SA"/>
        </w:rPr>
        <w:t xml:space="preserve">w zakresie i celu </w:t>
      </w:r>
      <w:r w:rsidRPr="00922A48">
        <w:rPr>
          <w:lang w:eastAsia="ar-SA"/>
        </w:rPr>
        <w:t>przetwarzania:</w:t>
      </w:r>
    </w:p>
    <w:p w14:paraId="4EA32CBA" w14:textId="77777777" w:rsidR="00A456D3" w:rsidRPr="00755055" w:rsidRDefault="00A456D3" w:rsidP="00A456D3">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4F7C4FE" w14:textId="77777777" w:rsidR="00A456D3" w:rsidRPr="00755055" w:rsidRDefault="00A456D3" w:rsidP="00A456D3">
      <w:pPr>
        <w:pStyle w:val="Akapitzlist"/>
        <w:numPr>
          <w:ilvl w:val="2"/>
          <w:numId w:val="52"/>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104D33EB" w14:textId="77777777" w:rsidR="00A456D3" w:rsidRPr="00922A48" w:rsidRDefault="00A456D3" w:rsidP="00A456D3">
      <w:pPr>
        <w:pStyle w:val="Akapitzlist"/>
        <w:numPr>
          <w:ilvl w:val="2"/>
          <w:numId w:val="52"/>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7CCD8A92" w14:textId="77777777" w:rsidR="00A456D3" w:rsidRDefault="00A456D3" w:rsidP="00A456D3">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7449F8D3" w14:textId="77777777" w:rsidR="00A456D3" w:rsidRPr="00755055" w:rsidRDefault="00A456D3" w:rsidP="00A456D3">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54DBA52C" w14:textId="77777777" w:rsidR="00A456D3" w:rsidRPr="00922A48" w:rsidRDefault="00A456D3" w:rsidP="00A456D3">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095C5FD4" w14:textId="77777777" w:rsidR="00A456D3" w:rsidRPr="00922A48" w:rsidRDefault="00A456D3" w:rsidP="00A456D3">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7D50F7F" w14:textId="77777777" w:rsidR="00A456D3" w:rsidRPr="00755055" w:rsidRDefault="00A456D3" w:rsidP="00A456D3">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03C05FEB" w14:textId="77777777" w:rsidR="00A456D3" w:rsidRPr="00922A48" w:rsidRDefault="00A456D3" w:rsidP="00A456D3">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062C799D" w14:textId="77777777" w:rsidR="00A456D3" w:rsidRPr="00483C61" w:rsidRDefault="00A456D3" w:rsidP="00A456D3">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t xml:space="preserve">w zakresie: </w:t>
      </w:r>
      <w:r>
        <w:rPr>
          <w:rFonts w:eastAsia="Times New Roman" w:cstheme="minorHAnsi"/>
          <w:bCs/>
          <w:lang w:eastAsia="pl-PL"/>
        </w:rPr>
        <w:t xml:space="preserve">(np. </w:t>
      </w:r>
      <w:r w:rsidRPr="00483C61">
        <w:rPr>
          <w:rFonts w:eastAsia="Times New Roman" w:cstheme="minorHAnsi"/>
          <w:bCs/>
          <w:lang w:eastAsia="pl-PL"/>
        </w:rPr>
        <w:t>pobieranie, przeglądnie, ujawnianie poprzez przesłanie</w:t>
      </w:r>
      <w:r>
        <w:rPr>
          <w:rFonts w:eastAsia="Times New Roman" w:cstheme="minorHAnsi"/>
          <w:bCs/>
          <w:lang w:eastAsia="pl-PL"/>
        </w:rPr>
        <w:t xml:space="preserve">,  …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73423B32" w14:textId="77777777" w:rsidR="00A456D3" w:rsidRDefault="00A456D3" w:rsidP="00A456D3">
      <w:pPr>
        <w:numPr>
          <w:ilvl w:val="0"/>
          <w:numId w:val="14"/>
        </w:numPr>
        <w:suppressAutoHyphens/>
        <w:spacing w:before="60" w:after="60" w:line="259" w:lineRule="auto"/>
        <w:jc w:val="both"/>
        <w:rPr>
          <w:lang w:eastAsia="ar-SA"/>
        </w:rPr>
      </w:pPr>
      <w:r w:rsidRPr="00483C61">
        <w:rPr>
          <w:lang w:eastAsia="ar-SA"/>
        </w:rPr>
        <w:lastRenderedPageBreak/>
        <w:t>Zleceniobiorca zobowiązuje się do przetwarzania danych osobowych, o których mowa w ust. 1</w:t>
      </w:r>
      <w:r>
        <w:rPr>
          <w:lang w:eastAsia="ar-SA"/>
        </w:rPr>
        <w:t>1</w:t>
      </w:r>
      <w:r w:rsidRPr="00483C61">
        <w:rPr>
          <w:lang w:eastAsia="ar-SA"/>
        </w:rPr>
        <w:t xml:space="preserve"> powyżej wyłącznie w zakresie </w:t>
      </w:r>
      <w:r>
        <w:rPr>
          <w:lang w:eastAsia="ar-SA"/>
        </w:rPr>
        <w:t xml:space="preserve">i </w:t>
      </w:r>
      <w:r w:rsidRPr="00483C61">
        <w:rPr>
          <w:lang w:eastAsia="ar-SA"/>
        </w:rPr>
        <w:t xml:space="preserve">w celu </w:t>
      </w:r>
      <w:r>
        <w:rPr>
          <w:lang w:eastAsia="ar-SA"/>
        </w:rPr>
        <w:t xml:space="preserve">tam </w:t>
      </w:r>
      <w:r w:rsidRPr="00483C61">
        <w:rPr>
          <w:lang w:eastAsia="ar-SA"/>
        </w:rPr>
        <w:t>przewidzianym</w:t>
      </w:r>
      <w:r>
        <w:rPr>
          <w:lang w:eastAsia="ar-SA"/>
        </w:rPr>
        <w:t xml:space="preserve">, </w:t>
      </w:r>
      <w:r w:rsidRPr="00483C61">
        <w:rPr>
          <w:lang w:eastAsia="ar-SA"/>
        </w:rPr>
        <w:t>z najwyższą starannością</w:t>
      </w:r>
      <w:r>
        <w:rPr>
          <w:lang w:eastAsia="ar-SA"/>
        </w:rPr>
        <w:t xml:space="preserve">, </w:t>
      </w:r>
      <w:r w:rsidRPr="00483C61">
        <w:rPr>
          <w:lang w:eastAsia="ar-SA"/>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lang w:eastAsia="ar-SA"/>
        </w:rPr>
        <w:t xml:space="preserve"> oraz</w:t>
      </w:r>
      <w:r w:rsidRPr="00483C61">
        <w:rPr>
          <w:lang w:eastAsia="ar-SA"/>
        </w:rPr>
        <w:t xml:space="preserve"> przepisami </w:t>
      </w:r>
      <w:r>
        <w:rPr>
          <w:lang w:eastAsia="ar-SA"/>
        </w:rPr>
        <w:t xml:space="preserve">prawa polskiego w zakresie danych osobowych, przestrzegając przy tym </w:t>
      </w:r>
      <w:r w:rsidRPr="00483C61">
        <w:rPr>
          <w:lang w:eastAsia="ar-SA"/>
        </w:rPr>
        <w:t>Polityk</w:t>
      </w:r>
      <w:r>
        <w:rPr>
          <w:lang w:eastAsia="ar-SA"/>
        </w:rPr>
        <w:t>i</w:t>
      </w:r>
      <w:r w:rsidRPr="00483C61">
        <w:rPr>
          <w:lang w:eastAsia="ar-SA"/>
        </w:rPr>
        <w:t xml:space="preserve"> Bezpieczeństwa Danych Osobowych Ministerstwa Sprawiedliwości</w:t>
      </w:r>
      <w:r>
        <w:rPr>
          <w:lang w:eastAsia="ar-SA"/>
        </w:rPr>
        <w:t>.</w:t>
      </w:r>
    </w:p>
    <w:p w14:paraId="1B1B6BEB" w14:textId="77777777" w:rsidR="00483C61" w:rsidRPr="00483C61" w:rsidRDefault="00483C61" w:rsidP="00483C61">
      <w:pPr>
        <w:suppressAutoHyphens/>
        <w:spacing w:before="60" w:after="60" w:line="259" w:lineRule="auto"/>
        <w:jc w:val="both"/>
        <w:rPr>
          <w:lang w:eastAsia="ar-SA"/>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66A6ECD0" w:rsidR="00121EBB" w:rsidRPr="007337F8" w:rsidRDefault="0094175F" w:rsidP="00BC5152">
      <w:pPr>
        <w:numPr>
          <w:ilvl w:val="0"/>
          <w:numId w:val="24"/>
        </w:numPr>
        <w:tabs>
          <w:tab w:val="clear" w:pos="1080"/>
        </w:tabs>
        <w:spacing w:before="60" w:after="60" w:line="259" w:lineRule="auto"/>
        <w:ind w:left="714" w:hanging="357"/>
        <w:jc w:val="both"/>
        <w:rPr>
          <w:rFonts w:cstheme="minorHAnsi"/>
        </w:rPr>
      </w:pPr>
      <w:r w:rsidRPr="0094175F">
        <w:rPr>
          <w:rFonts w:cstheme="minorHAnsi"/>
          <w:i/>
          <w:iCs/>
        </w:rPr>
        <w:t>celowo pominięto</w:t>
      </w:r>
      <w:r w:rsidR="00121EBB" w:rsidRPr="007337F8">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4153B4F"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Umowę sporządzono w dwóch jednobrzmiących egzemplarzach, dwa dla Zleceniodawcy i jeden dla Zleceniobiorcy* / Umowa została zawarta w formie elektronicznej, tj. podpisana kwalifikowanymi podpisami elektronicznymi.**</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653807B" w:rsidR="005B2E2D" w:rsidRPr="007337F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Wykaz płatników;</w:t>
      </w:r>
    </w:p>
    <w:p w14:paraId="2EE693B2" w14:textId="55D0E616" w:rsidR="005B2E2D"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111A1F2E" w14:textId="0F87C3FA" w:rsidR="00CC3DCC" w:rsidRPr="00CC3DCC" w:rsidRDefault="00CC3DC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i/>
          <w:iCs/>
          <w:lang w:eastAsia="pl-PL"/>
        </w:rPr>
      </w:pPr>
      <w:r w:rsidRPr="00CC3DCC">
        <w:rPr>
          <w:rFonts w:eastAsia="Times New Roman" w:cstheme="minorHAnsi"/>
          <w:i/>
          <w:iCs/>
          <w:lang w:eastAsia="pl-PL"/>
        </w:rPr>
        <w:t>celowo pominięto</w:t>
      </w:r>
      <w:r>
        <w:rPr>
          <w:rFonts w:eastAsia="Times New Roman" w:cstheme="minorHAnsi"/>
          <w:i/>
          <w:iCs/>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02DC9260" w:rsidR="002930D1" w:rsidRPr="007337F8"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0606EC5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1B2188">
        <w:rPr>
          <w:rFonts w:eastAsia="Times New Roman" w:cstheme="minorHAnsi"/>
          <w:lang w:eastAsia="pl-PL"/>
        </w:rPr>
        <w:t xml:space="preserve"> lub 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Pr="007337F8">
        <w:rPr>
          <w:rFonts w:eastAsia="Times New Roman" w:cstheme="minorHAnsi"/>
          <w:lang w:eastAsia="pl-PL"/>
        </w:rPr>
        <w:t>. Taka zmiana następuje poprzez samo powiadomienie Zleceniobiorcy w formie pisemnej albo w formie elektronicznej i nie wymaga zawarcia aneksu.</w:t>
      </w:r>
    </w:p>
    <w:p w14:paraId="0404F857" w14:textId="77777777" w:rsidR="008A7E12" w:rsidRPr="008A7E12" w:rsidRDefault="008A7E12" w:rsidP="008A7E12">
      <w:pPr>
        <w:spacing w:before="60" w:after="6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781BF368" w14:textId="77777777" w:rsidR="008A7E12" w:rsidRPr="008A7E12" w:rsidRDefault="008A7E12" w:rsidP="008A7E12">
      <w:pPr>
        <w:spacing w:before="60" w:after="60" w:line="259" w:lineRule="auto"/>
        <w:jc w:val="both"/>
        <w:rPr>
          <w:rFonts w:cstheme="minorHAnsi"/>
        </w:rPr>
      </w:pPr>
    </w:p>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95028" w14:textId="77777777" w:rsidR="00BD0A5B" w:rsidRDefault="00BD0A5B" w:rsidP="001657E6">
      <w:pPr>
        <w:spacing w:after="0" w:line="240" w:lineRule="auto"/>
      </w:pPr>
      <w:r>
        <w:separator/>
      </w:r>
    </w:p>
  </w:endnote>
  <w:endnote w:type="continuationSeparator" w:id="0">
    <w:p w14:paraId="2E27F7CF" w14:textId="77777777" w:rsidR="00BD0A5B" w:rsidRDefault="00BD0A5B"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78C92" w14:textId="77777777" w:rsidR="00BD0A5B" w:rsidRDefault="00BD0A5B" w:rsidP="001657E6">
      <w:pPr>
        <w:spacing w:after="0" w:line="240" w:lineRule="auto"/>
      </w:pPr>
      <w:r>
        <w:separator/>
      </w:r>
    </w:p>
  </w:footnote>
  <w:footnote w:type="continuationSeparator" w:id="0">
    <w:p w14:paraId="726A3834" w14:textId="77777777" w:rsidR="00BD0A5B" w:rsidRDefault="00BD0A5B"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E33B" w14:textId="1B61F33D" w:rsidR="006B416C" w:rsidRPr="00E41B06" w:rsidRDefault="00E41B06" w:rsidP="00E41B06">
    <w:pPr>
      <w:pStyle w:val="Nagwek"/>
      <w:jc w:val="right"/>
      <w:rPr>
        <w:sz w:val="20"/>
        <w:szCs w:val="20"/>
      </w:rPr>
    </w:pPr>
    <w:r w:rsidRPr="00E41B06">
      <w:rPr>
        <w:sz w:val="20"/>
        <w:szCs w:val="20"/>
      </w:rPr>
      <w:t>DIRS-XX</w:t>
    </w:r>
    <w:r w:rsidR="00AD3671">
      <w:rPr>
        <w:sz w:val="20"/>
        <w:szCs w:val="20"/>
      </w:rPr>
      <w:t>.0412.21.2024</w:t>
    </w:r>
  </w:p>
  <w:p w14:paraId="6617F186" w14:textId="1ACAA1B1" w:rsidR="00E41B06" w:rsidRPr="00E41B06" w:rsidRDefault="00E41B06" w:rsidP="00E41B06">
    <w:pPr>
      <w:pStyle w:val="Nagwek"/>
      <w:jc w:val="right"/>
      <w:rPr>
        <w:sz w:val="20"/>
        <w:szCs w:val="20"/>
      </w:rPr>
    </w:pPr>
    <w:r w:rsidRPr="00E41B06">
      <w:rPr>
        <w:sz w:val="20"/>
        <w:szCs w:val="20"/>
      </w:rPr>
      <w:t xml:space="preserve">Załącznik nr 1 do Zaproszenia do </w:t>
    </w:r>
    <w:r w:rsidR="00AD3671">
      <w:rPr>
        <w:sz w:val="20"/>
        <w:szCs w:val="20"/>
      </w:rPr>
      <w:t>składania ofert</w:t>
    </w:r>
    <w:r w:rsidRPr="00E41B06">
      <w:rPr>
        <w:sz w:val="20"/>
        <w:szCs w:val="20"/>
      </w:rPr>
      <w:t xml:space="preserve"> - PPU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9"/>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50"/>
  </w:num>
  <w:num w:numId="51" w16cid:durableId="1930851497">
    <w:abstractNumId w:val="48"/>
  </w:num>
  <w:num w:numId="52" w16cid:durableId="25771650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5702B"/>
    <w:rsid w:val="000639CB"/>
    <w:rsid w:val="000738E3"/>
    <w:rsid w:val="00077CF5"/>
    <w:rsid w:val="00077F84"/>
    <w:rsid w:val="0009194C"/>
    <w:rsid w:val="0009490A"/>
    <w:rsid w:val="000A2640"/>
    <w:rsid w:val="000B3E87"/>
    <w:rsid w:val="000B7136"/>
    <w:rsid w:val="000C685C"/>
    <w:rsid w:val="000D1B0C"/>
    <w:rsid w:val="000D7F9F"/>
    <w:rsid w:val="000E0798"/>
    <w:rsid w:val="000E2067"/>
    <w:rsid w:val="000F39A6"/>
    <w:rsid w:val="00100FA2"/>
    <w:rsid w:val="0010184B"/>
    <w:rsid w:val="00121EBB"/>
    <w:rsid w:val="0013141E"/>
    <w:rsid w:val="00133A9D"/>
    <w:rsid w:val="00141577"/>
    <w:rsid w:val="0014757E"/>
    <w:rsid w:val="00147E9B"/>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D3C5C"/>
    <w:rsid w:val="001E4758"/>
    <w:rsid w:val="001F1F64"/>
    <w:rsid w:val="001F2552"/>
    <w:rsid w:val="001F7084"/>
    <w:rsid w:val="00207037"/>
    <w:rsid w:val="00211C00"/>
    <w:rsid w:val="00211E43"/>
    <w:rsid w:val="00225F56"/>
    <w:rsid w:val="00226BDE"/>
    <w:rsid w:val="0025355B"/>
    <w:rsid w:val="002550E1"/>
    <w:rsid w:val="002570D6"/>
    <w:rsid w:val="002608D2"/>
    <w:rsid w:val="00260EB5"/>
    <w:rsid w:val="0026275C"/>
    <w:rsid w:val="00267AAF"/>
    <w:rsid w:val="00282037"/>
    <w:rsid w:val="00286043"/>
    <w:rsid w:val="00286B71"/>
    <w:rsid w:val="002930D1"/>
    <w:rsid w:val="002A7BC1"/>
    <w:rsid w:val="002B02AB"/>
    <w:rsid w:val="002B21F6"/>
    <w:rsid w:val="002C6735"/>
    <w:rsid w:val="002D36DC"/>
    <w:rsid w:val="002D399E"/>
    <w:rsid w:val="002D3BEF"/>
    <w:rsid w:val="002E20F3"/>
    <w:rsid w:val="002F479D"/>
    <w:rsid w:val="00300437"/>
    <w:rsid w:val="003130D5"/>
    <w:rsid w:val="003152F4"/>
    <w:rsid w:val="00340F35"/>
    <w:rsid w:val="003642DB"/>
    <w:rsid w:val="00366055"/>
    <w:rsid w:val="00366185"/>
    <w:rsid w:val="00367E54"/>
    <w:rsid w:val="003702D7"/>
    <w:rsid w:val="00382614"/>
    <w:rsid w:val="003857BB"/>
    <w:rsid w:val="003A0ED5"/>
    <w:rsid w:val="003A2917"/>
    <w:rsid w:val="003A5868"/>
    <w:rsid w:val="003B0047"/>
    <w:rsid w:val="003B0862"/>
    <w:rsid w:val="003B41A5"/>
    <w:rsid w:val="003B6980"/>
    <w:rsid w:val="003C5692"/>
    <w:rsid w:val="003D45B3"/>
    <w:rsid w:val="003D5699"/>
    <w:rsid w:val="003E389F"/>
    <w:rsid w:val="003F0B54"/>
    <w:rsid w:val="003F1BAC"/>
    <w:rsid w:val="00424B99"/>
    <w:rsid w:val="004334CF"/>
    <w:rsid w:val="00433E0A"/>
    <w:rsid w:val="00435F09"/>
    <w:rsid w:val="00444B87"/>
    <w:rsid w:val="00455524"/>
    <w:rsid w:val="00462558"/>
    <w:rsid w:val="00465DA0"/>
    <w:rsid w:val="00471076"/>
    <w:rsid w:val="00471191"/>
    <w:rsid w:val="00477314"/>
    <w:rsid w:val="00482EB3"/>
    <w:rsid w:val="00483C61"/>
    <w:rsid w:val="004841BB"/>
    <w:rsid w:val="004946DA"/>
    <w:rsid w:val="004A1AFA"/>
    <w:rsid w:val="005051E8"/>
    <w:rsid w:val="00510DC7"/>
    <w:rsid w:val="00530067"/>
    <w:rsid w:val="00553CAB"/>
    <w:rsid w:val="00554777"/>
    <w:rsid w:val="00556E76"/>
    <w:rsid w:val="00560BBB"/>
    <w:rsid w:val="0056225F"/>
    <w:rsid w:val="00563668"/>
    <w:rsid w:val="00573148"/>
    <w:rsid w:val="00584233"/>
    <w:rsid w:val="00585E88"/>
    <w:rsid w:val="005A5080"/>
    <w:rsid w:val="005A666E"/>
    <w:rsid w:val="005B2E2D"/>
    <w:rsid w:val="005B41AA"/>
    <w:rsid w:val="005B7F19"/>
    <w:rsid w:val="005C040B"/>
    <w:rsid w:val="005E5433"/>
    <w:rsid w:val="005E7CA7"/>
    <w:rsid w:val="005F00A3"/>
    <w:rsid w:val="005F4051"/>
    <w:rsid w:val="005F6685"/>
    <w:rsid w:val="00611DB4"/>
    <w:rsid w:val="0061667E"/>
    <w:rsid w:val="00617D0D"/>
    <w:rsid w:val="006228EF"/>
    <w:rsid w:val="006441F9"/>
    <w:rsid w:val="006452E4"/>
    <w:rsid w:val="006504A9"/>
    <w:rsid w:val="0065386D"/>
    <w:rsid w:val="00656FB0"/>
    <w:rsid w:val="00663C4C"/>
    <w:rsid w:val="00670E03"/>
    <w:rsid w:val="00671FBE"/>
    <w:rsid w:val="00683790"/>
    <w:rsid w:val="00692482"/>
    <w:rsid w:val="0069476E"/>
    <w:rsid w:val="00695950"/>
    <w:rsid w:val="006A5DB9"/>
    <w:rsid w:val="006B416C"/>
    <w:rsid w:val="006B5782"/>
    <w:rsid w:val="006B5CEE"/>
    <w:rsid w:val="006C16CE"/>
    <w:rsid w:val="006E166E"/>
    <w:rsid w:val="006E1E7C"/>
    <w:rsid w:val="006F0EF2"/>
    <w:rsid w:val="006F5A33"/>
    <w:rsid w:val="00713EF9"/>
    <w:rsid w:val="00717A20"/>
    <w:rsid w:val="007228B4"/>
    <w:rsid w:val="00726443"/>
    <w:rsid w:val="007337F8"/>
    <w:rsid w:val="00734F6E"/>
    <w:rsid w:val="00737797"/>
    <w:rsid w:val="00755055"/>
    <w:rsid w:val="00757B29"/>
    <w:rsid w:val="007673AB"/>
    <w:rsid w:val="00776995"/>
    <w:rsid w:val="00776B75"/>
    <w:rsid w:val="00781493"/>
    <w:rsid w:val="0078699A"/>
    <w:rsid w:val="00787A24"/>
    <w:rsid w:val="00796959"/>
    <w:rsid w:val="007A28B6"/>
    <w:rsid w:val="007A4FA6"/>
    <w:rsid w:val="007B0438"/>
    <w:rsid w:val="007B1500"/>
    <w:rsid w:val="007B1F8A"/>
    <w:rsid w:val="007B3A0E"/>
    <w:rsid w:val="007C0B62"/>
    <w:rsid w:val="007C4017"/>
    <w:rsid w:val="007C6B64"/>
    <w:rsid w:val="007D5ABF"/>
    <w:rsid w:val="007D78F5"/>
    <w:rsid w:val="007E028E"/>
    <w:rsid w:val="007F4644"/>
    <w:rsid w:val="008037F3"/>
    <w:rsid w:val="00804093"/>
    <w:rsid w:val="00806D84"/>
    <w:rsid w:val="00807C59"/>
    <w:rsid w:val="008111DA"/>
    <w:rsid w:val="00812660"/>
    <w:rsid w:val="00813339"/>
    <w:rsid w:val="00843706"/>
    <w:rsid w:val="00843F73"/>
    <w:rsid w:val="00845776"/>
    <w:rsid w:val="00854B40"/>
    <w:rsid w:val="00877D5E"/>
    <w:rsid w:val="00881E34"/>
    <w:rsid w:val="00884838"/>
    <w:rsid w:val="00886282"/>
    <w:rsid w:val="0089625D"/>
    <w:rsid w:val="008A3F96"/>
    <w:rsid w:val="008A49CC"/>
    <w:rsid w:val="008A5E2C"/>
    <w:rsid w:val="008A7975"/>
    <w:rsid w:val="008A7E12"/>
    <w:rsid w:val="008B34B9"/>
    <w:rsid w:val="008B41D3"/>
    <w:rsid w:val="008B76F9"/>
    <w:rsid w:val="008D19D2"/>
    <w:rsid w:val="008D639D"/>
    <w:rsid w:val="008E5FB2"/>
    <w:rsid w:val="00910C92"/>
    <w:rsid w:val="00914140"/>
    <w:rsid w:val="0091730E"/>
    <w:rsid w:val="00922A48"/>
    <w:rsid w:val="00922C78"/>
    <w:rsid w:val="00930569"/>
    <w:rsid w:val="0094175F"/>
    <w:rsid w:val="0094194E"/>
    <w:rsid w:val="00942101"/>
    <w:rsid w:val="00942F47"/>
    <w:rsid w:val="00956047"/>
    <w:rsid w:val="00963B91"/>
    <w:rsid w:val="00964FA1"/>
    <w:rsid w:val="009655DB"/>
    <w:rsid w:val="00973046"/>
    <w:rsid w:val="0097562E"/>
    <w:rsid w:val="009875B9"/>
    <w:rsid w:val="00990215"/>
    <w:rsid w:val="009A343F"/>
    <w:rsid w:val="009A50FD"/>
    <w:rsid w:val="009C2D39"/>
    <w:rsid w:val="009C3C15"/>
    <w:rsid w:val="009D1323"/>
    <w:rsid w:val="009D34B5"/>
    <w:rsid w:val="009D7468"/>
    <w:rsid w:val="009E64DF"/>
    <w:rsid w:val="009F7BA2"/>
    <w:rsid w:val="00A00C1A"/>
    <w:rsid w:val="00A06BBF"/>
    <w:rsid w:val="00A10EB3"/>
    <w:rsid w:val="00A12D9D"/>
    <w:rsid w:val="00A13FB8"/>
    <w:rsid w:val="00A259E4"/>
    <w:rsid w:val="00A455BE"/>
    <w:rsid w:val="00A456D3"/>
    <w:rsid w:val="00A507BE"/>
    <w:rsid w:val="00A533EC"/>
    <w:rsid w:val="00A56B37"/>
    <w:rsid w:val="00A61241"/>
    <w:rsid w:val="00A63ED9"/>
    <w:rsid w:val="00A90544"/>
    <w:rsid w:val="00A96909"/>
    <w:rsid w:val="00AA7265"/>
    <w:rsid w:val="00AA7B78"/>
    <w:rsid w:val="00AB5C6A"/>
    <w:rsid w:val="00AC376F"/>
    <w:rsid w:val="00AC592D"/>
    <w:rsid w:val="00AD20EF"/>
    <w:rsid w:val="00AD3671"/>
    <w:rsid w:val="00AD669B"/>
    <w:rsid w:val="00AE2717"/>
    <w:rsid w:val="00AF48D5"/>
    <w:rsid w:val="00AF593F"/>
    <w:rsid w:val="00B12952"/>
    <w:rsid w:val="00B16F9F"/>
    <w:rsid w:val="00B20772"/>
    <w:rsid w:val="00B23D66"/>
    <w:rsid w:val="00B30E38"/>
    <w:rsid w:val="00B31543"/>
    <w:rsid w:val="00B3425B"/>
    <w:rsid w:val="00B37B22"/>
    <w:rsid w:val="00B37E5C"/>
    <w:rsid w:val="00B41774"/>
    <w:rsid w:val="00B42C1C"/>
    <w:rsid w:val="00B54E82"/>
    <w:rsid w:val="00B66B4E"/>
    <w:rsid w:val="00B73FAE"/>
    <w:rsid w:val="00B7713D"/>
    <w:rsid w:val="00B840F9"/>
    <w:rsid w:val="00B90979"/>
    <w:rsid w:val="00B978F0"/>
    <w:rsid w:val="00BA1606"/>
    <w:rsid w:val="00BB119F"/>
    <w:rsid w:val="00BC2AA9"/>
    <w:rsid w:val="00BC5152"/>
    <w:rsid w:val="00BD0A5B"/>
    <w:rsid w:val="00BE7B81"/>
    <w:rsid w:val="00BF7066"/>
    <w:rsid w:val="00C03359"/>
    <w:rsid w:val="00C075FA"/>
    <w:rsid w:val="00C14610"/>
    <w:rsid w:val="00C3181B"/>
    <w:rsid w:val="00C33E07"/>
    <w:rsid w:val="00C35C72"/>
    <w:rsid w:val="00C376CF"/>
    <w:rsid w:val="00C4257E"/>
    <w:rsid w:val="00C47B0A"/>
    <w:rsid w:val="00C51489"/>
    <w:rsid w:val="00C5332E"/>
    <w:rsid w:val="00C575AE"/>
    <w:rsid w:val="00C60B5F"/>
    <w:rsid w:val="00C7450C"/>
    <w:rsid w:val="00C76FEB"/>
    <w:rsid w:val="00C771BB"/>
    <w:rsid w:val="00C77FCD"/>
    <w:rsid w:val="00C93E9D"/>
    <w:rsid w:val="00C97B49"/>
    <w:rsid w:val="00CA1279"/>
    <w:rsid w:val="00CB34F5"/>
    <w:rsid w:val="00CB34FE"/>
    <w:rsid w:val="00CC3DCC"/>
    <w:rsid w:val="00CD5CDA"/>
    <w:rsid w:val="00CD7836"/>
    <w:rsid w:val="00CE2698"/>
    <w:rsid w:val="00D11A2B"/>
    <w:rsid w:val="00D134D8"/>
    <w:rsid w:val="00D14ECA"/>
    <w:rsid w:val="00D303E4"/>
    <w:rsid w:val="00D34167"/>
    <w:rsid w:val="00D45900"/>
    <w:rsid w:val="00D576EB"/>
    <w:rsid w:val="00D6248B"/>
    <w:rsid w:val="00D76AD5"/>
    <w:rsid w:val="00D8191A"/>
    <w:rsid w:val="00DA1C9D"/>
    <w:rsid w:val="00DA2E68"/>
    <w:rsid w:val="00DA4631"/>
    <w:rsid w:val="00DA5799"/>
    <w:rsid w:val="00DA6482"/>
    <w:rsid w:val="00DA7F75"/>
    <w:rsid w:val="00DB2976"/>
    <w:rsid w:val="00DB2FD9"/>
    <w:rsid w:val="00DB6539"/>
    <w:rsid w:val="00DD45BB"/>
    <w:rsid w:val="00DD4F85"/>
    <w:rsid w:val="00DF4280"/>
    <w:rsid w:val="00E02260"/>
    <w:rsid w:val="00E03170"/>
    <w:rsid w:val="00E04E29"/>
    <w:rsid w:val="00E057E8"/>
    <w:rsid w:val="00E064C5"/>
    <w:rsid w:val="00E12B3C"/>
    <w:rsid w:val="00E15DAC"/>
    <w:rsid w:val="00E37565"/>
    <w:rsid w:val="00E41B06"/>
    <w:rsid w:val="00E52C96"/>
    <w:rsid w:val="00E554E7"/>
    <w:rsid w:val="00E64724"/>
    <w:rsid w:val="00E76DE3"/>
    <w:rsid w:val="00E906D5"/>
    <w:rsid w:val="00EA30A8"/>
    <w:rsid w:val="00EB1ABD"/>
    <w:rsid w:val="00EB4439"/>
    <w:rsid w:val="00EB4827"/>
    <w:rsid w:val="00EB7A31"/>
    <w:rsid w:val="00EC74C3"/>
    <w:rsid w:val="00ED344F"/>
    <w:rsid w:val="00ED667B"/>
    <w:rsid w:val="00ED6DE1"/>
    <w:rsid w:val="00EE44F8"/>
    <w:rsid w:val="00EE720B"/>
    <w:rsid w:val="00EE7D88"/>
    <w:rsid w:val="00EF0C78"/>
    <w:rsid w:val="00EF143F"/>
    <w:rsid w:val="00EF42CA"/>
    <w:rsid w:val="00EF5D4F"/>
    <w:rsid w:val="00EF668B"/>
    <w:rsid w:val="00F07A49"/>
    <w:rsid w:val="00F14EA5"/>
    <w:rsid w:val="00F173B3"/>
    <w:rsid w:val="00F242A7"/>
    <w:rsid w:val="00F27353"/>
    <w:rsid w:val="00F5283F"/>
    <w:rsid w:val="00F6069D"/>
    <w:rsid w:val="00F6463A"/>
    <w:rsid w:val="00F65307"/>
    <w:rsid w:val="00F71598"/>
    <w:rsid w:val="00F73C55"/>
    <w:rsid w:val="00F74673"/>
    <w:rsid w:val="00F77F8D"/>
    <w:rsid w:val="00F8042A"/>
    <w:rsid w:val="00F820ED"/>
    <w:rsid w:val="00F8491C"/>
    <w:rsid w:val="00F94127"/>
    <w:rsid w:val="00F947CC"/>
    <w:rsid w:val="00FA2307"/>
    <w:rsid w:val="00FB558A"/>
    <w:rsid w:val="00FD0D68"/>
    <w:rsid w:val="00FD4F14"/>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4446</Words>
  <Characters>26678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2024-08-22T06:58:00Z</dcterms:created>
  <dcterms:modified xsi:type="dcterms:W3CDTF">2024-08-22T06:58:00Z</dcterms:modified>
</cp:coreProperties>
</file>