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CD06" w14:textId="77777777" w:rsidR="00332B80" w:rsidRPr="00332B80" w:rsidRDefault="00332B80" w:rsidP="00130399">
      <w:pPr>
        <w:pStyle w:val="Tytu"/>
      </w:pPr>
      <w:r w:rsidRPr="00332B80">
        <w:t>UZASADNIENIE</w:t>
      </w:r>
    </w:p>
    <w:p w14:paraId="14D5605B" w14:textId="4B05A958" w:rsidR="00332B80" w:rsidRPr="00332B80" w:rsidRDefault="00332B80" w:rsidP="00332B80">
      <w:pPr>
        <w:pStyle w:val="NIEARTTEKSTtekstnieartykuowanynppodstprawnarozplubpreambua"/>
        <w:rPr>
          <w:rFonts w:ascii="Times New Roman" w:eastAsia="Times New Roman" w:hAnsi="Times New Roman" w:cs="Times New Roman"/>
          <w:szCs w:val="24"/>
        </w:rPr>
      </w:pPr>
      <w:r w:rsidRPr="00332B80">
        <w:rPr>
          <w:rFonts w:ascii="Times New Roman" w:eastAsia="Times New Roman" w:hAnsi="Times New Roman" w:cs="Times New Roman"/>
          <w:szCs w:val="24"/>
        </w:rPr>
        <w:t xml:space="preserve">Projektowane rozporządzenie wykonuje upoważnienie ustawowe zawarte w </w:t>
      </w:r>
      <w:r w:rsidRPr="00332B80">
        <w:rPr>
          <w:rFonts w:ascii="Times New Roman" w:hAnsi="Times New Roman" w:cs="Times New Roman"/>
          <w:szCs w:val="24"/>
        </w:rPr>
        <w:t>art. 145 ust.</w:t>
      </w:r>
      <w:r w:rsidR="00760AA9">
        <w:rPr>
          <w:rFonts w:ascii="Times New Roman" w:hAnsi="Times New Roman" w:cs="Times New Roman"/>
          <w:szCs w:val="24"/>
        </w:rPr>
        <w:t> </w:t>
      </w:r>
      <w:r w:rsidRPr="00332B80">
        <w:rPr>
          <w:rFonts w:ascii="Times New Roman" w:hAnsi="Times New Roman" w:cs="Times New Roman"/>
          <w:szCs w:val="24"/>
        </w:rPr>
        <w:t>4 ustawy z dnia 12 lipca 2024 r. – Prawo komunikacji elektronicznej (</w:t>
      </w:r>
      <w:r w:rsidR="00350452" w:rsidRPr="00350452">
        <w:rPr>
          <w:rFonts w:ascii="Times New Roman" w:hAnsi="Times New Roman" w:cs="Times New Roman"/>
          <w:szCs w:val="24"/>
        </w:rPr>
        <w:t>Dz. U. poz. 1221</w:t>
      </w:r>
      <w:r w:rsidR="00904E2B">
        <w:rPr>
          <w:rFonts w:ascii="Times New Roman" w:hAnsi="Times New Roman" w:cs="Times New Roman"/>
          <w:szCs w:val="24"/>
        </w:rPr>
        <w:t>,</w:t>
      </w:r>
      <w:r w:rsidR="00B2192A">
        <w:rPr>
          <w:rFonts w:ascii="Times New Roman" w:hAnsi="Times New Roman" w:cs="Times New Roman"/>
          <w:szCs w:val="24"/>
        </w:rPr>
        <w:t xml:space="preserve"> </w:t>
      </w:r>
      <w:r w:rsidR="00350452" w:rsidRPr="00350452">
        <w:rPr>
          <w:rFonts w:ascii="Times New Roman" w:hAnsi="Times New Roman" w:cs="Times New Roman"/>
          <w:szCs w:val="24"/>
        </w:rPr>
        <w:t>z 2025</w:t>
      </w:r>
      <w:r w:rsidR="00760AA9">
        <w:rPr>
          <w:rFonts w:ascii="Times New Roman" w:hAnsi="Times New Roman" w:cs="Times New Roman"/>
          <w:szCs w:val="24"/>
        </w:rPr>
        <w:t> </w:t>
      </w:r>
      <w:r w:rsidR="00350452" w:rsidRPr="00350452">
        <w:rPr>
          <w:rFonts w:ascii="Times New Roman" w:hAnsi="Times New Roman" w:cs="Times New Roman"/>
          <w:szCs w:val="24"/>
        </w:rPr>
        <w:t>r. poz. 637 i 820</w:t>
      </w:r>
      <w:r w:rsidR="00904E2B">
        <w:rPr>
          <w:rFonts w:ascii="Times New Roman" w:hAnsi="Times New Roman" w:cs="Times New Roman"/>
          <w:szCs w:val="24"/>
        </w:rPr>
        <w:t xml:space="preserve"> oraz z 2026 r. poz. 252</w:t>
      </w:r>
      <w:r w:rsidR="00B2192A">
        <w:rPr>
          <w:rFonts w:ascii="Times New Roman" w:hAnsi="Times New Roman" w:cs="Times New Roman"/>
          <w:szCs w:val="24"/>
        </w:rPr>
        <w:t xml:space="preserve"> i 815</w:t>
      </w:r>
      <w:r w:rsidRPr="00332B80">
        <w:rPr>
          <w:rFonts w:ascii="Times New Roman" w:hAnsi="Times New Roman" w:cs="Times New Roman"/>
          <w:szCs w:val="24"/>
        </w:rPr>
        <w:t>)</w:t>
      </w:r>
      <w:r w:rsidR="0028722C">
        <w:rPr>
          <w:rFonts w:ascii="Times New Roman" w:hAnsi="Times New Roman" w:cs="Times New Roman"/>
          <w:szCs w:val="24"/>
        </w:rPr>
        <w:t>, zwanej dalej „PKE”,</w:t>
      </w:r>
      <w:r w:rsidRPr="00332B80">
        <w:rPr>
          <w:rFonts w:ascii="Times New Roman" w:hAnsi="Times New Roman" w:cs="Times New Roman"/>
          <w:szCs w:val="24"/>
        </w:rPr>
        <w:t xml:space="preserve"> </w:t>
      </w:r>
      <w:r w:rsidRPr="00332B80">
        <w:rPr>
          <w:rFonts w:ascii="Times New Roman" w:eastAsia="Times New Roman" w:hAnsi="Times New Roman" w:cs="Times New Roman"/>
          <w:szCs w:val="24"/>
        </w:rPr>
        <w:t xml:space="preserve">upoważniające ministra właściwego do spraw informatyzacji do określenia zakresu urządzeń radiowych nadawczych lub nadawczo-odbiorczych, które mogą być używane bez pozwolenia radiowego, kierując się zasadą zwiększania liczby rodzajów takich urządzeń, przy uwzględnieniu potrzeby harmonijnego gospodarowania częstotliwościami, uwzględniając przepisy międzynarodowe oraz określając warunki używania urządzeń radiowych nadawczych lub nadawczo-odbiorczych, które mogą być używane bez pozwolenia radiowego, w tym w szczególności zakresy wykorzystywanych przez nie częstotliwości, maksymalną moc promieniowaną lub maksymalne natężenie pola magnetycznego oraz obszar używania tych urządzeń, a także rodzaje służb radiokomunikacyjnych. Rozporządzenie to uzupełnia wykaz urządzeń radiowych nadawczych lub nadawczo-odbiorczych, które nie wymagają pozwoleń, zawarty w </w:t>
      </w:r>
      <w:bookmarkStart w:id="0" w:name="_Hlk215151102"/>
      <w:r w:rsidRPr="00332B80">
        <w:rPr>
          <w:rFonts w:ascii="Times New Roman" w:eastAsia="Times New Roman" w:hAnsi="Times New Roman" w:cs="Times New Roman"/>
          <w:szCs w:val="24"/>
        </w:rPr>
        <w:t>art. 145</w:t>
      </w:r>
      <w:bookmarkEnd w:id="0"/>
      <w:r w:rsidRPr="00332B80">
        <w:rPr>
          <w:rFonts w:ascii="Times New Roman" w:eastAsia="Times New Roman" w:hAnsi="Times New Roman" w:cs="Times New Roman"/>
          <w:szCs w:val="24"/>
        </w:rPr>
        <w:t xml:space="preserve"> ust.</w:t>
      </w:r>
      <w:r w:rsidR="00760AA9">
        <w:rPr>
          <w:rFonts w:ascii="Times New Roman" w:eastAsia="Times New Roman" w:hAnsi="Times New Roman" w:cs="Times New Roman"/>
          <w:szCs w:val="24"/>
        </w:rPr>
        <w:t> </w:t>
      </w:r>
      <w:r w:rsidRPr="00332B80">
        <w:rPr>
          <w:rFonts w:ascii="Times New Roman" w:eastAsia="Times New Roman" w:hAnsi="Times New Roman" w:cs="Times New Roman"/>
          <w:szCs w:val="24"/>
        </w:rPr>
        <w:t>2 i 3 P</w:t>
      </w:r>
      <w:r w:rsidR="0028722C">
        <w:rPr>
          <w:rFonts w:ascii="Times New Roman" w:eastAsia="Times New Roman" w:hAnsi="Times New Roman" w:cs="Times New Roman"/>
          <w:szCs w:val="24"/>
        </w:rPr>
        <w:t>KE</w:t>
      </w:r>
      <w:r w:rsidRPr="00332B80">
        <w:rPr>
          <w:rFonts w:ascii="Times New Roman" w:eastAsia="Times New Roman" w:hAnsi="Times New Roman" w:cs="Times New Roman"/>
          <w:szCs w:val="24"/>
        </w:rPr>
        <w:t>.</w:t>
      </w:r>
    </w:p>
    <w:p w14:paraId="58DE48AA" w14:textId="71DB73CA" w:rsidR="00332B80" w:rsidRDefault="00332B80" w:rsidP="00D0341C">
      <w:pPr>
        <w:pStyle w:val="NIEARTTEKSTtekstnieartykuowanynppodstprawnarozplubpreambua"/>
        <w:ind w:firstLine="567"/>
        <w:rPr>
          <w:rFonts w:ascii="Times New Roman" w:eastAsia="Times New Roman" w:hAnsi="Times New Roman" w:cs="Times New Roman"/>
          <w:szCs w:val="24"/>
        </w:rPr>
      </w:pPr>
      <w:r w:rsidRPr="00332B80">
        <w:rPr>
          <w:rFonts w:ascii="Times New Roman" w:eastAsia="Times New Roman" w:hAnsi="Times New Roman" w:cs="Times New Roman"/>
          <w:szCs w:val="24"/>
        </w:rPr>
        <w:t xml:space="preserve">Projektowane rozporządzenie było poprzedzone </w:t>
      </w:r>
      <w:r w:rsidR="0028722C">
        <w:rPr>
          <w:rFonts w:ascii="Times New Roman" w:eastAsia="Times New Roman" w:hAnsi="Times New Roman" w:cs="Times New Roman"/>
          <w:szCs w:val="24"/>
        </w:rPr>
        <w:t xml:space="preserve">rozporządzeniem Ministra Cyfryzacji </w:t>
      </w:r>
      <w:r w:rsidRPr="00332B80">
        <w:rPr>
          <w:rFonts w:ascii="Times New Roman" w:eastAsia="Times New Roman" w:hAnsi="Times New Roman" w:cs="Times New Roman"/>
          <w:szCs w:val="24"/>
        </w:rPr>
        <w:t>z</w:t>
      </w:r>
      <w:r w:rsidR="00B2192A">
        <w:rPr>
          <w:rFonts w:ascii="Times New Roman" w:eastAsia="Times New Roman" w:hAnsi="Times New Roman" w:cs="Times New Roman"/>
          <w:szCs w:val="24"/>
        </w:rPr>
        <w:t> </w:t>
      </w:r>
      <w:r w:rsidRPr="00332B80">
        <w:rPr>
          <w:rFonts w:ascii="Times New Roman" w:eastAsia="Times New Roman" w:hAnsi="Times New Roman" w:cs="Times New Roman"/>
          <w:szCs w:val="24"/>
        </w:rPr>
        <w:t xml:space="preserve">dnia 9 lutego 2022 r. w sprawie urządzeń radiowych nadawczych lub nadawczo-odbiorczych, które mogą być używane bez pozwolenia radiowego (Dz. U. </w:t>
      </w:r>
      <w:r w:rsidR="0028722C">
        <w:rPr>
          <w:rFonts w:ascii="Times New Roman" w:eastAsia="Times New Roman" w:hAnsi="Times New Roman" w:cs="Times New Roman"/>
          <w:szCs w:val="24"/>
        </w:rPr>
        <w:t xml:space="preserve">poz. </w:t>
      </w:r>
      <w:r w:rsidR="004F55A6">
        <w:rPr>
          <w:rFonts w:ascii="Times New Roman" w:eastAsia="Times New Roman" w:hAnsi="Times New Roman" w:cs="Times New Roman"/>
          <w:szCs w:val="24"/>
        </w:rPr>
        <w:t xml:space="preserve">567 </w:t>
      </w:r>
      <w:r w:rsidR="0028722C">
        <w:rPr>
          <w:rFonts w:ascii="Times New Roman" w:eastAsia="Times New Roman" w:hAnsi="Times New Roman" w:cs="Times New Roman"/>
          <w:szCs w:val="24"/>
        </w:rPr>
        <w:t xml:space="preserve">oraz z </w:t>
      </w:r>
      <w:r w:rsidRPr="00332B80">
        <w:rPr>
          <w:rFonts w:ascii="Times New Roman" w:eastAsia="Times New Roman" w:hAnsi="Times New Roman" w:cs="Times New Roman"/>
          <w:szCs w:val="24"/>
        </w:rPr>
        <w:t xml:space="preserve">2023 r. poz. 2567), które na podstawie </w:t>
      </w:r>
      <w:r w:rsidRPr="00332B80">
        <w:rPr>
          <w:rFonts w:ascii="Times New Roman" w:hAnsi="Times New Roman" w:cs="Times New Roman"/>
          <w:szCs w:val="24"/>
        </w:rPr>
        <w:t xml:space="preserve">art. 104 </w:t>
      </w:r>
      <w:r w:rsidR="004F55A6">
        <w:rPr>
          <w:rFonts w:ascii="Times New Roman" w:hAnsi="Times New Roman" w:cs="Times New Roman"/>
          <w:szCs w:val="24"/>
        </w:rPr>
        <w:t>pkt</w:t>
      </w:r>
      <w:r w:rsidRPr="00332B80">
        <w:rPr>
          <w:rFonts w:ascii="Times New Roman" w:hAnsi="Times New Roman" w:cs="Times New Roman"/>
          <w:szCs w:val="24"/>
        </w:rPr>
        <w:t xml:space="preserve"> 15 ustawy z dnia </w:t>
      </w:r>
      <w:r w:rsidR="00350452">
        <w:rPr>
          <w:rFonts w:ascii="Times New Roman" w:hAnsi="Times New Roman" w:cs="Times New Roman"/>
          <w:szCs w:val="24"/>
        </w:rPr>
        <w:t>12 lipca</w:t>
      </w:r>
      <w:r w:rsidRPr="00332B80">
        <w:rPr>
          <w:rFonts w:ascii="Times New Roman" w:hAnsi="Times New Roman" w:cs="Times New Roman"/>
          <w:szCs w:val="24"/>
        </w:rPr>
        <w:t xml:space="preserve"> 2024 r. – Przepisy wprowadzające ustawę – Prawo komunikacji elektronicznej (Dz. U. poz. 1222</w:t>
      </w:r>
      <w:r w:rsidR="00904E2B">
        <w:rPr>
          <w:rFonts w:ascii="Times New Roman" w:hAnsi="Times New Roman" w:cs="Times New Roman"/>
          <w:szCs w:val="24"/>
        </w:rPr>
        <w:t xml:space="preserve"> oraz z 2026 r. poz. 252</w:t>
      </w:r>
      <w:r w:rsidRPr="00332B80">
        <w:rPr>
          <w:rFonts w:ascii="Times New Roman" w:hAnsi="Times New Roman" w:cs="Times New Roman"/>
          <w:szCs w:val="24"/>
        </w:rPr>
        <w:t xml:space="preserve">) </w:t>
      </w:r>
      <w:r w:rsidRPr="00332B80">
        <w:rPr>
          <w:rFonts w:ascii="Times New Roman" w:eastAsia="Times New Roman" w:hAnsi="Times New Roman" w:cs="Times New Roman"/>
          <w:szCs w:val="24"/>
        </w:rPr>
        <w:t>traci moc z dniem wejścia w życie projektowanego rozporządzenia.</w:t>
      </w:r>
    </w:p>
    <w:p w14:paraId="21D6050E" w14:textId="7BCF1CA5" w:rsidR="00627D31" w:rsidRPr="00627D31" w:rsidRDefault="00627D31" w:rsidP="00D0341C">
      <w:pPr>
        <w:pStyle w:val="ARTartustawynprozporzdzenia"/>
        <w:ind w:firstLine="567"/>
      </w:pPr>
      <w:r w:rsidRPr="00627D31">
        <w:t xml:space="preserve">Rozporządzenie ma charakter fakultatywny, jednak jego wydanie przez </w:t>
      </w:r>
      <w:r w:rsidR="007A0658" w:rsidRPr="00332B80">
        <w:rPr>
          <w:rFonts w:ascii="Times New Roman" w:eastAsia="Times New Roman" w:hAnsi="Times New Roman" w:cs="Times New Roman"/>
          <w:szCs w:val="24"/>
        </w:rPr>
        <w:t xml:space="preserve">właściwego </w:t>
      </w:r>
      <w:r w:rsidR="004F55A6">
        <w:rPr>
          <w:rFonts w:ascii="Times New Roman" w:eastAsia="Times New Roman" w:hAnsi="Times New Roman" w:cs="Times New Roman"/>
          <w:szCs w:val="24"/>
        </w:rPr>
        <w:t xml:space="preserve">ministra </w:t>
      </w:r>
      <w:r w:rsidR="007A0658" w:rsidRPr="00332B80">
        <w:rPr>
          <w:rFonts w:ascii="Times New Roman" w:eastAsia="Times New Roman" w:hAnsi="Times New Roman" w:cs="Times New Roman"/>
          <w:szCs w:val="24"/>
        </w:rPr>
        <w:t xml:space="preserve">do spraw informatyzacji </w:t>
      </w:r>
      <w:r w:rsidRPr="00627D31">
        <w:t>jest kluczowe dla funkcjonowania rynku komunikacji elektronicznej, ponieważ rozszerza ono zakres urządzeń jakie mogą być używane bez pozwolenia radiowego i wdraża decyzje wykonawcze Komisji Europejskiej oraz decyzje, zalecenia i sprawozdania Europejskiej Konferencji Administracji Pocztowych i</w:t>
      </w:r>
      <w:r w:rsidR="00760AA9">
        <w:t> </w:t>
      </w:r>
      <w:r w:rsidRPr="00627D31">
        <w:t>Telekomunikacyjnych (</w:t>
      </w:r>
      <w:r w:rsidR="009D7563" w:rsidRPr="009D7563">
        <w:rPr>
          <w:bCs/>
          <w:i/>
          <w:iCs/>
        </w:rPr>
        <w:t>European Conference of Postal and Telecommunications Administrations</w:t>
      </w:r>
      <w:r w:rsidR="009D7563">
        <w:t xml:space="preserve"> </w:t>
      </w:r>
      <w:r w:rsidR="007A0658">
        <w:sym w:font="Symbol" w:char="F02D"/>
      </w:r>
      <w:r w:rsidR="009D7563">
        <w:t xml:space="preserve"> </w:t>
      </w:r>
      <w:r w:rsidRPr="00627D31">
        <w:t>CEPT), Komitetu Komunikacji Elektronicznej (</w:t>
      </w:r>
      <w:r w:rsidR="00950C6B" w:rsidRPr="00950C6B">
        <w:rPr>
          <w:i/>
          <w:iCs/>
        </w:rPr>
        <w:t>Electronic Communications Committee</w:t>
      </w:r>
      <w:r w:rsidR="00950C6B" w:rsidRPr="00950C6B">
        <w:t xml:space="preserve"> </w:t>
      </w:r>
      <w:r w:rsidR="007A0658">
        <w:sym w:font="Symbol" w:char="F02D"/>
      </w:r>
      <w:r w:rsidR="00950C6B">
        <w:t xml:space="preserve"> </w:t>
      </w:r>
      <w:r w:rsidRPr="00627D31">
        <w:t>ECC), Europejskiego Komitetu do spraw Telekomunikacyjnych (</w:t>
      </w:r>
      <w:r w:rsidR="00950C6B" w:rsidRPr="00950C6B">
        <w:rPr>
          <w:i/>
          <w:iCs/>
        </w:rPr>
        <w:t>European Committee for Telecommunications Regulatory Affairs</w:t>
      </w:r>
      <w:r w:rsidR="00950C6B" w:rsidRPr="00950C6B">
        <w:t xml:space="preserve"> </w:t>
      </w:r>
      <w:r w:rsidR="007A0658">
        <w:sym w:font="Symbol" w:char="F02D"/>
      </w:r>
      <w:r w:rsidR="00950C6B">
        <w:t xml:space="preserve"> </w:t>
      </w:r>
      <w:r w:rsidRPr="00627D31">
        <w:t>ECTRA) oraz Europejskiego Komitetu Radiokomunikacji (</w:t>
      </w:r>
      <w:r w:rsidR="00950C6B" w:rsidRPr="00950C6B">
        <w:t xml:space="preserve">European Radiocommunications Committee </w:t>
      </w:r>
      <w:r w:rsidR="007A0658">
        <w:sym w:font="Symbol" w:char="F02D"/>
      </w:r>
      <w:r w:rsidR="00950C6B">
        <w:t xml:space="preserve"> </w:t>
      </w:r>
      <w:r w:rsidRPr="00627D31">
        <w:t>ERC).</w:t>
      </w:r>
    </w:p>
    <w:p w14:paraId="7629A5E2" w14:textId="4F2326C0" w:rsidR="00A44C90" w:rsidRDefault="00A44C90" w:rsidP="00D0341C">
      <w:pPr>
        <w:pStyle w:val="NIEARTTEKSTtekstnieartykuowanynppodstprawnarozplubpreambua"/>
        <w:ind w:firstLine="567"/>
        <w:rPr>
          <w:rFonts w:ascii="Times New Roman" w:eastAsia="Times New Roman" w:hAnsi="Times New Roman" w:cs="Times New Roman"/>
          <w:szCs w:val="24"/>
        </w:rPr>
      </w:pPr>
      <w:r w:rsidRPr="0002430D">
        <w:rPr>
          <w:rFonts w:ascii="Times New Roman" w:eastAsia="Times New Roman" w:hAnsi="Times New Roman" w:cs="Times New Roman"/>
          <w:szCs w:val="24"/>
        </w:rPr>
        <w:lastRenderedPageBreak/>
        <w:t xml:space="preserve">Projektowane rozporządzenie względem poprzedzającego je rozporządzenia Ministra Cyfryzacji </w:t>
      </w:r>
      <w:r w:rsidR="00165807">
        <w:rPr>
          <w:rFonts w:ascii="Times New Roman" w:eastAsia="Times New Roman" w:hAnsi="Times New Roman" w:cs="Times New Roman"/>
          <w:szCs w:val="24"/>
        </w:rPr>
        <w:t xml:space="preserve">z </w:t>
      </w:r>
      <w:r w:rsidR="00165807" w:rsidRPr="00822B56">
        <w:rPr>
          <w:rFonts w:ascii="Times New Roman" w:eastAsia="Times New Roman" w:hAnsi="Times New Roman" w:cs="Times New Roman"/>
          <w:szCs w:val="24"/>
        </w:rPr>
        <w:t>dnia 9 lutego 2022 r.</w:t>
      </w:r>
      <w:r w:rsidR="00165807">
        <w:rPr>
          <w:rFonts w:ascii="Times New Roman" w:eastAsia="Times New Roman" w:hAnsi="Times New Roman" w:cs="Times New Roman"/>
          <w:szCs w:val="24"/>
        </w:rPr>
        <w:t xml:space="preserve"> </w:t>
      </w:r>
      <w:r w:rsidR="003E0810" w:rsidRPr="00332B80">
        <w:rPr>
          <w:rFonts w:ascii="Times New Roman" w:eastAsia="Times New Roman" w:hAnsi="Times New Roman" w:cs="Times New Roman"/>
          <w:szCs w:val="24"/>
        </w:rPr>
        <w:t xml:space="preserve">w sprawie urządzeń radiowych nadawczych lub nadawczo-odbiorczych, które mogą być używane bez pozwolenia radiowego </w:t>
      </w:r>
      <w:r w:rsidRPr="0002430D">
        <w:rPr>
          <w:rFonts w:ascii="Times New Roman" w:eastAsia="Times New Roman" w:hAnsi="Times New Roman" w:cs="Times New Roman"/>
          <w:szCs w:val="24"/>
        </w:rPr>
        <w:t>zawiera szereg zmian, polegających w szczególności na uzupełnieniu i aktualizacji określeń, oznaczeń, skrótów i</w:t>
      </w:r>
      <w:r w:rsidR="00B2192A">
        <w:rPr>
          <w:rFonts w:ascii="Times New Roman" w:eastAsia="Times New Roman" w:hAnsi="Times New Roman" w:cs="Times New Roman"/>
          <w:szCs w:val="24"/>
        </w:rPr>
        <w:t> </w:t>
      </w:r>
      <w:r w:rsidRPr="0002430D">
        <w:rPr>
          <w:rFonts w:ascii="Times New Roman" w:eastAsia="Times New Roman" w:hAnsi="Times New Roman" w:cs="Times New Roman"/>
          <w:szCs w:val="24"/>
        </w:rPr>
        <w:t xml:space="preserve">symboli używanych w rozporządzeniu i załącznikach oraz rozszerzeniu i aktualizacji katalogu urządzeń, których używanie nie wymaga pozwolenia radiowego. </w:t>
      </w:r>
      <w:r>
        <w:rPr>
          <w:rFonts w:ascii="Times New Roman" w:eastAsia="Times New Roman" w:hAnsi="Times New Roman" w:cs="Times New Roman"/>
          <w:szCs w:val="24"/>
        </w:rPr>
        <w:t>W szczególności zmieniony został sposób prezentowania urządzeń, które nie wymagają pozwoleń.</w:t>
      </w:r>
      <w:r w:rsidR="00165807">
        <w:rPr>
          <w:rFonts w:ascii="Times New Roman" w:eastAsia="Times New Roman" w:hAnsi="Times New Roman" w:cs="Times New Roman"/>
          <w:szCs w:val="24"/>
        </w:rPr>
        <w:t xml:space="preserve"> W projektowanym rozporządzeniu, w porównaniu do poprzedniego rozporządzenia, zrezygnowano z</w:t>
      </w:r>
      <w:r w:rsidR="00B2192A">
        <w:rPr>
          <w:rFonts w:ascii="Times New Roman" w:eastAsia="Times New Roman" w:hAnsi="Times New Roman" w:cs="Times New Roman"/>
          <w:szCs w:val="24"/>
        </w:rPr>
        <w:t> </w:t>
      </w:r>
      <w:r w:rsidR="00165807">
        <w:rPr>
          <w:rFonts w:ascii="Times New Roman" w:eastAsia="Times New Roman" w:hAnsi="Times New Roman" w:cs="Times New Roman"/>
          <w:szCs w:val="24"/>
        </w:rPr>
        <w:t xml:space="preserve">przedstawiania w poszczególnych załącznikach parametrów eksploatacyjnych urządzeń, </w:t>
      </w:r>
      <w:r w:rsidR="00165807" w:rsidRPr="0002430D">
        <w:rPr>
          <w:rFonts w:ascii="Times New Roman" w:eastAsia="Times New Roman" w:hAnsi="Times New Roman" w:cs="Times New Roman"/>
          <w:szCs w:val="24"/>
        </w:rPr>
        <w:t>których używanie nie wymaga pozwolenia radiowego</w:t>
      </w:r>
      <w:r w:rsidR="00165807">
        <w:rPr>
          <w:rFonts w:ascii="Times New Roman" w:eastAsia="Times New Roman" w:hAnsi="Times New Roman" w:cs="Times New Roman"/>
          <w:szCs w:val="24"/>
        </w:rPr>
        <w:t>, na rzecz odwołań (umieszczonych w</w:t>
      </w:r>
      <w:r w:rsidR="00B2192A">
        <w:rPr>
          <w:rFonts w:ascii="Times New Roman" w:eastAsia="Times New Roman" w:hAnsi="Times New Roman" w:cs="Times New Roman"/>
          <w:szCs w:val="24"/>
        </w:rPr>
        <w:t> </w:t>
      </w:r>
      <w:r w:rsidR="00165807">
        <w:rPr>
          <w:rFonts w:ascii="Times New Roman" w:eastAsia="Times New Roman" w:hAnsi="Times New Roman" w:cs="Times New Roman"/>
          <w:szCs w:val="24"/>
        </w:rPr>
        <w:t xml:space="preserve">nowo skonstruowanych tabelach) do dokumentów unijnych i CEPT, w których określone są warunki używania urządzeń. Dzięki temu poprawiono przejrzystość tekstu poszczególnych załączników rozporządzenia. Dodatkowo </w:t>
      </w:r>
      <w:r w:rsidR="00703054">
        <w:rPr>
          <w:rFonts w:ascii="Times New Roman" w:eastAsia="Times New Roman" w:hAnsi="Times New Roman" w:cs="Times New Roman"/>
          <w:szCs w:val="24"/>
        </w:rPr>
        <w:t>w</w:t>
      </w:r>
      <w:r w:rsidR="005F1251">
        <w:rPr>
          <w:rFonts w:ascii="Times New Roman" w:eastAsia="Times New Roman" w:hAnsi="Times New Roman" w:cs="Times New Roman"/>
          <w:szCs w:val="24"/>
        </w:rPr>
        <w:t xml:space="preserve"> projek</w:t>
      </w:r>
      <w:r w:rsidR="00703054">
        <w:rPr>
          <w:rFonts w:ascii="Times New Roman" w:eastAsia="Times New Roman" w:hAnsi="Times New Roman" w:cs="Times New Roman"/>
          <w:szCs w:val="24"/>
        </w:rPr>
        <w:t>cie</w:t>
      </w:r>
      <w:r w:rsidR="005F1251">
        <w:rPr>
          <w:rFonts w:ascii="Times New Roman" w:eastAsia="Times New Roman" w:hAnsi="Times New Roman" w:cs="Times New Roman"/>
          <w:szCs w:val="24"/>
        </w:rPr>
        <w:t xml:space="preserve"> rozporządzenia </w:t>
      </w:r>
      <w:r w:rsidR="002B78F7">
        <w:rPr>
          <w:rFonts w:ascii="Times New Roman" w:eastAsia="Times New Roman" w:hAnsi="Times New Roman" w:cs="Times New Roman"/>
          <w:szCs w:val="24"/>
        </w:rPr>
        <w:t>wprowadzon</w:t>
      </w:r>
      <w:r w:rsidR="00703054">
        <w:rPr>
          <w:rFonts w:ascii="Times New Roman" w:eastAsia="Times New Roman" w:hAnsi="Times New Roman" w:cs="Times New Roman"/>
          <w:szCs w:val="24"/>
        </w:rPr>
        <w:t>y</w:t>
      </w:r>
      <w:r w:rsidR="002B78F7">
        <w:rPr>
          <w:rFonts w:ascii="Times New Roman" w:eastAsia="Times New Roman" w:hAnsi="Times New Roman" w:cs="Times New Roman"/>
          <w:szCs w:val="24"/>
        </w:rPr>
        <w:t xml:space="preserve"> </w:t>
      </w:r>
      <w:r w:rsidR="00703054">
        <w:rPr>
          <w:rFonts w:ascii="Times New Roman" w:eastAsia="Times New Roman" w:hAnsi="Times New Roman" w:cs="Times New Roman"/>
          <w:szCs w:val="24"/>
        </w:rPr>
        <w:t xml:space="preserve">jest </w:t>
      </w:r>
      <w:r w:rsidR="00165807">
        <w:rPr>
          <w:rFonts w:ascii="Times New Roman" w:eastAsia="Times New Roman" w:hAnsi="Times New Roman" w:cs="Times New Roman"/>
          <w:szCs w:val="24"/>
        </w:rPr>
        <w:t>nowy zał</w:t>
      </w:r>
      <w:r w:rsidR="005F1251">
        <w:rPr>
          <w:rFonts w:ascii="Times New Roman" w:eastAsia="Times New Roman" w:hAnsi="Times New Roman" w:cs="Times New Roman"/>
          <w:szCs w:val="24"/>
        </w:rPr>
        <w:t>ą</w:t>
      </w:r>
      <w:r w:rsidR="00165807">
        <w:rPr>
          <w:rFonts w:ascii="Times New Roman" w:eastAsia="Times New Roman" w:hAnsi="Times New Roman" w:cs="Times New Roman"/>
          <w:szCs w:val="24"/>
        </w:rPr>
        <w:t xml:space="preserve">cznik, który obejmuje autonomiczne urządzenia morskie </w:t>
      </w:r>
      <w:r w:rsidR="00165807">
        <w:t>stanowiące istotny element podnoszenia bezpieczeństwa żeglugi morskiej</w:t>
      </w:r>
      <w:r w:rsidR="00165807">
        <w:rPr>
          <w:rFonts w:ascii="Times New Roman" w:eastAsia="Times New Roman" w:hAnsi="Times New Roman" w:cs="Times New Roman"/>
          <w:szCs w:val="24"/>
        </w:rPr>
        <w:t>.</w:t>
      </w:r>
    </w:p>
    <w:p w14:paraId="183D74A0" w14:textId="6E5DE443" w:rsidR="008410F0" w:rsidRPr="00C96FEC" w:rsidRDefault="008410F0" w:rsidP="00D0341C">
      <w:pPr>
        <w:pStyle w:val="NIEARTTEKSTtekstnieartykuowanynppodstprawnarozplubpreambua"/>
        <w:ind w:firstLine="567"/>
        <w:rPr>
          <w:rFonts w:ascii="Times New Roman" w:eastAsia="Times New Roman" w:hAnsi="Times New Roman" w:cs="Times New Roman"/>
          <w:szCs w:val="24"/>
        </w:rPr>
      </w:pPr>
      <w:r>
        <w:t xml:space="preserve">Projekt reguluje używanie urządzeń bez pozwolenia radiowego </w:t>
      </w:r>
      <w:r w:rsidRPr="008410F0">
        <w:t>pracu</w:t>
      </w:r>
      <w:r>
        <w:t>jących</w:t>
      </w:r>
      <w:r w:rsidRPr="008410F0">
        <w:t xml:space="preserve"> jako stacje bazowe małej mocy w zakresach częstotliwości</w:t>
      </w:r>
      <w:r>
        <w:t>. Zakresy częstotliwości wskazane w projekcie</w:t>
      </w:r>
      <w:r w:rsidRPr="008410F0">
        <w:t xml:space="preserve"> odnoszą się do dupleksu częstotliwości (Frequency Division Duplex</w:t>
      </w:r>
      <w:r>
        <w:t xml:space="preserve"> </w:t>
      </w:r>
      <w:r w:rsidR="007A0658">
        <w:sym w:font="Symbol" w:char="F02D"/>
      </w:r>
      <w:r>
        <w:t xml:space="preserve"> </w:t>
      </w:r>
      <w:r w:rsidRPr="008410F0">
        <w:t>FDD)</w:t>
      </w:r>
      <w:r w:rsidR="007A0658">
        <w:t xml:space="preserve">, tj. </w:t>
      </w:r>
      <w:r w:rsidRPr="008410F0">
        <w:t>spos</w:t>
      </w:r>
      <w:r w:rsidR="007A0658">
        <w:t>obu</w:t>
      </w:r>
      <w:r w:rsidRPr="008410F0">
        <w:t xml:space="preserve"> organizacji komunikacji radiowej, w którym nadawanie i odbieranie odbywa się jednocześnie na dwóch różnych częstotliwościach. W związku z tym </w:t>
      </w:r>
      <w:r>
        <w:t xml:space="preserve">zapisane w </w:t>
      </w:r>
      <w:r>
        <w:rPr>
          <w:rFonts w:cs="Times"/>
        </w:rPr>
        <w:t>§</w:t>
      </w:r>
      <w:r w:rsidR="007A0658">
        <w:rPr>
          <w:rFonts w:cs="Times"/>
        </w:rPr>
        <w:t xml:space="preserve"> </w:t>
      </w:r>
      <w:r>
        <w:t xml:space="preserve">3 ust. 1 pkt 4 pary częstotliwości, są przedstawione adekwatnie do dokumentów </w:t>
      </w:r>
      <w:r w:rsidR="00950C6B" w:rsidRPr="00950C6B">
        <w:t>Międzynarodow</w:t>
      </w:r>
      <w:r w:rsidR="00950C6B">
        <w:t>ego</w:t>
      </w:r>
      <w:r w:rsidR="00950C6B" w:rsidRPr="00950C6B">
        <w:t xml:space="preserve"> Zwi</w:t>
      </w:r>
      <w:r w:rsidR="00950C6B">
        <w:t>ązku</w:t>
      </w:r>
      <w:r w:rsidR="00950C6B" w:rsidRPr="00950C6B">
        <w:t xml:space="preserve"> Telekomunikacyjn</w:t>
      </w:r>
      <w:r w:rsidR="00950C6B">
        <w:t>ego</w:t>
      </w:r>
      <w:r w:rsidR="00C10ED7">
        <w:t>.</w:t>
      </w:r>
      <w:r>
        <w:t xml:space="preserve"> </w:t>
      </w:r>
      <w:r w:rsidR="00950C6B">
        <w:t>Taka konstrukcja przepisu</w:t>
      </w:r>
      <w:r>
        <w:t xml:space="preserve"> </w:t>
      </w:r>
      <w:r w:rsidR="00950C6B">
        <w:t xml:space="preserve">pozwoli na </w:t>
      </w:r>
      <w:r w:rsidR="00C96FEC">
        <w:t xml:space="preserve">prawidłowe </w:t>
      </w:r>
      <w:r w:rsidR="00950C6B" w:rsidRPr="00D0341C">
        <w:rPr>
          <w:rFonts w:ascii="Times New Roman" w:eastAsia="Times New Roman" w:hAnsi="Times New Roman" w:cs="Times New Roman"/>
          <w:szCs w:val="24"/>
        </w:rPr>
        <w:t xml:space="preserve">interpretowanie norm prawnych z niego </w:t>
      </w:r>
      <w:r w:rsidR="00C96FEC" w:rsidRPr="00D0341C">
        <w:rPr>
          <w:rFonts w:ascii="Times New Roman" w:eastAsia="Times New Roman" w:hAnsi="Times New Roman" w:cs="Times New Roman"/>
          <w:szCs w:val="24"/>
        </w:rPr>
        <w:t>wynikających</w:t>
      </w:r>
      <w:r w:rsidRPr="00D0341C">
        <w:rPr>
          <w:rFonts w:ascii="Times New Roman" w:eastAsia="Times New Roman" w:hAnsi="Times New Roman" w:cs="Times New Roman"/>
          <w:szCs w:val="24"/>
        </w:rPr>
        <w:t>.</w:t>
      </w:r>
    </w:p>
    <w:p w14:paraId="00D55BDE" w14:textId="74C515F1" w:rsidR="00627D31" w:rsidRPr="00D0341C" w:rsidRDefault="00627D31" w:rsidP="00D0341C">
      <w:pPr>
        <w:pStyle w:val="NIEARTTEKSTtekstnieartykuowanynppodstprawnarozplubpreambua"/>
        <w:ind w:firstLine="567"/>
        <w:rPr>
          <w:rFonts w:ascii="Times New Roman" w:eastAsia="Times New Roman" w:hAnsi="Times New Roman" w:cs="Times New Roman"/>
          <w:szCs w:val="24"/>
        </w:rPr>
      </w:pPr>
      <w:r w:rsidRPr="00D0341C">
        <w:rPr>
          <w:rFonts w:ascii="Times New Roman" w:eastAsia="Times New Roman" w:hAnsi="Times New Roman" w:cs="Times New Roman"/>
          <w:szCs w:val="24"/>
        </w:rPr>
        <w:t>W projekcie uregulowano warunki używania urządzeń typu PR27 bez pozwolenia radiowego</w:t>
      </w:r>
      <w:r w:rsidR="00C96FEC" w:rsidRPr="00D0341C">
        <w:rPr>
          <w:rFonts w:ascii="Times New Roman" w:eastAsia="Times New Roman" w:hAnsi="Times New Roman" w:cs="Times New Roman"/>
          <w:szCs w:val="24"/>
        </w:rPr>
        <w:t>. W projekcie przyjęto określenie „urządzenia typu PR27”, które jest utrwalonym w</w:t>
      </w:r>
      <w:r w:rsidR="00760AA9">
        <w:rPr>
          <w:rFonts w:ascii="Times New Roman" w:eastAsia="Times New Roman" w:hAnsi="Times New Roman" w:cs="Times New Roman"/>
          <w:szCs w:val="24"/>
        </w:rPr>
        <w:t> </w:t>
      </w:r>
      <w:r w:rsidR="00C96FEC" w:rsidRPr="00D0341C">
        <w:rPr>
          <w:rFonts w:ascii="Times New Roman" w:eastAsia="Times New Roman" w:hAnsi="Times New Roman" w:cs="Times New Roman"/>
          <w:szCs w:val="24"/>
        </w:rPr>
        <w:t xml:space="preserve">praktyce technicznej i rynkowej oznaczeniem urządzeń radiowych, </w:t>
      </w:r>
      <w:r w:rsidRPr="00D0341C">
        <w:rPr>
          <w:rFonts w:ascii="Times New Roman" w:eastAsia="Times New Roman" w:hAnsi="Times New Roman" w:cs="Times New Roman"/>
          <w:szCs w:val="24"/>
        </w:rPr>
        <w:t>funkcjonujący</w:t>
      </w:r>
      <w:r w:rsidR="00C96FEC" w:rsidRPr="00D0341C">
        <w:rPr>
          <w:rFonts w:ascii="Times New Roman" w:eastAsia="Times New Roman" w:hAnsi="Times New Roman" w:cs="Times New Roman"/>
          <w:szCs w:val="24"/>
        </w:rPr>
        <w:t>m</w:t>
      </w:r>
      <w:r w:rsidRPr="00D0341C">
        <w:rPr>
          <w:rFonts w:ascii="Times New Roman" w:eastAsia="Times New Roman" w:hAnsi="Times New Roman" w:cs="Times New Roman"/>
          <w:szCs w:val="24"/>
        </w:rPr>
        <w:t xml:space="preserve"> w</w:t>
      </w:r>
      <w:r w:rsidR="00760AA9">
        <w:rPr>
          <w:rFonts w:ascii="Times New Roman" w:eastAsia="Times New Roman" w:hAnsi="Times New Roman" w:cs="Times New Roman"/>
          <w:szCs w:val="24"/>
        </w:rPr>
        <w:t> </w:t>
      </w:r>
      <w:r w:rsidRPr="00D0341C">
        <w:rPr>
          <w:rFonts w:ascii="Times New Roman" w:eastAsia="Times New Roman" w:hAnsi="Times New Roman" w:cs="Times New Roman"/>
          <w:szCs w:val="24"/>
        </w:rPr>
        <w:t>obszarze telekomunikacji i urządzeń radiowych</w:t>
      </w:r>
      <w:r w:rsidR="00C96FEC">
        <w:rPr>
          <w:rFonts w:ascii="Times New Roman" w:eastAsia="Times New Roman" w:hAnsi="Times New Roman" w:cs="Times New Roman"/>
          <w:szCs w:val="24"/>
        </w:rPr>
        <w:t xml:space="preserve"> i</w:t>
      </w:r>
      <w:r w:rsidRPr="00D0341C">
        <w:rPr>
          <w:rFonts w:ascii="Times New Roman" w:eastAsia="Times New Roman" w:hAnsi="Times New Roman" w:cs="Times New Roman"/>
          <w:szCs w:val="24"/>
        </w:rPr>
        <w:t xml:space="preserve"> powszechnie stosowan</w:t>
      </w:r>
      <w:r w:rsidR="00C96FEC">
        <w:rPr>
          <w:rFonts w:ascii="Times New Roman" w:eastAsia="Times New Roman" w:hAnsi="Times New Roman" w:cs="Times New Roman"/>
          <w:szCs w:val="24"/>
        </w:rPr>
        <w:t xml:space="preserve">e </w:t>
      </w:r>
      <w:r w:rsidRPr="00D0341C">
        <w:rPr>
          <w:rFonts w:ascii="Times New Roman" w:eastAsia="Times New Roman" w:hAnsi="Times New Roman" w:cs="Times New Roman"/>
          <w:szCs w:val="24"/>
        </w:rPr>
        <w:t>przez producentów, importerów, jednostki oceniające zgodność oraz pozostałych uczestników rynku. Adresatami regulacji są podmioty posługujące się specjalistyczną terminologią właściwą dla tej dziedziny, ponadto przepis odsyła do norm wprowadzających normę ETSI EN 300 433, określających wymagania techniczne odnoszące się do urządzeń PR27 objętych zakresem regulacji.</w:t>
      </w:r>
    </w:p>
    <w:p w14:paraId="62969825" w14:textId="2262239E" w:rsidR="00332B80" w:rsidRPr="00332B80" w:rsidRDefault="00332B80" w:rsidP="00D0341C">
      <w:pPr>
        <w:pStyle w:val="NIEARTTEKSTtekstnieartykuowanynppodstprawnarozplubpreambua"/>
        <w:ind w:firstLine="567"/>
        <w:rPr>
          <w:rFonts w:ascii="Times New Roman" w:eastAsia="Times New Roman" w:hAnsi="Times New Roman" w:cs="Times New Roman"/>
          <w:szCs w:val="24"/>
        </w:rPr>
      </w:pPr>
      <w:r w:rsidRPr="00332B80">
        <w:rPr>
          <w:rFonts w:ascii="Times New Roman" w:eastAsia="Times New Roman" w:hAnsi="Times New Roman" w:cs="Times New Roman"/>
          <w:szCs w:val="24"/>
        </w:rPr>
        <w:lastRenderedPageBreak/>
        <w:t xml:space="preserve">Celem projektowanego rozporządzenia jest w szczególności uwzględnienie przepisów następujących decyzji wykonawczych Komisji Europejskiej oraz </w:t>
      </w:r>
      <w:r w:rsidR="00A44C90">
        <w:rPr>
          <w:rFonts w:ascii="Times New Roman" w:eastAsia="Times New Roman" w:hAnsi="Times New Roman" w:cs="Times New Roman"/>
          <w:szCs w:val="24"/>
        </w:rPr>
        <w:t xml:space="preserve">decyzji, </w:t>
      </w:r>
      <w:r w:rsidRPr="00332B80">
        <w:rPr>
          <w:rFonts w:ascii="Times New Roman" w:eastAsia="Times New Roman" w:hAnsi="Times New Roman" w:cs="Times New Roman"/>
          <w:szCs w:val="24"/>
        </w:rPr>
        <w:t xml:space="preserve">zaleceń </w:t>
      </w:r>
      <w:r w:rsidR="00A44C90">
        <w:rPr>
          <w:rFonts w:ascii="Times New Roman" w:eastAsia="Times New Roman" w:hAnsi="Times New Roman" w:cs="Times New Roman"/>
          <w:szCs w:val="24"/>
        </w:rPr>
        <w:t xml:space="preserve">i sprawozdań </w:t>
      </w:r>
      <w:r w:rsidRPr="00332B80">
        <w:rPr>
          <w:rFonts w:ascii="Times New Roman" w:eastAsia="Times New Roman" w:hAnsi="Times New Roman" w:cs="Times New Roman"/>
          <w:szCs w:val="24"/>
        </w:rPr>
        <w:t>CEPT ECC</w:t>
      </w:r>
      <w:r w:rsidR="00130399">
        <w:rPr>
          <w:rFonts w:ascii="Times New Roman" w:eastAsia="Times New Roman" w:hAnsi="Times New Roman" w:cs="Times New Roman"/>
          <w:szCs w:val="24"/>
        </w:rPr>
        <w:t>/ERC</w:t>
      </w:r>
      <w:r w:rsidR="00C2003D">
        <w:rPr>
          <w:rFonts w:ascii="Times New Roman" w:eastAsia="Times New Roman" w:hAnsi="Times New Roman" w:cs="Times New Roman"/>
          <w:szCs w:val="24"/>
        </w:rPr>
        <w:t>/ECTRA</w:t>
      </w:r>
      <w:r w:rsidRPr="00332B80">
        <w:rPr>
          <w:rFonts w:ascii="Times New Roman" w:eastAsia="Times New Roman" w:hAnsi="Times New Roman" w:cs="Times New Roman"/>
          <w:szCs w:val="24"/>
        </w:rPr>
        <w:t>, tj.:</w:t>
      </w:r>
    </w:p>
    <w:p w14:paraId="1C6DD784" w14:textId="6879D271" w:rsidR="00332B80" w:rsidRPr="00332B80" w:rsidRDefault="00332B80" w:rsidP="00D0341C">
      <w:pPr>
        <w:pStyle w:val="NIEARTTEKSTtekstnieartykuowanynppodstprawnarozplubpreambua"/>
        <w:numPr>
          <w:ilvl w:val="0"/>
          <w:numId w:val="8"/>
        </w:numPr>
        <w:rPr>
          <w:rFonts w:ascii="Times New Roman" w:hAnsi="Times New Roman" w:cs="Times New Roman"/>
          <w:szCs w:val="24"/>
        </w:rPr>
      </w:pPr>
      <w:r w:rsidRPr="00332B80">
        <w:rPr>
          <w:rFonts w:ascii="Times New Roman" w:eastAsia="Times New Roman" w:hAnsi="Times New Roman" w:cs="Times New Roman"/>
          <w:szCs w:val="24"/>
        </w:rPr>
        <w:t xml:space="preserve">Decyzji wykonawczej </w:t>
      </w:r>
      <w:r w:rsidRPr="00332B80">
        <w:rPr>
          <w:rFonts w:ascii="Times New Roman" w:hAnsi="Times New Roman" w:cs="Times New Roman"/>
          <w:szCs w:val="24"/>
        </w:rPr>
        <w:t>2025/105 (UE) z dnia 22 stycznia 2025 r. zmieniającej decyzję 2006/771/WE w celu aktualizacji zharmonizowanych warunków technicznych w</w:t>
      </w:r>
      <w:r w:rsidR="00B2192A">
        <w:rPr>
          <w:rFonts w:ascii="Times New Roman" w:hAnsi="Times New Roman" w:cs="Times New Roman"/>
          <w:szCs w:val="24"/>
        </w:rPr>
        <w:t> </w:t>
      </w:r>
      <w:r w:rsidRPr="00332B80">
        <w:rPr>
          <w:rFonts w:ascii="Times New Roman" w:hAnsi="Times New Roman" w:cs="Times New Roman"/>
          <w:szCs w:val="24"/>
        </w:rPr>
        <w:t>dziedzinie wykorzystywania widma radiowego na potrzeby urządzeń bliskiego zasięgu oraz uchylająca decyzję wykonawczą 2014/641/UE w sprawie zharmonizowanych warunków technicznych wykorzystywania widma radiowego przez bezprzewodowe urządzenia do transmisji sygnałów akustycznych użytkowane do realizacji programów i imprez specjalnych w Unii Europejskiej (</w:t>
      </w:r>
      <w:r w:rsidRPr="00332B80">
        <w:rPr>
          <w:rFonts w:ascii="Times New Roman" w:eastAsia="Times New Roman" w:hAnsi="Times New Roman" w:cs="Times New Roman"/>
          <w:szCs w:val="24"/>
        </w:rPr>
        <w:t>Dz. U</w:t>
      </w:r>
      <w:r w:rsidR="00803555">
        <w:rPr>
          <w:rFonts w:ascii="Times New Roman" w:eastAsia="Times New Roman" w:hAnsi="Times New Roman" w:cs="Times New Roman"/>
          <w:szCs w:val="24"/>
        </w:rPr>
        <w:t>rz</w:t>
      </w:r>
      <w:r w:rsidRPr="00332B80">
        <w:rPr>
          <w:rFonts w:ascii="Times New Roman" w:eastAsia="Times New Roman" w:hAnsi="Times New Roman" w:cs="Times New Roman"/>
          <w:szCs w:val="24"/>
        </w:rPr>
        <w:t>. UE L</w:t>
      </w:r>
      <w:r w:rsidR="00803555">
        <w:rPr>
          <w:rFonts w:ascii="Times New Roman" w:eastAsia="Times New Roman" w:hAnsi="Times New Roman" w:cs="Times New Roman"/>
          <w:szCs w:val="24"/>
        </w:rPr>
        <w:t xml:space="preserve"> 2025/105 </w:t>
      </w:r>
      <w:r w:rsidRPr="00332B80">
        <w:rPr>
          <w:rFonts w:ascii="Times New Roman" w:eastAsia="Times New Roman" w:hAnsi="Times New Roman" w:cs="Times New Roman"/>
          <w:szCs w:val="24"/>
        </w:rPr>
        <w:t>z 23.1.2025</w:t>
      </w:r>
      <w:r w:rsidRPr="00332B80">
        <w:rPr>
          <w:rFonts w:ascii="Times New Roman" w:hAnsi="Times New Roman" w:cs="Times New Roman"/>
          <w:szCs w:val="24"/>
        </w:rPr>
        <w:t>).</w:t>
      </w:r>
    </w:p>
    <w:p w14:paraId="3CF1AEEE" w14:textId="3CDF8E80" w:rsidR="00332B80" w:rsidRPr="00332B80" w:rsidRDefault="00332B80" w:rsidP="00D0341C">
      <w:pPr>
        <w:pStyle w:val="NIEARTTEKSTtekstnieartykuowanynppodstprawnarozplubpreambua"/>
        <w:ind w:left="709" w:firstLine="0"/>
        <w:rPr>
          <w:rFonts w:ascii="Times New Roman" w:hAnsi="Times New Roman" w:cs="Times New Roman"/>
          <w:szCs w:val="24"/>
        </w:rPr>
      </w:pPr>
      <w:r w:rsidRPr="00332B80">
        <w:rPr>
          <w:rFonts w:ascii="Times New Roman" w:hAnsi="Times New Roman" w:cs="Times New Roman"/>
          <w:szCs w:val="24"/>
        </w:rPr>
        <w:t>Decyzja ta harmonizuje warunki techniczne wykorzystania widma na potrzeby szerokiej gamy urządzeń bliskiego zasięgu w obszarach zastosowań takich jak</w:t>
      </w:r>
      <w:r w:rsidR="00096B04">
        <w:rPr>
          <w:rFonts w:ascii="Times New Roman" w:hAnsi="Times New Roman" w:cs="Times New Roman"/>
          <w:szCs w:val="24"/>
        </w:rPr>
        <w:t>:</w:t>
      </w:r>
      <w:r w:rsidRPr="00332B80">
        <w:rPr>
          <w:rFonts w:ascii="Times New Roman" w:hAnsi="Times New Roman" w:cs="Times New Roman"/>
          <w:szCs w:val="24"/>
        </w:rPr>
        <w:t xml:space="preserve"> systemy alarmowe, łączność lokalna, zdalne sterowanie, implanty medyczne i zbieranie danych medycznych, inteligentne systemy transportowe, urządzenia PMSE do transmisji sygnałów akustycznych oraz </w:t>
      </w:r>
      <w:r w:rsidRPr="00332B80">
        <w:rPr>
          <w:rFonts w:ascii="Times New Roman" w:hAnsi="Times New Roman" w:cs="Times New Roman"/>
          <w:color w:val="000000" w:themeColor="text1"/>
          <w:szCs w:val="24"/>
        </w:rPr>
        <w:t xml:space="preserve">Internet </w:t>
      </w:r>
      <w:r w:rsidRPr="00332B80">
        <w:rPr>
          <w:rFonts w:ascii="Times New Roman" w:hAnsi="Times New Roman" w:cs="Times New Roman"/>
          <w:szCs w:val="24"/>
        </w:rPr>
        <w:t>rzeczy, w tym identyfikacja radiowa (RFID)</w:t>
      </w:r>
      <w:r w:rsidR="002F0A72">
        <w:rPr>
          <w:rFonts w:ascii="Times New Roman" w:hAnsi="Times New Roman" w:cs="Times New Roman"/>
          <w:szCs w:val="24"/>
        </w:rPr>
        <w:t>,</w:t>
      </w:r>
      <w:r w:rsidRPr="00332B80">
        <w:rPr>
          <w:rFonts w:ascii="Times New Roman" w:hAnsi="Times New Roman" w:cs="Times New Roman"/>
          <w:szCs w:val="24"/>
        </w:rPr>
        <w:t xml:space="preserve"> a</w:t>
      </w:r>
      <w:r w:rsidR="002F0A72">
        <w:rPr>
          <w:rFonts w:ascii="Times New Roman" w:hAnsi="Times New Roman" w:cs="Times New Roman"/>
          <w:szCs w:val="24"/>
        </w:rPr>
        <w:t> </w:t>
      </w:r>
      <w:r w:rsidRPr="00332B80">
        <w:rPr>
          <w:rFonts w:ascii="Times New Roman" w:hAnsi="Times New Roman" w:cs="Times New Roman"/>
          <w:szCs w:val="24"/>
        </w:rPr>
        <w:t xml:space="preserve">także naziemne systemy radaru z syntetyczną aperturą (SAR) i urządzenia do prześwietlania osób. Wynikające z tej decyzji nowe zastosowania urządzeń bliskiego zasięgu są istotne ze względu na rosnące znaczenie tego rodzaju urządzeń dla gospodarki, szybkie zmiany w technologii oraz zmieniające się potrzeby społeczne. </w:t>
      </w:r>
    </w:p>
    <w:p w14:paraId="1F8F8E0E" w14:textId="74F1EB0A" w:rsidR="00332B80" w:rsidRPr="00332B80" w:rsidRDefault="00332B80" w:rsidP="00D0341C">
      <w:pPr>
        <w:pStyle w:val="NIEARTTEKSTtekstnieartykuowanynppodstprawnarozplubpreambua"/>
        <w:numPr>
          <w:ilvl w:val="0"/>
          <w:numId w:val="8"/>
        </w:numPr>
        <w:rPr>
          <w:rFonts w:ascii="Times New Roman" w:eastAsia="Times New Roman" w:hAnsi="Times New Roman" w:cs="Times New Roman"/>
          <w:szCs w:val="24"/>
        </w:rPr>
      </w:pPr>
      <w:r w:rsidRPr="00332B80">
        <w:rPr>
          <w:rFonts w:ascii="Times New Roman" w:eastAsia="Times New Roman" w:hAnsi="Times New Roman" w:cs="Times New Roman"/>
          <w:szCs w:val="24"/>
        </w:rPr>
        <w:t>Decyzji wykonawczej</w:t>
      </w:r>
      <w:r w:rsidRPr="00332B80">
        <w:rPr>
          <w:rFonts w:ascii="Times New Roman" w:hAnsi="Times New Roman" w:cs="Times New Roman"/>
          <w:szCs w:val="24"/>
        </w:rPr>
        <w:t xml:space="preserve"> 2025/650 (UE) z dnia 2</w:t>
      </w:r>
      <w:r w:rsidR="004F55A6">
        <w:rPr>
          <w:rFonts w:ascii="Times New Roman" w:hAnsi="Times New Roman" w:cs="Times New Roman"/>
          <w:szCs w:val="24"/>
        </w:rPr>
        <w:t>6</w:t>
      </w:r>
      <w:r w:rsidRPr="00332B80">
        <w:rPr>
          <w:rFonts w:ascii="Times New Roman" w:hAnsi="Times New Roman" w:cs="Times New Roman"/>
          <w:szCs w:val="24"/>
        </w:rPr>
        <w:t xml:space="preserve"> </w:t>
      </w:r>
      <w:r w:rsidR="004F55A6">
        <w:rPr>
          <w:rFonts w:ascii="Times New Roman" w:hAnsi="Times New Roman" w:cs="Times New Roman"/>
          <w:szCs w:val="24"/>
        </w:rPr>
        <w:t>marca</w:t>
      </w:r>
      <w:r w:rsidRPr="00332B80">
        <w:rPr>
          <w:rFonts w:ascii="Times New Roman" w:hAnsi="Times New Roman" w:cs="Times New Roman"/>
          <w:szCs w:val="24"/>
        </w:rPr>
        <w:t xml:space="preserve"> 2025 r. zmieniającej decyzję wykonawczą (UE) </w:t>
      </w:r>
      <w:r w:rsidRPr="00332B80">
        <w:rPr>
          <w:rFonts w:ascii="Times New Roman" w:eastAsia="Times New Roman" w:hAnsi="Times New Roman" w:cs="Times New Roman"/>
          <w:szCs w:val="24"/>
        </w:rPr>
        <w:t>2018/1538</w:t>
      </w:r>
      <w:r w:rsidR="000B3119">
        <w:rPr>
          <w:rFonts w:ascii="Times New Roman" w:eastAsia="Times New Roman" w:hAnsi="Times New Roman" w:cs="Times New Roman"/>
          <w:szCs w:val="24"/>
        </w:rPr>
        <w:t xml:space="preserve"> </w:t>
      </w:r>
      <w:r w:rsidRPr="00332B80">
        <w:rPr>
          <w:rFonts w:ascii="Times New Roman" w:eastAsia="Times New Roman" w:hAnsi="Times New Roman" w:cs="Times New Roman"/>
          <w:szCs w:val="24"/>
        </w:rPr>
        <w:t>w odniesieniu do aktualizacji zharmonizowanych warunków technicznych na potrzeby urządzeń bliskiego zasięgu w zakresach częstotliwości 874–876 i</w:t>
      </w:r>
      <w:r w:rsidR="007E7F75">
        <w:rPr>
          <w:rFonts w:ascii="Times New Roman" w:eastAsia="Times New Roman" w:hAnsi="Times New Roman" w:cs="Times New Roman"/>
          <w:szCs w:val="24"/>
        </w:rPr>
        <w:t> </w:t>
      </w:r>
      <w:r w:rsidRPr="00332B80">
        <w:rPr>
          <w:rFonts w:ascii="Times New Roman" w:eastAsia="Times New Roman" w:hAnsi="Times New Roman" w:cs="Times New Roman"/>
          <w:szCs w:val="24"/>
        </w:rPr>
        <w:t>915–921 MHz (Dz. U</w:t>
      </w:r>
      <w:r w:rsidR="00803555">
        <w:rPr>
          <w:rFonts w:ascii="Times New Roman" w:eastAsia="Times New Roman" w:hAnsi="Times New Roman" w:cs="Times New Roman"/>
          <w:szCs w:val="24"/>
        </w:rPr>
        <w:t>rz</w:t>
      </w:r>
      <w:r w:rsidRPr="00332B80">
        <w:rPr>
          <w:rFonts w:ascii="Times New Roman" w:eastAsia="Times New Roman" w:hAnsi="Times New Roman" w:cs="Times New Roman"/>
          <w:szCs w:val="24"/>
        </w:rPr>
        <w:t xml:space="preserve">. UE L </w:t>
      </w:r>
      <w:r w:rsidR="00803555">
        <w:rPr>
          <w:rFonts w:ascii="Times New Roman" w:eastAsia="Times New Roman" w:hAnsi="Times New Roman" w:cs="Times New Roman"/>
          <w:szCs w:val="24"/>
        </w:rPr>
        <w:t xml:space="preserve">2025/650 </w:t>
      </w:r>
      <w:r w:rsidRPr="00332B80">
        <w:rPr>
          <w:rFonts w:ascii="Times New Roman" w:eastAsia="Times New Roman" w:hAnsi="Times New Roman" w:cs="Times New Roman"/>
          <w:szCs w:val="24"/>
        </w:rPr>
        <w:t xml:space="preserve">z 1.4.2025). </w:t>
      </w:r>
    </w:p>
    <w:p w14:paraId="61497A2A" w14:textId="21E99424" w:rsidR="00332B80" w:rsidRPr="00332B80" w:rsidRDefault="00332B80" w:rsidP="00D0341C">
      <w:pPr>
        <w:pStyle w:val="NIEARTTEKSTtekstnieartykuowanynppodstprawnarozplubpreambua"/>
        <w:ind w:left="709" w:firstLine="0"/>
        <w:rPr>
          <w:rFonts w:ascii="Times New Roman" w:hAnsi="Times New Roman" w:cs="Times New Roman"/>
          <w:szCs w:val="24"/>
        </w:rPr>
      </w:pPr>
      <w:r w:rsidRPr="00332B80">
        <w:rPr>
          <w:rFonts w:ascii="Times New Roman" w:hAnsi="Times New Roman" w:cs="Times New Roman"/>
          <w:szCs w:val="24"/>
        </w:rPr>
        <w:t>Decyzja ta harmonizuje warunki techniczne wykorzystania zakresów częstotliwości 874–876 MHz i 915–921 MHz na potrzeby technicznie zaawansowanych rozwiązań z</w:t>
      </w:r>
      <w:r w:rsidR="00760AA9">
        <w:rPr>
          <w:rFonts w:ascii="Times New Roman" w:hAnsi="Times New Roman" w:cs="Times New Roman"/>
          <w:szCs w:val="24"/>
        </w:rPr>
        <w:t> </w:t>
      </w:r>
      <w:r w:rsidRPr="00332B80">
        <w:rPr>
          <w:rFonts w:ascii="Times New Roman" w:hAnsi="Times New Roman" w:cs="Times New Roman"/>
          <w:szCs w:val="24"/>
        </w:rPr>
        <w:t xml:space="preserve">zakresu identyfikacji radiowej (RFID) oraz zastosowań wykorzystujących technologię Internetu rzeczy w oparciu o pracujące w sieci urządzenia bliskiego zasięgu w sieciach danych. </w:t>
      </w:r>
    </w:p>
    <w:p w14:paraId="5AE0773F" w14:textId="7A9F490D" w:rsidR="00332B80" w:rsidRPr="00332B80" w:rsidRDefault="00332B80" w:rsidP="00D0341C">
      <w:pPr>
        <w:pStyle w:val="NIEARTTEKSTtekstnieartykuowanynppodstprawnarozplubpreambua"/>
        <w:numPr>
          <w:ilvl w:val="0"/>
          <w:numId w:val="8"/>
        </w:numPr>
        <w:rPr>
          <w:rFonts w:ascii="Times New Roman" w:hAnsi="Times New Roman" w:cs="Times New Roman"/>
          <w:szCs w:val="24"/>
        </w:rPr>
      </w:pPr>
      <w:r w:rsidRPr="00332B80">
        <w:rPr>
          <w:rFonts w:ascii="Times New Roman" w:eastAsia="Times New Roman" w:hAnsi="Times New Roman" w:cs="Times New Roman"/>
          <w:szCs w:val="24"/>
        </w:rPr>
        <w:t>Decyzji wykonawczej</w:t>
      </w:r>
      <w:r w:rsidRPr="00332B80">
        <w:rPr>
          <w:rFonts w:ascii="Times New Roman" w:hAnsi="Times New Roman" w:cs="Times New Roman"/>
          <w:szCs w:val="24"/>
        </w:rPr>
        <w:t xml:space="preserve"> 2024/1467 (UE) z dnia 27 maja 2024 r. zmieniającej decyzję wykonawczą (UE) 2019/785 w sprawie harmonizacji widma radiowego na potrzeby </w:t>
      </w:r>
      <w:r w:rsidRPr="00332B80">
        <w:rPr>
          <w:rFonts w:ascii="Times New Roman" w:hAnsi="Times New Roman" w:cs="Times New Roman"/>
          <w:szCs w:val="24"/>
        </w:rPr>
        <w:lastRenderedPageBreak/>
        <w:t>urządzeń wykorzystujących technologię ultraszerokopasmową w Unii (Dz. U</w:t>
      </w:r>
      <w:r w:rsidR="00803555">
        <w:rPr>
          <w:rFonts w:ascii="Times New Roman" w:hAnsi="Times New Roman" w:cs="Times New Roman"/>
          <w:szCs w:val="24"/>
        </w:rPr>
        <w:t>rz</w:t>
      </w:r>
      <w:r w:rsidRPr="00332B80">
        <w:rPr>
          <w:rFonts w:ascii="Times New Roman" w:hAnsi="Times New Roman" w:cs="Times New Roman"/>
          <w:szCs w:val="24"/>
        </w:rPr>
        <w:t>. UE L</w:t>
      </w:r>
      <w:r w:rsidR="00803555">
        <w:rPr>
          <w:rFonts w:ascii="Times New Roman" w:hAnsi="Times New Roman" w:cs="Times New Roman"/>
          <w:szCs w:val="24"/>
        </w:rPr>
        <w:t xml:space="preserve"> </w:t>
      </w:r>
      <w:r w:rsidR="00803555" w:rsidRPr="00332B80">
        <w:rPr>
          <w:rFonts w:ascii="Times New Roman" w:hAnsi="Times New Roman" w:cs="Times New Roman"/>
          <w:szCs w:val="24"/>
        </w:rPr>
        <w:t>2024/1467</w:t>
      </w:r>
      <w:r w:rsidR="00803555">
        <w:rPr>
          <w:rFonts w:ascii="Times New Roman" w:hAnsi="Times New Roman" w:cs="Times New Roman"/>
          <w:szCs w:val="24"/>
        </w:rPr>
        <w:t xml:space="preserve"> </w:t>
      </w:r>
      <w:r w:rsidRPr="00332B80">
        <w:rPr>
          <w:rFonts w:ascii="Times New Roman" w:hAnsi="Times New Roman" w:cs="Times New Roman"/>
          <w:szCs w:val="24"/>
        </w:rPr>
        <w:t>z</w:t>
      </w:r>
      <w:r w:rsidR="00803555">
        <w:rPr>
          <w:rFonts w:ascii="Times New Roman" w:hAnsi="Times New Roman" w:cs="Times New Roman"/>
          <w:szCs w:val="24"/>
        </w:rPr>
        <w:t> </w:t>
      </w:r>
      <w:r w:rsidRPr="00332B80">
        <w:rPr>
          <w:rFonts w:ascii="Times New Roman" w:hAnsi="Times New Roman" w:cs="Times New Roman"/>
          <w:szCs w:val="24"/>
        </w:rPr>
        <w:t>31.5.2024).</w:t>
      </w:r>
    </w:p>
    <w:p w14:paraId="704B8B7E" w14:textId="77777777" w:rsidR="00332B80" w:rsidRPr="00332B80" w:rsidRDefault="00332B80" w:rsidP="00D0341C">
      <w:pPr>
        <w:pStyle w:val="NIEARTTEKSTtekstnieartykuowanynppodstprawnarozplubpreambua"/>
        <w:ind w:left="720" w:firstLine="0"/>
        <w:rPr>
          <w:rFonts w:ascii="Times New Roman" w:hAnsi="Times New Roman" w:cs="Times New Roman"/>
          <w:szCs w:val="24"/>
        </w:rPr>
      </w:pPr>
      <w:r w:rsidRPr="00332B80">
        <w:rPr>
          <w:rFonts w:ascii="Times New Roman" w:hAnsi="Times New Roman" w:cs="Times New Roman"/>
          <w:szCs w:val="24"/>
        </w:rPr>
        <w:t xml:space="preserve">Decyzja ta harmonizuje warunki techniczne dla wykorzystania widma przez urządzenia radiowe wykorzystujące technologię ultraszerokopasmową (UWB) w Unii. Decyzja ta również harmonizuje dostępność widma radiowego na jednolitych warunkach w całej Unii, tym samym eliminując przeszkody w upowszechnianiu technologii UWB, tak aby zwiększyć spójność między poszczególnymi regulacjami w zakresie technologii UWB, jeśli chodzi o wartości graniczne oraz techniki osłabiania zakłóceń, jak również zapewnić warunki sprzyjające innowacyjnym rozwiązaniom w dziedzinie technologii UWB. </w:t>
      </w:r>
    </w:p>
    <w:p w14:paraId="1D335849" w14:textId="52E77EF8" w:rsidR="00332B80" w:rsidRPr="00332B80" w:rsidRDefault="008C64F7" w:rsidP="00D0341C">
      <w:pPr>
        <w:pStyle w:val="NIEARTTEKSTtekstnieartykuowanynppodstprawnarozplubpreambua"/>
        <w:numPr>
          <w:ilvl w:val="0"/>
          <w:numId w:val="8"/>
        </w:numPr>
        <w:rPr>
          <w:rFonts w:ascii="Times New Roman" w:hAnsi="Times New Roman" w:cs="Times New Roman"/>
          <w:szCs w:val="24"/>
        </w:rPr>
      </w:pPr>
      <w:r w:rsidRPr="008C64F7">
        <w:rPr>
          <w:rFonts w:ascii="Times New Roman" w:hAnsi="Times New Roman" w:cs="Times New Roman"/>
          <w:szCs w:val="24"/>
        </w:rPr>
        <w:t>Decyzj</w:t>
      </w:r>
      <w:r>
        <w:rPr>
          <w:rFonts w:ascii="Times New Roman" w:hAnsi="Times New Roman" w:cs="Times New Roman"/>
          <w:szCs w:val="24"/>
        </w:rPr>
        <w:t>i</w:t>
      </w:r>
      <w:r w:rsidRPr="008C64F7">
        <w:rPr>
          <w:rFonts w:ascii="Times New Roman" w:hAnsi="Times New Roman" w:cs="Times New Roman"/>
          <w:szCs w:val="24"/>
        </w:rPr>
        <w:t xml:space="preserve"> Komisji 2005/50/WE z dnia 17 stycznia 2005 r. w sprawie harmonizacji widma radiowego w paśmie 24 GHz dla celów tymczasowego użycia przez samochodowe urządzenia radarowe bliskiego zasięgu we Wspólnocie (Dz. Urz. UE L 21 z 25.1.2005, str. 15, z pó</w:t>
      </w:r>
      <w:r w:rsidR="00803555">
        <w:rPr>
          <w:rFonts w:ascii="Times New Roman" w:hAnsi="Times New Roman" w:cs="Times New Roman"/>
          <w:szCs w:val="24"/>
        </w:rPr>
        <w:t>ź</w:t>
      </w:r>
      <w:r w:rsidRPr="008C64F7">
        <w:rPr>
          <w:rFonts w:ascii="Times New Roman" w:hAnsi="Times New Roman" w:cs="Times New Roman"/>
          <w:szCs w:val="24"/>
        </w:rPr>
        <w:t>n. zm.</w:t>
      </w:r>
      <w:r w:rsidR="00332B80" w:rsidRPr="00332B80">
        <w:rPr>
          <w:rFonts w:ascii="Times New Roman" w:hAnsi="Times New Roman" w:cs="Times New Roman"/>
          <w:szCs w:val="24"/>
        </w:rPr>
        <w:t>).</w:t>
      </w:r>
    </w:p>
    <w:p w14:paraId="55CEB791" w14:textId="77777777" w:rsidR="00332B80" w:rsidRPr="00332B80" w:rsidRDefault="00332B80" w:rsidP="00D0341C">
      <w:pPr>
        <w:pStyle w:val="NIEARTTEKSTtekstnieartykuowanynppodstprawnarozplubpreambua"/>
        <w:ind w:left="720" w:firstLine="0"/>
        <w:rPr>
          <w:rFonts w:ascii="Times New Roman" w:hAnsi="Times New Roman" w:cs="Times New Roman"/>
          <w:szCs w:val="24"/>
        </w:rPr>
      </w:pPr>
      <w:r w:rsidRPr="00332B80">
        <w:rPr>
          <w:rFonts w:ascii="Times New Roman" w:hAnsi="Times New Roman" w:cs="Times New Roman"/>
          <w:szCs w:val="24"/>
        </w:rPr>
        <w:t>Decyzja ta służy harmonizacji technicznych warunków udostępniania i wydajnego wykorzystania widma radiowego w paśmie 24 GHz na potrzeby samochodowych urządzeń radarowych bliskiego zasięgu. Urządzenia te przyczyniają się do zapobiegania kolizjom samochodów.</w:t>
      </w:r>
    </w:p>
    <w:p w14:paraId="766527B7" w14:textId="5336E889" w:rsidR="00332B80" w:rsidRPr="00332B80" w:rsidRDefault="00332B80" w:rsidP="00D0341C">
      <w:pPr>
        <w:pStyle w:val="NIEARTTEKSTtekstnieartykuowanynppodstprawnarozplubpreambua"/>
        <w:numPr>
          <w:ilvl w:val="0"/>
          <w:numId w:val="8"/>
        </w:numPr>
        <w:rPr>
          <w:rFonts w:ascii="Times New Roman" w:hAnsi="Times New Roman" w:cs="Times New Roman"/>
          <w:szCs w:val="24"/>
        </w:rPr>
      </w:pPr>
      <w:r w:rsidRPr="00332B80">
        <w:rPr>
          <w:rFonts w:ascii="Times New Roman" w:eastAsia="Times New Roman" w:hAnsi="Times New Roman" w:cs="Times New Roman"/>
          <w:szCs w:val="24"/>
        </w:rPr>
        <w:t>Decyzji wykonawczej</w:t>
      </w:r>
      <w:r w:rsidRPr="00332B80">
        <w:rPr>
          <w:rFonts w:ascii="Times New Roman" w:hAnsi="Times New Roman" w:cs="Times New Roman"/>
          <w:szCs w:val="24"/>
        </w:rPr>
        <w:t xml:space="preserve"> 2024/340 (UE) z dnia 22 stycznia 2024 r. w sprawie zharmonizowanych warunków wykorzystania widma radiowego na potrzeby usług łączności ruchomej na pokładach statków (usługi MCV) w Unii, uchylającej decyzję 2010/166/UE (Dz. U</w:t>
      </w:r>
      <w:r w:rsidR="00803555">
        <w:rPr>
          <w:rFonts w:ascii="Times New Roman" w:hAnsi="Times New Roman" w:cs="Times New Roman"/>
          <w:szCs w:val="24"/>
        </w:rPr>
        <w:t>rz</w:t>
      </w:r>
      <w:r w:rsidRPr="00332B80">
        <w:rPr>
          <w:rFonts w:ascii="Times New Roman" w:hAnsi="Times New Roman" w:cs="Times New Roman"/>
          <w:szCs w:val="24"/>
        </w:rPr>
        <w:t xml:space="preserve">. UE L </w:t>
      </w:r>
      <w:r w:rsidR="00803555">
        <w:rPr>
          <w:rFonts w:ascii="Times New Roman" w:hAnsi="Times New Roman" w:cs="Times New Roman"/>
          <w:szCs w:val="24"/>
        </w:rPr>
        <w:t xml:space="preserve">2024/340 </w:t>
      </w:r>
      <w:r w:rsidRPr="00332B80">
        <w:rPr>
          <w:rFonts w:ascii="Times New Roman" w:hAnsi="Times New Roman" w:cs="Times New Roman"/>
          <w:szCs w:val="24"/>
        </w:rPr>
        <w:t>z 24.1.2024).</w:t>
      </w:r>
    </w:p>
    <w:p w14:paraId="21B182DB" w14:textId="7C83A64F" w:rsidR="00332B80" w:rsidRPr="00332B80" w:rsidRDefault="00332B80" w:rsidP="00D0341C">
      <w:pPr>
        <w:pStyle w:val="NIEARTTEKSTtekstnieartykuowanynppodstprawnarozplubpreambua"/>
        <w:ind w:left="720" w:firstLine="0"/>
        <w:rPr>
          <w:rFonts w:ascii="Times New Roman" w:hAnsi="Times New Roman" w:cs="Times New Roman"/>
          <w:szCs w:val="24"/>
        </w:rPr>
      </w:pPr>
      <w:r w:rsidRPr="00332B80">
        <w:rPr>
          <w:rFonts w:ascii="Times New Roman" w:hAnsi="Times New Roman" w:cs="Times New Roman"/>
          <w:szCs w:val="24"/>
        </w:rPr>
        <w:t>Decyzja ta harmonizuje techniczne warunki dostępności i skutecznego wykorzystania pasm 800/900 MHz, 1700/1800 MHz, 1900/2100 MHz i 2500/2600 MHz na potrzeby systemów świadczących usługi łączności ruchomej na pokładach statków pływających po morzach terytorialnych w Unii Europejskiej umożliwiając świadczenie zaawansowanych usług łączności ruchomej na pokładach statków (usługi MCV) w Unii za pomocą różnych technologii, w tym nieaktywnych systemów antenowych (non-AAS) w standardzie 5G NR i</w:t>
      </w:r>
      <w:r w:rsidR="00B2192A">
        <w:rPr>
          <w:rFonts w:ascii="Times New Roman" w:hAnsi="Times New Roman" w:cs="Times New Roman"/>
          <w:szCs w:val="24"/>
        </w:rPr>
        <w:t> </w:t>
      </w:r>
      <w:r w:rsidRPr="00332B80">
        <w:rPr>
          <w:rFonts w:ascii="Times New Roman" w:hAnsi="Times New Roman" w:cs="Times New Roman"/>
          <w:szCs w:val="24"/>
        </w:rPr>
        <w:t xml:space="preserve">określając odpowiednie zharmonizowane warunki techniczne. </w:t>
      </w:r>
    </w:p>
    <w:p w14:paraId="31F5CA46" w14:textId="4CE16AB1" w:rsidR="00332B80" w:rsidRPr="00332B80" w:rsidRDefault="00332B80" w:rsidP="00D0341C">
      <w:pPr>
        <w:pStyle w:val="NIEARTTEKSTtekstnieartykuowanynppodstprawnarozplubpreambua"/>
        <w:numPr>
          <w:ilvl w:val="0"/>
          <w:numId w:val="8"/>
        </w:numPr>
        <w:rPr>
          <w:rFonts w:ascii="Times New Roman" w:hAnsi="Times New Roman" w:cs="Times New Roman"/>
          <w:szCs w:val="24"/>
        </w:rPr>
      </w:pPr>
      <w:r w:rsidRPr="00332B80">
        <w:rPr>
          <w:rFonts w:ascii="Times New Roman" w:eastAsia="Times New Roman" w:hAnsi="Times New Roman" w:cs="Times New Roman"/>
          <w:szCs w:val="24"/>
        </w:rPr>
        <w:t>Decyzji wykonawczej</w:t>
      </w:r>
      <w:r w:rsidRPr="00332B80">
        <w:rPr>
          <w:rFonts w:ascii="Times New Roman" w:eastAsia="MS Mincho" w:hAnsi="Times New Roman" w:cs="Times New Roman"/>
          <w:szCs w:val="24"/>
        </w:rPr>
        <w:t xml:space="preserve"> 2022/2324 (UE) z dnia 23 listopada 2022 r. zmieniającej decyzję 2008/294/WE </w:t>
      </w:r>
      <w:r w:rsidRPr="00332B80">
        <w:rPr>
          <w:rFonts w:ascii="Times New Roman" w:eastAsia="Times New Roman" w:hAnsi="Times New Roman" w:cs="Times New Roman"/>
          <w:szCs w:val="24"/>
        </w:rPr>
        <w:t xml:space="preserve">w celu uwzględnienia dodatkowych technologii dostępu i środków </w:t>
      </w:r>
      <w:r w:rsidRPr="00332B80">
        <w:rPr>
          <w:rFonts w:ascii="Times New Roman" w:eastAsia="MS Mincho" w:hAnsi="Times New Roman" w:cs="Times New Roman"/>
          <w:szCs w:val="24"/>
        </w:rPr>
        <w:t xml:space="preserve">na </w:t>
      </w:r>
      <w:r w:rsidRPr="00332B80">
        <w:rPr>
          <w:rFonts w:ascii="Times New Roman" w:eastAsia="MS Mincho" w:hAnsi="Times New Roman" w:cs="Times New Roman"/>
          <w:szCs w:val="24"/>
        </w:rPr>
        <w:lastRenderedPageBreak/>
        <w:t>potrzeby wykonywania usług łączności ruchomej na pokładach statków powietrznych (usługi MCA) w</w:t>
      </w:r>
      <w:r w:rsidR="007E7F75">
        <w:rPr>
          <w:rFonts w:ascii="Times New Roman" w:eastAsia="MS Mincho" w:hAnsi="Times New Roman" w:cs="Times New Roman"/>
          <w:szCs w:val="24"/>
        </w:rPr>
        <w:t> </w:t>
      </w:r>
      <w:r w:rsidRPr="00332B80">
        <w:rPr>
          <w:rFonts w:ascii="Times New Roman" w:eastAsia="MS Mincho" w:hAnsi="Times New Roman" w:cs="Times New Roman"/>
          <w:szCs w:val="24"/>
        </w:rPr>
        <w:t>Unii (Dz. Urz. UE L 307 z 28.11.2022, str. 262).</w:t>
      </w:r>
    </w:p>
    <w:p w14:paraId="3D5DBA8B" w14:textId="77777777" w:rsidR="00332B80" w:rsidRPr="00332B80" w:rsidRDefault="00332B80" w:rsidP="00D0341C">
      <w:pPr>
        <w:pStyle w:val="NIEARTTEKSTtekstnieartykuowanynppodstprawnarozplubpreambua"/>
        <w:ind w:left="720" w:firstLine="0"/>
        <w:rPr>
          <w:rFonts w:ascii="Times New Roman" w:hAnsi="Times New Roman" w:cs="Times New Roman"/>
          <w:szCs w:val="24"/>
        </w:rPr>
      </w:pPr>
      <w:r w:rsidRPr="00332B80">
        <w:rPr>
          <w:rFonts w:ascii="Times New Roman" w:hAnsi="Times New Roman" w:cs="Times New Roman"/>
          <w:szCs w:val="24"/>
        </w:rPr>
        <w:t>Decyzja ta określa warunki techniczne, jakie powinny spełniać stacje bazowe przeznaczone do świadczenia usług MCA na pokładzie statku powietrznego.</w:t>
      </w:r>
    </w:p>
    <w:p w14:paraId="4FCA3B8A" w14:textId="5EF58096" w:rsidR="00332B80" w:rsidRPr="00332B80" w:rsidRDefault="00332B80" w:rsidP="00D0341C">
      <w:pPr>
        <w:pStyle w:val="NIEARTTEKSTtekstnieartykuowanynppodstprawnarozplubpreambua"/>
        <w:numPr>
          <w:ilvl w:val="0"/>
          <w:numId w:val="8"/>
        </w:numPr>
        <w:rPr>
          <w:rFonts w:ascii="Times New Roman" w:hAnsi="Times New Roman" w:cs="Times New Roman"/>
          <w:szCs w:val="24"/>
        </w:rPr>
      </w:pPr>
      <w:r w:rsidRPr="00332B80">
        <w:rPr>
          <w:rFonts w:ascii="Times New Roman" w:eastAsia="Times New Roman" w:hAnsi="Times New Roman" w:cs="Times New Roman"/>
          <w:szCs w:val="24"/>
        </w:rPr>
        <w:t>Decyzji wykonawczej</w:t>
      </w:r>
      <w:r w:rsidRPr="00332B80">
        <w:rPr>
          <w:rFonts w:ascii="Times New Roman" w:hAnsi="Times New Roman" w:cs="Times New Roman"/>
          <w:szCs w:val="24"/>
        </w:rPr>
        <w:t xml:space="preserve"> 2016/339 (UE) z dnia 8 marca 2016 r. w sprawie harmonizacji zakresu częstotliwości 2010 – 2025 MHz na potrzeby przenośnych lub ruchomych bezprzewodowych łączy wizyjnych i bezprzewodowych kamer używanych do realizacji programów i imprez specjalnych (Dz. U</w:t>
      </w:r>
      <w:r w:rsidR="00803555">
        <w:rPr>
          <w:rFonts w:ascii="Times New Roman" w:hAnsi="Times New Roman" w:cs="Times New Roman"/>
          <w:szCs w:val="24"/>
        </w:rPr>
        <w:t>rz</w:t>
      </w:r>
      <w:r w:rsidRPr="00332B80">
        <w:rPr>
          <w:rFonts w:ascii="Times New Roman" w:hAnsi="Times New Roman" w:cs="Times New Roman"/>
          <w:szCs w:val="24"/>
        </w:rPr>
        <w:t>. UE L 63 z 10.3.2016, str. 5).</w:t>
      </w:r>
    </w:p>
    <w:p w14:paraId="1C5AFD32" w14:textId="77777777" w:rsidR="00332B80" w:rsidRPr="00332B80" w:rsidRDefault="00332B80" w:rsidP="00D0341C">
      <w:pPr>
        <w:pStyle w:val="NIEARTTEKSTtekstnieartykuowanynppodstprawnarozplubpreambua"/>
        <w:ind w:left="720" w:firstLine="0"/>
        <w:rPr>
          <w:rFonts w:ascii="Times New Roman" w:hAnsi="Times New Roman" w:cs="Times New Roman"/>
          <w:szCs w:val="24"/>
        </w:rPr>
      </w:pPr>
      <w:r w:rsidRPr="00332B80">
        <w:rPr>
          <w:rFonts w:ascii="Times New Roman" w:hAnsi="Times New Roman" w:cs="Times New Roman"/>
          <w:szCs w:val="24"/>
        </w:rPr>
        <w:t>Decyzja ta służy do harmonizacji technicznych warunków udostępniania i wydajnego wykorzystywania – na zasadzie braku wyłączności – zakresu częstotliwości 2010 – 2025 MHz na potrzeby urządzeń PMSE do transmisji wideo.</w:t>
      </w:r>
    </w:p>
    <w:p w14:paraId="69B01565" w14:textId="1EDFA5E8" w:rsidR="00821850" w:rsidRDefault="004120D0" w:rsidP="00D0341C">
      <w:pPr>
        <w:pStyle w:val="NIEARTTEKSTtekstnieartykuowanynppodstprawnarozplubpreambua"/>
        <w:numPr>
          <w:ilvl w:val="0"/>
          <w:numId w:val="8"/>
        </w:numPr>
        <w:rPr>
          <w:rFonts w:ascii="Times New Roman" w:hAnsi="Times New Roman" w:cs="Times New Roman"/>
          <w:szCs w:val="24"/>
        </w:rPr>
      </w:pPr>
      <w:bookmarkStart w:id="1" w:name="_Hlk216461678"/>
      <w:r>
        <w:rPr>
          <w:rFonts w:eastAsia="Times New Roman"/>
        </w:rPr>
        <w:t>Decyzji wykonawczej</w:t>
      </w:r>
      <w:r w:rsidRPr="006F7200">
        <w:t xml:space="preserve"> </w:t>
      </w:r>
      <w:r w:rsidRPr="00332B80">
        <w:rPr>
          <w:rFonts w:ascii="Times New Roman" w:hAnsi="Times New Roman" w:cs="Times New Roman"/>
          <w:szCs w:val="24"/>
        </w:rPr>
        <w:t>202</w:t>
      </w:r>
      <w:r>
        <w:rPr>
          <w:rFonts w:ascii="Times New Roman" w:hAnsi="Times New Roman" w:cs="Times New Roman"/>
          <w:szCs w:val="24"/>
        </w:rPr>
        <w:t>2</w:t>
      </w:r>
      <w:r w:rsidRPr="00332B80">
        <w:rPr>
          <w:rFonts w:ascii="Times New Roman" w:hAnsi="Times New Roman" w:cs="Times New Roman"/>
          <w:szCs w:val="24"/>
        </w:rPr>
        <w:t>/</w:t>
      </w:r>
      <w:r>
        <w:rPr>
          <w:rFonts w:ascii="Times New Roman" w:hAnsi="Times New Roman" w:cs="Times New Roman"/>
          <w:szCs w:val="24"/>
        </w:rPr>
        <w:t>2307</w:t>
      </w:r>
      <w:r w:rsidRPr="00332B80">
        <w:rPr>
          <w:rFonts w:ascii="Times New Roman" w:hAnsi="Times New Roman" w:cs="Times New Roman"/>
          <w:szCs w:val="24"/>
        </w:rPr>
        <w:t xml:space="preserve"> (UE)</w:t>
      </w:r>
      <w:r>
        <w:rPr>
          <w:rFonts w:ascii="Times New Roman" w:hAnsi="Times New Roman" w:cs="Times New Roman"/>
          <w:szCs w:val="24"/>
        </w:rPr>
        <w:t xml:space="preserve"> </w:t>
      </w:r>
      <w:r w:rsidRPr="0064410B">
        <w:rPr>
          <w:rFonts w:ascii="Times New Roman" w:hAnsi="Times New Roman" w:cs="Times New Roman"/>
          <w:szCs w:val="24"/>
        </w:rPr>
        <w:t>z dnia 2</w:t>
      </w:r>
      <w:r>
        <w:rPr>
          <w:rFonts w:ascii="Times New Roman" w:hAnsi="Times New Roman" w:cs="Times New Roman"/>
          <w:szCs w:val="24"/>
        </w:rPr>
        <w:t>3 listopada</w:t>
      </w:r>
      <w:r w:rsidRPr="0064410B">
        <w:rPr>
          <w:rFonts w:ascii="Times New Roman" w:hAnsi="Times New Roman" w:cs="Times New Roman"/>
          <w:szCs w:val="24"/>
        </w:rPr>
        <w:t xml:space="preserve"> 202</w:t>
      </w:r>
      <w:r>
        <w:rPr>
          <w:rFonts w:ascii="Times New Roman" w:hAnsi="Times New Roman" w:cs="Times New Roman"/>
          <w:szCs w:val="24"/>
        </w:rPr>
        <w:t>2</w:t>
      </w:r>
      <w:r w:rsidRPr="0064410B">
        <w:rPr>
          <w:rFonts w:ascii="Times New Roman" w:hAnsi="Times New Roman" w:cs="Times New Roman"/>
          <w:szCs w:val="24"/>
        </w:rPr>
        <w:t xml:space="preserve"> r.</w:t>
      </w:r>
      <w:r>
        <w:rPr>
          <w:rFonts w:ascii="Times New Roman" w:hAnsi="Times New Roman" w:cs="Times New Roman"/>
          <w:szCs w:val="24"/>
        </w:rPr>
        <w:t xml:space="preserve"> </w:t>
      </w:r>
      <w:r w:rsidRPr="004120D0">
        <w:rPr>
          <w:rFonts w:ascii="Times New Roman" w:hAnsi="Times New Roman" w:cs="Times New Roman"/>
          <w:szCs w:val="24"/>
        </w:rPr>
        <w:t>zmieniającej decyzję wykonawczą (UE) 2022/179 w odniesieniu do wyznaczania i udostępniania zakresów częstotliwości 5150-5250 MHz, 5250-5350 MHz i 5470-5725 MHz zgodnie z</w:t>
      </w:r>
      <w:r w:rsidR="00760AA9">
        <w:rPr>
          <w:rFonts w:ascii="Times New Roman" w:hAnsi="Times New Roman" w:cs="Times New Roman"/>
          <w:szCs w:val="24"/>
        </w:rPr>
        <w:t> </w:t>
      </w:r>
      <w:r w:rsidRPr="004120D0">
        <w:rPr>
          <w:rFonts w:ascii="Times New Roman" w:hAnsi="Times New Roman" w:cs="Times New Roman"/>
          <w:szCs w:val="24"/>
        </w:rPr>
        <w:t>warunkami technicznymi określonymi w załączniku (Dz. Urz. UE L 305 z 25.11.2022, str. 63)</w:t>
      </w:r>
      <w:r>
        <w:rPr>
          <w:rFonts w:ascii="Times New Roman" w:hAnsi="Times New Roman" w:cs="Times New Roman"/>
          <w:szCs w:val="24"/>
        </w:rPr>
        <w:t>.</w:t>
      </w:r>
    </w:p>
    <w:p w14:paraId="2331A04E" w14:textId="337694EB" w:rsidR="004120D0" w:rsidRPr="004120D0" w:rsidRDefault="004120D0" w:rsidP="00D0341C">
      <w:pPr>
        <w:pStyle w:val="ARTartustawynprozporzdzenia"/>
        <w:ind w:left="720" w:firstLine="0"/>
      </w:pPr>
      <w:r>
        <w:t>Decyzja ta określa z</w:t>
      </w:r>
      <w:r w:rsidRPr="004120D0">
        <w:t xml:space="preserve">harmonizowane warunki techniczne dotyczące </w:t>
      </w:r>
      <w:r w:rsidR="000A0B35">
        <w:t xml:space="preserve">sieci </w:t>
      </w:r>
      <w:r w:rsidRPr="004120D0">
        <w:t>WAS/RLAN w</w:t>
      </w:r>
      <w:r w:rsidR="00B2192A">
        <w:t> </w:t>
      </w:r>
      <w:r w:rsidRPr="004120D0">
        <w:t>zakresach częstotliwości 5150–5250MHz, 5250–5350MHz i 5470–5725MHz</w:t>
      </w:r>
      <w:r>
        <w:t xml:space="preserve"> nakazując państwom członkowskim </w:t>
      </w:r>
      <w:r w:rsidRPr="004120D0">
        <w:t>wyznacz</w:t>
      </w:r>
      <w:r>
        <w:t>enie</w:t>
      </w:r>
      <w:r w:rsidRPr="004120D0">
        <w:t xml:space="preserve"> i udostępni</w:t>
      </w:r>
      <w:r>
        <w:t>enie</w:t>
      </w:r>
      <w:r w:rsidRPr="004120D0">
        <w:t xml:space="preserve"> </w:t>
      </w:r>
      <w:r>
        <w:t>tych zakresów</w:t>
      </w:r>
      <w:r w:rsidRPr="004120D0">
        <w:t xml:space="preserve"> na zasadzie braku wyłączności </w:t>
      </w:r>
      <w:r>
        <w:t xml:space="preserve">te zakresy </w:t>
      </w:r>
      <w:r w:rsidRPr="004120D0">
        <w:t>na potrzeby wdrażania WAS/RLAN</w:t>
      </w:r>
      <w:r>
        <w:t>,</w:t>
      </w:r>
    </w:p>
    <w:bookmarkEnd w:id="1"/>
    <w:p w14:paraId="41DF974B" w14:textId="54198CC4" w:rsidR="00821850" w:rsidRDefault="003A7B49" w:rsidP="00D0341C">
      <w:pPr>
        <w:pStyle w:val="NIEARTTEKSTtekstnieartykuowanynppodstprawnarozplubpreambua"/>
        <w:numPr>
          <w:ilvl w:val="0"/>
          <w:numId w:val="8"/>
        </w:numPr>
        <w:rPr>
          <w:rFonts w:ascii="Times New Roman" w:hAnsi="Times New Roman" w:cs="Times New Roman"/>
          <w:szCs w:val="24"/>
        </w:rPr>
      </w:pPr>
      <w:r>
        <w:rPr>
          <w:rFonts w:cstheme="minorHAnsi"/>
          <w:color w:val="000000" w:themeColor="text1"/>
        </w:rPr>
        <w:t>De</w:t>
      </w:r>
      <w:r w:rsidR="00821850">
        <w:rPr>
          <w:rFonts w:eastAsia="Times New Roman"/>
        </w:rPr>
        <w:t>cyzji wykonawczej</w:t>
      </w:r>
      <w:r w:rsidR="00821850" w:rsidRPr="006F7200">
        <w:t xml:space="preserve"> </w:t>
      </w:r>
      <w:r w:rsidR="00821850" w:rsidRPr="00332B80">
        <w:rPr>
          <w:rFonts w:ascii="Times New Roman" w:hAnsi="Times New Roman" w:cs="Times New Roman"/>
          <w:szCs w:val="24"/>
        </w:rPr>
        <w:t>2025/913 (UE)</w:t>
      </w:r>
      <w:r w:rsidR="00821850">
        <w:rPr>
          <w:rFonts w:ascii="Times New Roman" w:hAnsi="Times New Roman" w:cs="Times New Roman"/>
          <w:szCs w:val="24"/>
        </w:rPr>
        <w:t xml:space="preserve"> </w:t>
      </w:r>
      <w:r w:rsidR="00821850" w:rsidRPr="0064410B">
        <w:rPr>
          <w:rFonts w:ascii="Times New Roman" w:hAnsi="Times New Roman" w:cs="Times New Roman"/>
          <w:szCs w:val="24"/>
        </w:rPr>
        <w:t xml:space="preserve">z dnia 20 maja 2025 r. </w:t>
      </w:r>
      <w:bookmarkStart w:id="2" w:name="_Hlk216462605"/>
      <w:r w:rsidR="001429EA" w:rsidRPr="001429EA">
        <w:rPr>
          <w:rFonts w:ascii="Times New Roman" w:hAnsi="Times New Roman" w:cs="Times New Roman"/>
          <w:szCs w:val="24"/>
        </w:rPr>
        <w:t>zmieniając</w:t>
      </w:r>
      <w:r w:rsidR="001429EA">
        <w:rPr>
          <w:rFonts w:ascii="Times New Roman" w:hAnsi="Times New Roman" w:cs="Times New Roman"/>
          <w:szCs w:val="24"/>
        </w:rPr>
        <w:t>ej</w:t>
      </w:r>
      <w:r w:rsidR="001429EA" w:rsidRPr="001429EA">
        <w:rPr>
          <w:rFonts w:ascii="Times New Roman" w:hAnsi="Times New Roman" w:cs="Times New Roman"/>
          <w:szCs w:val="24"/>
        </w:rPr>
        <w:t xml:space="preserve"> decyzję wykonawczą Komisji (UE) 2021/1067 w odniesieniu do </w:t>
      </w:r>
      <w:bookmarkEnd w:id="2"/>
      <w:r w:rsidR="00821850" w:rsidRPr="0064410B">
        <w:rPr>
          <w:rFonts w:ascii="Times New Roman" w:hAnsi="Times New Roman" w:cs="Times New Roman"/>
          <w:szCs w:val="24"/>
        </w:rPr>
        <w:t xml:space="preserve">aktualizacji warunków technicznych zharmonizowanego wykorzystania widma radiowego w </w:t>
      </w:r>
      <w:r w:rsidR="00821850">
        <w:rPr>
          <w:rFonts w:ascii="Times New Roman" w:hAnsi="Times New Roman" w:cs="Times New Roman"/>
          <w:szCs w:val="24"/>
        </w:rPr>
        <w:t>zakresie</w:t>
      </w:r>
      <w:r w:rsidR="00821850" w:rsidRPr="0064410B">
        <w:rPr>
          <w:rFonts w:ascii="Times New Roman" w:hAnsi="Times New Roman" w:cs="Times New Roman"/>
          <w:szCs w:val="24"/>
        </w:rPr>
        <w:t xml:space="preserve"> częstotliwości 5945–6425 MHz celem wdrożenia systemów dostępu bezprzewodowego, w tym lokalnych sieci radiowych (WAS/RLANs) (Dz. Urz. UE L </w:t>
      </w:r>
      <w:r w:rsidR="00803555">
        <w:rPr>
          <w:rFonts w:ascii="Times New Roman" w:hAnsi="Times New Roman" w:cs="Times New Roman"/>
          <w:szCs w:val="24"/>
        </w:rPr>
        <w:t xml:space="preserve">2025/913 </w:t>
      </w:r>
      <w:r w:rsidR="00821850" w:rsidRPr="0064410B">
        <w:rPr>
          <w:rFonts w:ascii="Times New Roman" w:hAnsi="Times New Roman" w:cs="Times New Roman"/>
          <w:szCs w:val="24"/>
        </w:rPr>
        <w:t>z 22.5.2025)</w:t>
      </w:r>
      <w:r w:rsidR="00821850">
        <w:rPr>
          <w:rFonts w:ascii="Times New Roman" w:hAnsi="Times New Roman" w:cs="Times New Roman"/>
          <w:szCs w:val="24"/>
        </w:rPr>
        <w:t>.</w:t>
      </w:r>
    </w:p>
    <w:p w14:paraId="39BBF29C" w14:textId="77777777" w:rsidR="00821850" w:rsidRPr="00821850" w:rsidRDefault="00821850" w:rsidP="00D0341C">
      <w:pPr>
        <w:pStyle w:val="ARTartustawynprozporzdzenia"/>
        <w:ind w:left="720" w:firstLine="0"/>
      </w:pPr>
      <w:r w:rsidRPr="006F7200">
        <w:rPr>
          <w:rFonts w:cstheme="minorHAnsi"/>
          <w:color w:val="000000" w:themeColor="text1"/>
        </w:rPr>
        <w:t>Decyzja ta ma celu zharmonizowanie warunków technicznych dostępu do widma radiowego i efektywnego wykorzystywania</w:t>
      </w:r>
      <w:r>
        <w:rPr>
          <w:rFonts w:cstheme="minorHAnsi"/>
          <w:color w:val="000000" w:themeColor="text1"/>
        </w:rPr>
        <w:t xml:space="preserve"> </w:t>
      </w:r>
      <w:r>
        <w:rPr>
          <w:rFonts w:ascii="Times New Roman" w:hAnsi="Times New Roman" w:cs="Times New Roman"/>
          <w:szCs w:val="24"/>
        </w:rPr>
        <w:t>zakresu</w:t>
      </w:r>
      <w:r w:rsidRPr="0064410B">
        <w:rPr>
          <w:rFonts w:ascii="Times New Roman" w:hAnsi="Times New Roman" w:cs="Times New Roman"/>
          <w:szCs w:val="24"/>
        </w:rPr>
        <w:t xml:space="preserve"> częstotliwości 5945–6425 </w:t>
      </w:r>
      <w:r>
        <w:rPr>
          <w:rFonts w:ascii="Times New Roman" w:hAnsi="Times New Roman" w:cs="Times New Roman"/>
          <w:szCs w:val="24"/>
        </w:rPr>
        <w:t xml:space="preserve">MHz przez </w:t>
      </w:r>
      <w:r w:rsidRPr="00D70CFD">
        <w:rPr>
          <w:rFonts w:ascii="Times New Roman" w:hAnsi="Times New Roman" w:cs="Times New Roman"/>
          <w:szCs w:val="24"/>
        </w:rPr>
        <w:t>system</w:t>
      </w:r>
      <w:r>
        <w:rPr>
          <w:rFonts w:ascii="Times New Roman" w:hAnsi="Times New Roman" w:cs="Times New Roman"/>
          <w:szCs w:val="24"/>
        </w:rPr>
        <w:t>y</w:t>
      </w:r>
      <w:r w:rsidRPr="00D70CFD">
        <w:rPr>
          <w:rFonts w:ascii="Times New Roman" w:hAnsi="Times New Roman" w:cs="Times New Roman"/>
          <w:szCs w:val="24"/>
        </w:rPr>
        <w:t xml:space="preserve"> dostępu bezprzewodowego, w tym lokaln</w:t>
      </w:r>
      <w:r>
        <w:rPr>
          <w:rFonts w:ascii="Times New Roman" w:hAnsi="Times New Roman" w:cs="Times New Roman"/>
          <w:szCs w:val="24"/>
        </w:rPr>
        <w:t>e</w:t>
      </w:r>
      <w:r w:rsidRPr="00D70CFD">
        <w:rPr>
          <w:rFonts w:ascii="Times New Roman" w:hAnsi="Times New Roman" w:cs="Times New Roman"/>
          <w:szCs w:val="24"/>
        </w:rPr>
        <w:t xml:space="preserve"> sieci radiow</w:t>
      </w:r>
      <w:r>
        <w:rPr>
          <w:rFonts w:ascii="Times New Roman" w:hAnsi="Times New Roman" w:cs="Times New Roman"/>
          <w:szCs w:val="24"/>
        </w:rPr>
        <w:t>e</w:t>
      </w:r>
      <w:r w:rsidRPr="00D70CFD">
        <w:rPr>
          <w:rFonts w:ascii="Times New Roman" w:hAnsi="Times New Roman" w:cs="Times New Roman"/>
          <w:szCs w:val="24"/>
        </w:rPr>
        <w:t xml:space="preserve"> (WAS/RLAN)</w:t>
      </w:r>
      <w:r>
        <w:rPr>
          <w:rFonts w:ascii="Times New Roman" w:hAnsi="Times New Roman" w:cs="Times New Roman"/>
          <w:szCs w:val="24"/>
        </w:rPr>
        <w:t>.</w:t>
      </w:r>
    </w:p>
    <w:p w14:paraId="4FEC1778" w14:textId="415E42DF" w:rsidR="008C64F7" w:rsidRPr="008C64F7" w:rsidRDefault="008C64F7" w:rsidP="00D0341C">
      <w:pPr>
        <w:pStyle w:val="NIEARTTEKSTtekstnieartykuowanynppodstprawnarozplubpreambua"/>
        <w:numPr>
          <w:ilvl w:val="0"/>
          <w:numId w:val="8"/>
        </w:numPr>
        <w:rPr>
          <w:rFonts w:ascii="Times New Roman" w:hAnsi="Times New Roman" w:cs="Times New Roman"/>
          <w:szCs w:val="24"/>
          <w:lang w:val="en-GB"/>
        </w:rPr>
      </w:pPr>
      <w:r w:rsidRPr="008C64F7">
        <w:rPr>
          <w:rFonts w:ascii="Times New Roman" w:hAnsi="Times New Roman" w:cs="Times New Roman"/>
          <w:szCs w:val="24"/>
          <w:lang w:val="en-GB"/>
        </w:rPr>
        <w:t>Decyzj</w:t>
      </w:r>
      <w:r>
        <w:rPr>
          <w:rFonts w:ascii="Times New Roman" w:hAnsi="Times New Roman" w:cs="Times New Roman"/>
          <w:szCs w:val="24"/>
          <w:lang w:val="en-GB"/>
        </w:rPr>
        <w:t>i</w:t>
      </w:r>
      <w:r w:rsidRPr="008C64F7">
        <w:rPr>
          <w:rFonts w:ascii="Times New Roman" w:hAnsi="Times New Roman" w:cs="Times New Roman"/>
          <w:szCs w:val="24"/>
          <w:lang w:val="en-GB"/>
        </w:rPr>
        <w:t xml:space="preserve"> wykonawcz</w:t>
      </w:r>
      <w:r>
        <w:rPr>
          <w:rFonts w:ascii="Times New Roman" w:hAnsi="Times New Roman" w:cs="Times New Roman"/>
          <w:szCs w:val="24"/>
          <w:lang w:val="en-GB"/>
        </w:rPr>
        <w:t>ej</w:t>
      </w:r>
      <w:r w:rsidRPr="008C64F7">
        <w:rPr>
          <w:rFonts w:ascii="Times New Roman" w:hAnsi="Times New Roman" w:cs="Times New Roman"/>
          <w:szCs w:val="24"/>
          <w:lang w:val="en-GB"/>
        </w:rPr>
        <w:t xml:space="preserve"> Komisji (UE) 2020/1426 z dnia 7 października 2020 r. w</w:t>
      </w:r>
      <w:r w:rsidR="00B2192A">
        <w:rPr>
          <w:rFonts w:ascii="Times New Roman" w:hAnsi="Times New Roman" w:cs="Times New Roman"/>
          <w:szCs w:val="24"/>
          <w:lang w:val="en-GB"/>
        </w:rPr>
        <w:t> </w:t>
      </w:r>
      <w:r w:rsidRPr="008C64F7">
        <w:rPr>
          <w:rFonts w:ascii="Times New Roman" w:hAnsi="Times New Roman" w:cs="Times New Roman"/>
          <w:szCs w:val="24"/>
          <w:lang w:val="en-GB"/>
        </w:rPr>
        <w:t>sprawie zharmonizowanego wykorzystania widma radiowego w zakresie częstotliwości 5875-</w:t>
      </w:r>
      <w:r w:rsidRPr="008C64F7">
        <w:rPr>
          <w:rFonts w:ascii="Times New Roman" w:hAnsi="Times New Roman" w:cs="Times New Roman"/>
          <w:szCs w:val="24"/>
          <w:lang w:val="en-GB"/>
        </w:rPr>
        <w:lastRenderedPageBreak/>
        <w:t>5935 MHz na potrzeby związanych z bezpieczeństwem zastosowań inteligentnych systemów transportowych (ITS), uchylając</w:t>
      </w:r>
      <w:r>
        <w:rPr>
          <w:rFonts w:ascii="Times New Roman" w:hAnsi="Times New Roman" w:cs="Times New Roman"/>
          <w:szCs w:val="24"/>
          <w:lang w:val="en-GB"/>
        </w:rPr>
        <w:t>ej</w:t>
      </w:r>
      <w:r w:rsidRPr="008C64F7">
        <w:rPr>
          <w:rFonts w:ascii="Times New Roman" w:hAnsi="Times New Roman" w:cs="Times New Roman"/>
          <w:szCs w:val="24"/>
          <w:lang w:val="en-GB"/>
        </w:rPr>
        <w:t xml:space="preserve"> decyzję 2008/671/WE (Dz. U</w:t>
      </w:r>
      <w:r w:rsidR="00803555">
        <w:rPr>
          <w:rFonts w:ascii="Times New Roman" w:hAnsi="Times New Roman" w:cs="Times New Roman"/>
          <w:szCs w:val="24"/>
          <w:lang w:val="en-GB"/>
        </w:rPr>
        <w:t>rz</w:t>
      </w:r>
      <w:r w:rsidRPr="008C64F7">
        <w:rPr>
          <w:rFonts w:ascii="Times New Roman" w:hAnsi="Times New Roman" w:cs="Times New Roman"/>
          <w:szCs w:val="24"/>
          <w:lang w:val="en-GB"/>
        </w:rPr>
        <w:t>. UE L 328 z</w:t>
      </w:r>
      <w:r w:rsidR="00B2192A">
        <w:rPr>
          <w:rFonts w:ascii="Times New Roman" w:hAnsi="Times New Roman" w:cs="Times New Roman"/>
          <w:szCs w:val="24"/>
          <w:lang w:val="en-GB"/>
        </w:rPr>
        <w:t> </w:t>
      </w:r>
      <w:r w:rsidRPr="008C64F7">
        <w:rPr>
          <w:rFonts w:ascii="Times New Roman" w:hAnsi="Times New Roman" w:cs="Times New Roman"/>
          <w:szCs w:val="24"/>
          <w:lang w:val="en-GB"/>
        </w:rPr>
        <w:t>9.10.2020, str. 19).</w:t>
      </w:r>
    </w:p>
    <w:p w14:paraId="0838D446" w14:textId="2E6B488E" w:rsidR="008C64F7" w:rsidRDefault="008C64F7" w:rsidP="00D0341C">
      <w:pPr>
        <w:pStyle w:val="NIEARTTEKSTtekstnieartykuowanynppodstprawnarozplubpreambua"/>
        <w:ind w:left="720" w:firstLine="0"/>
        <w:rPr>
          <w:rFonts w:ascii="Times New Roman" w:hAnsi="Times New Roman" w:cs="Times New Roman"/>
          <w:szCs w:val="24"/>
          <w:lang w:val="en-GB"/>
        </w:rPr>
      </w:pPr>
      <w:r w:rsidRPr="008C64F7">
        <w:rPr>
          <w:rFonts w:ascii="Times New Roman" w:hAnsi="Times New Roman" w:cs="Times New Roman"/>
          <w:szCs w:val="24"/>
          <w:lang w:val="en-GB"/>
        </w:rPr>
        <w:t>Decyzja ta harmonizuje warunki udostępniania i efektywnego wykorzystywania zakresu częstotliwości 5875–5935 MHz na potrzeby zastosowań inteligentnych systemów transportowych (ITS)</w:t>
      </w:r>
      <w:r w:rsidR="00BB0E4F">
        <w:rPr>
          <w:rFonts w:ascii="Times New Roman" w:hAnsi="Times New Roman" w:cs="Times New Roman"/>
          <w:szCs w:val="24"/>
          <w:lang w:val="en-GB"/>
        </w:rPr>
        <w:t xml:space="preserve"> </w:t>
      </w:r>
      <w:r w:rsidR="00BB0E4F" w:rsidRPr="008C64F7">
        <w:rPr>
          <w:rFonts w:ascii="Times New Roman" w:hAnsi="Times New Roman" w:cs="Times New Roman"/>
          <w:szCs w:val="24"/>
          <w:lang w:val="en-GB"/>
        </w:rPr>
        <w:t>związan</w:t>
      </w:r>
      <w:r w:rsidR="00BB0E4F">
        <w:rPr>
          <w:rFonts w:ascii="Times New Roman" w:hAnsi="Times New Roman" w:cs="Times New Roman"/>
          <w:szCs w:val="24"/>
          <w:lang w:val="en-GB"/>
        </w:rPr>
        <w:t>ych</w:t>
      </w:r>
      <w:r w:rsidR="00BB0E4F" w:rsidRPr="008C64F7">
        <w:rPr>
          <w:rFonts w:ascii="Times New Roman" w:hAnsi="Times New Roman" w:cs="Times New Roman"/>
          <w:szCs w:val="24"/>
          <w:lang w:val="en-GB"/>
        </w:rPr>
        <w:t xml:space="preserve"> z bezpieczeństwem</w:t>
      </w:r>
      <w:r w:rsidR="00BB0E4F">
        <w:rPr>
          <w:rFonts w:ascii="Times New Roman" w:hAnsi="Times New Roman" w:cs="Times New Roman"/>
          <w:szCs w:val="24"/>
          <w:lang w:val="en-GB"/>
        </w:rPr>
        <w:t xml:space="preserve"> ruchu</w:t>
      </w:r>
      <w:r w:rsidRPr="008C64F7">
        <w:rPr>
          <w:rFonts w:ascii="Times New Roman" w:hAnsi="Times New Roman" w:cs="Times New Roman"/>
          <w:szCs w:val="24"/>
          <w:lang w:val="en-GB"/>
        </w:rPr>
        <w:t xml:space="preserve">. </w:t>
      </w:r>
    </w:p>
    <w:p w14:paraId="49185680" w14:textId="07BCA541" w:rsidR="008C64F7" w:rsidRPr="008C64F7" w:rsidRDefault="008C64F7" w:rsidP="00D0341C">
      <w:pPr>
        <w:pStyle w:val="NIEARTTEKSTtekstnieartykuowanynppodstprawnarozplubpreambua"/>
        <w:numPr>
          <w:ilvl w:val="0"/>
          <w:numId w:val="8"/>
        </w:numPr>
        <w:rPr>
          <w:rFonts w:ascii="Times New Roman" w:hAnsi="Times New Roman" w:cs="Times New Roman"/>
          <w:szCs w:val="24"/>
          <w:lang w:val="en-GB"/>
        </w:rPr>
      </w:pPr>
      <w:r w:rsidRPr="008C64F7">
        <w:rPr>
          <w:rFonts w:ascii="Times New Roman" w:hAnsi="Times New Roman" w:cs="Times New Roman"/>
          <w:szCs w:val="24"/>
          <w:lang w:val="en-GB"/>
        </w:rPr>
        <w:t>Decyzj</w:t>
      </w:r>
      <w:r>
        <w:rPr>
          <w:rFonts w:ascii="Times New Roman" w:hAnsi="Times New Roman" w:cs="Times New Roman"/>
          <w:szCs w:val="24"/>
          <w:lang w:val="en-GB"/>
        </w:rPr>
        <w:t>i</w:t>
      </w:r>
      <w:r w:rsidRPr="008C64F7">
        <w:rPr>
          <w:rFonts w:ascii="Times New Roman" w:hAnsi="Times New Roman" w:cs="Times New Roman"/>
          <w:szCs w:val="24"/>
          <w:lang w:val="en-GB"/>
        </w:rPr>
        <w:t xml:space="preserve"> wykonawcz</w:t>
      </w:r>
      <w:r>
        <w:rPr>
          <w:rFonts w:ascii="Times New Roman" w:hAnsi="Times New Roman" w:cs="Times New Roman"/>
          <w:szCs w:val="24"/>
          <w:lang w:val="en-GB"/>
        </w:rPr>
        <w:t>ej</w:t>
      </w:r>
      <w:r w:rsidRPr="008C64F7">
        <w:rPr>
          <w:rFonts w:ascii="Times New Roman" w:hAnsi="Times New Roman" w:cs="Times New Roman"/>
          <w:szCs w:val="24"/>
          <w:lang w:val="en-GB"/>
        </w:rPr>
        <w:t xml:space="preserve"> Komisji (UE) 2026/883 z dnia 21 kwietnia 2026 r. w</w:t>
      </w:r>
      <w:r w:rsidR="00B2192A">
        <w:rPr>
          <w:rFonts w:ascii="Times New Roman" w:hAnsi="Times New Roman" w:cs="Times New Roman"/>
          <w:szCs w:val="24"/>
          <w:lang w:val="en-GB"/>
        </w:rPr>
        <w:t> </w:t>
      </w:r>
      <w:r w:rsidRPr="008C64F7">
        <w:rPr>
          <w:rFonts w:ascii="Times New Roman" w:hAnsi="Times New Roman" w:cs="Times New Roman"/>
          <w:szCs w:val="24"/>
          <w:lang w:val="en-GB"/>
        </w:rPr>
        <w:t>sprawie harmonizacji widma radiowego na potrzeby zastosowań radiolokacyjnych w</w:t>
      </w:r>
      <w:r w:rsidR="00B2192A">
        <w:rPr>
          <w:rFonts w:ascii="Times New Roman" w:hAnsi="Times New Roman" w:cs="Times New Roman"/>
          <w:szCs w:val="24"/>
          <w:lang w:val="en-GB"/>
        </w:rPr>
        <w:t> </w:t>
      </w:r>
      <w:r w:rsidRPr="008C64F7">
        <w:rPr>
          <w:rFonts w:ascii="Times New Roman" w:hAnsi="Times New Roman" w:cs="Times New Roman"/>
          <w:szCs w:val="24"/>
          <w:lang w:val="en-GB"/>
        </w:rPr>
        <w:t>zakresie częstotliwości 116–260 GHz.</w:t>
      </w:r>
    </w:p>
    <w:p w14:paraId="338C859D" w14:textId="1BF36CAF" w:rsidR="008C64F7" w:rsidRDefault="008C64F7" w:rsidP="00D0341C">
      <w:pPr>
        <w:pStyle w:val="NIEARTTEKSTtekstnieartykuowanynppodstprawnarozplubpreambua"/>
        <w:ind w:left="720" w:firstLine="0"/>
        <w:rPr>
          <w:rFonts w:ascii="Times New Roman" w:hAnsi="Times New Roman" w:cs="Times New Roman"/>
          <w:szCs w:val="24"/>
          <w:lang w:val="en-GB"/>
        </w:rPr>
      </w:pPr>
      <w:r w:rsidRPr="008C64F7">
        <w:rPr>
          <w:rFonts w:ascii="Times New Roman" w:hAnsi="Times New Roman" w:cs="Times New Roman"/>
          <w:szCs w:val="24"/>
          <w:lang w:val="en-GB"/>
        </w:rPr>
        <w:t xml:space="preserve">Decyzja ta harmonizuje warunki techniczne dostępności i efektywnego wykorzystania widma radiowego w zakresie częstotliwości 116–260 GHz w Unii na potrzeby zastosowań radiolokacyjnych oraz zawiera wymogi techniczne dla tych zastosowań. </w:t>
      </w:r>
    </w:p>
    <w:p w14:paraId="7A5726C1" w14:textId="4BEDE27C" w:rsidR="00332B80" w:rsidRPr="00332B80" w:rsidRDefault="00332B80" w:rsidP="00D0341C">
      <w:pPr>
        <w:pStyle w:val="NIEARTTEKSTtekstnieartykuowanynppodstprawnarozplubpreambua"/>
        <w:numPr>
          <w:ilvl w:val="0"/>
          <w:numId w:val="8"/>
        </w:numPr>
        <w:rPr>
          <w:rFonts w:ascii="Times New Roman" w:hAnsi="Times New Roman" w:cs="Times New Roman"/>
          <w:szCs w:val="24"/>
          <w:lang w:val="en-GB"/>
        </w:rPr>
      </w:pPr>
      <w:r w:rsidRPr="00332B80">
        <w:rPr>
          <w:rFonts w:ascii="Times New Roman" w:hAnsi="Times New Roman" w:cs="Times New Roman"/>
          <w:szCs w:val="24"/>
          <w:lang w:val="en-US"/>
        </w:rPr>
        <w:t xml:space="preserve">Zalecenia </w:t>
      </w:r>
      <w:r w:rsidRPr="00332B80">
        <w:rPr>
          <w:rFonts w:ascii="Times New Roman" w:hAnsi="Times New Roman" w:cs="Times New Roman"/>
          <w:szCs w:val="24"/>
          <w:lang w:val="en-GB"/>
        </w:rPr>
        <w:t xml:space="preserve">ERC Recommendation 70-03 Relating to the use of Short Range Devices (SRD), approved 1997 (Tromsø), Subsequent amendments </w:t>
      </w:r>
      <w:r w:rsidR="00DF4A90" w:rsidRPr="006C0866">
        <w:rPr>
          <w:rFonts w:ascii="Times New Roman" w:eastAsia="Times New Roman" w:hAnsi="Times New Roman" w:cs="Times New Roman"/>
          <w:szCs w:val="24"/>
          <w:lang w:val="en-US"/>
        </w:rPr>
        <w:t>13 February 2026</w:t>
      </w:r>
      <w:r w:rsidRPr="00332B80">
        <w:rPr>
          <w:rFonts w:ascii="Times New Roman" w:hAnsi="Times New Roman" w:cs="Times New Roman"/>
          <w:szCs w:val="24"/>
          <w:lang w:val="en-GB"/>
        </w:rPr>
        <w:t>.</w:t>
      </w:r>
    </w:p>
    <w:p w14:paraId="7C76C361" w14:textId="001697F3" w:rsidR="00332B80" w:rsidRPr="00332B80" w:rsidRDefault="00332B80" w:rsidP="00D0341C">
      <w:pPr>
        <w:pStyle w:val="NIEARTTEKSTtekstnieartykuowanynppodstprawnarozplubpreambua"/>
        <w:ind w:left="720" w:firstLine="0"/>
        <w:rPr>
          <w:rFonts w:ascii="Times New Roman" w:hAnsi="Times New Roman" w:cs="Times New Roman"/>
          <w:color w:val="000000" w:themeColor="text1"/>
          <w:szCs w:val="24"/>
        </w:rPr>
      </w:pPr>
      <w:r w:rsidRPr="00332B80">
        <w:rPr>
          <w:rFonts w:ascii="Times New Roman" w:hAnsi="Times New Roman" w:cs="Times New Roman"/>
          <w:color w:val="222222"/>
          <w:szCs w:val="24"/>
        </w:rPr>
        <w:t xml:space="preserve">Zalecenie to </w:t>
      </w:r>
      <w:r w:rsidR="00E3671B">
        <w:rPr>
          <w:rFonts w:ascii="Times New Roman" w:eastAsia="Times New Roman" w:hAnsi="Times New Roman" w:cs="Times New Roman"/>
          <w:szCs w:val="24"/>
        </w:rPr>
        <w:t>po aktualizacji i zmianach dokonanych</w:t>
      </w:r>
      <w:r w:rsidR="00E3671B" w:rsidRPr="00A83685">
        <w:rPr>
          <w:rFonts w:ascii="Times New Roman" w:eastAsia="Times New Roman" w:hAnsi="Times New Roman" w:cs="Times New Roman"/>
          <w:szCs w:val="24"/>
        </w:rPr>
        <w:t xml:space="preserve"> w 2026 r. </w:t>
      </w:r>
      <w:r w:rsidRPr="00332B80">
        <w:rPr>
          <w:rFonts w:ascii="Times New Roman" w:hAnsi="Times New Roman" w:cs="Times New Roman"/>
          <w:color w:val="222222"/>
          <w:szCs w:val="24"/>
        </w:rPr>
        <w:t xml:space="preserve">określa stanowisko państw CEPT </w:t>
      </w:r>
      <w:bookmarkStart w:id="3" w:name="_Hlk216464065"/>
      <w:r w:rsidR="00130399">
        <w:rPr>
          <w:rFonts w:ascii="Times New Roman" w:hAnsi="Times New Roman" w:cs="Times New Roman"/>
          <w:color w:val="222222"/>
          <w:szCs w:val="24"/>
        </w:rPr>
        <w:t xml:space="preserve">w sprawie </w:t>
      </w:r>
      <w:r w:rsidR="00130399">
        <w:rPr>
          <w:rFonts w:ascii="Times New Roman" w:eastAsia="Times New Roman" w:hAnsi="Times New Roman"/>
          <w:szCs w:val="24"/>
        </w:rPr>
        <w:t>tych zakresów częstotliwości w</w:t>
      </w:r>
      <w:r w:rsidR="00130399" w:rsidRPr="009829A5">
        <w:rPr>
          <w:rFonts w:ascii="Times New Roman" w:eastAsia="Times New Roman" w:hAnsi="Times New Roman"/>
          <w:szCs w:val="24"/>
        </w:rPr>
        <w:t xml:space="preserve"> widm</w:t>
      </w:r>
      <w:r w:rsidR="00130399">
        <w:rPr>
          <w:rFonts w:ascii="Times New Roman" w:eastAsia="Times New Roman" w:hAnsi="Times New Roman"/>
          <w:szCs w:val="24"/>
        </w:rPr>
        <w:t>ie</w:t>
      </w:r>
      <w:r w:rsidR="00130399" w:rsidRPr="009829A5">
        <w:rPr>
          <w:rFonts w:ascii="Times New Roman" w:eastAsia="Times New Roman" w:hAnsi="Times New Roman"/>
          <w:szCs w:val="24"/>
        </w:rPr>
        <w:t xml:space="preserve"> radiow</w:t>
      </w:r>
      <w:r w:rsidR="00130399">
        <w:rPr>
          <w:rFonts w:ascii="Times New Roman" w:eastAsia="Times New Roman" w:hAnsi="Times New Roman"/>
          <w:szCs w:val="24"/>
        </w:rPr>
        <w:t>ym</w:t>
      </w:r>
      <w:r w:rsidR="00130399" w:rsidRPr="009829A5">
        <w:rPr>
          <w:rFonts w:ascii="Times New Roman" w:eastAsia="Times New Roman" w:hAnsi="Times New Roman"/>
          <w:szCs w:val="24"/>
        </w:rPr>
        <w:t>, które mo</w:t>
      </w:r>
      <w:r w:rsidR="00130399">
        <w:rPr>
          <w:rFonts w:ascii="Times New Roman" w:eastAsia="Times New Roman" w:hAnsi="Times New Roman"/>
          <w:szCs w:val="24"/>
        </w:rPr>
        <w:t>gą</w:t>
      </w:r>
      <w:bookmarkEnd w:id="3"/>
      <w:r w:rsidR="00130399" w:rsidRPr="00332B80">
        <w:rPr>
          <w:rFonts w:ascii="Times New Roman" w:hAnsi="Times New Roman" w:cs="Times New Roman"/>
          <w:color w:val="222222"/>
          <w:szCs w:val="24"/>
        </w:rPr>
        <w:t xml:space="preserve"> </w:t>
      </w:r>
      <w:r w:rsidRPr="00332B80">
        <w:rPr>
          <w:rFonts w:ascii="Times New Roman" w:hAnsi="Times New Roman" w:cs="Times New Roman"/>
          <w:color w:val="222222"/>
          <w:szCs w:val="24"/>
        </w:rPr>
        <w:t xml:space="preserve">być wykorzystywane przez urządzenia o bliskim zasięgu (SRD) i stanowi dokument </w:t>
      </w:r>
      <w:r w:rsidR="0033789C">
        <w:rPr>
          <w:rFonts w:ascii="Times New Roman" w:hAnsi="Times New Roman" w:cs="Times New Roman"/>
          <w:color w:val="222222"/>
          <w:szCs w:val="24"/>
        </w:rPr>
        <w:t>odniesienia</w:t>
      </w:r>
      <w:r w:rsidRPr="00332B80">
        <w:rPr>
          <w:rFonts w:ascii="Times New Roman" w:hAnsi="Times New Roman" w:cs="Times New Roman"/>
          <w:color w:val="222222"/>
          <w:szCs w:val="24"/>
        </w:rPr>
        <w:t xml:space="preserve"> w</w:t>
      </w:r>
      <w:r w:rsidR="00B2192A">
        <w:rPr>
          <w:rFonts w:ascii="Times New Roman" w:hAnsi="Times New Roman" w:cs="Times New Roman"/>
          <w:color w:val="222222"/>
          <w:szCs w:val="24"/>
        </w:rPr>
        <w:t> </w:t>
      </w:r>
      <w:r w:rsidR="0033789C">
        <w:rPr>
          <w:rFonts w:ascii="Times New Roman" w:hAnsi="Times New Roman" w:cs="Times New Roman"/>
          <w:color w:val="222222"/>
          <w:szCs w:val="24"/>
        </w:rPr>
        <w:t xml:space="preserve">trakcie </w:t>
      </w:r>
      <w:r w:rsidRPr="00332B80">
        <w:rPr>
          <w:rFonts w:ascii="Times New Roman" w:hAnsi="Times New Roman" w:cs="Times New Roman"/>
          <w:color w:val="222222"/>
          <w:szCs w:val="24"/>
        </w:rPr>
        <w:t>przygotowani</w:t>
      </w:r>
      <w:r w:rsidR="0033789C">
        <w:rPr>
          <w:rFonts w:ascii="Times New Roman" w:hAnsi="Times New Roman" w:cs="Times New Roman"/>
          <w:color w:val="222222"/>
          <w:szCs w:val="24"/>
        </w:rPr>
        <w:t>a</w:t>
      </w:r>
      <w:r w:rsidRPr="00332B80">
        <w:rPr>
          <w:rFonts w:ascii="Times New Roman" w:hAnsi="Times New Roman" w:cs="Times New Roman"/>
          <w:color w:val="222222"/>
          <w:szCs w:val="24"/>
        </w:rPr>
        <w:t xml:space="preserve"> krajowych przepisów w zakresie wykorzystania widma radiowego.</w:t>
      </w:r>
    </w:p>
    <w:p w14:paraId="4E31EE12" w14:textId="46F0073C" w:rsidR="00E3671B" w:rsidRPr="00E3671B" w:rsidRDefault="00E3671B"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Pr="00E3671B">
        <w:rPr>
          <w:rFonts w:ascii="Times New Roman" w:eastAsia="Times New Roman" w:hAnsi="Times New Roman" w:cs="Times New Roman"/>
          <w:szCs w:val="24"/>
        </w:rPr>
        <w:t xml:space="preserve">ECC/DEC/(04)08 of 9 July 2004 on the harmonised use of the 5 GHz frequency bands for Wireless Access Systems including Radio Local Area Networks (WAS/RLAN); latest amended on 1 July 2022. </w:t>
      </w:r>
    </w:p>
    <w:p w14:paraId="6C8719D4" w14:textId="4FE4A6F5" w:rsidR="00E3671B" w:rsidRPr="00E3671B" w:rsidRDefault="00E3671B"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Pr="00E3671B">
        <w:rPr>
          <w:rFonts w:ascii="Times New Roman" w:eastAsia="Times New Roman" w:hAnsi="Times New Roman" w:cs="Times New Roman"/>
          <w:szCs w:val="24"/>
        </w:rPr>
        <w:t xml:space="preserve">ECC/DEC/(20)01 of 20 November 2020 on the harmonised use of the frequency band 5945-6425 MHz for Wireless Access Systems including Radio Local Area Networks (WAS/RLAN); amended 8 November 2024. </w:t>
      </w:r>
    </w:p>
    <w:p w14:paraId="15F6CC6F" w14:textId="7B555C4E"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ECC/DEC/(08)01 of 14 March 2008 on the harmonised use of Safety-Related Intelligent Transport Systems (ITS) in the 5875-5935 MHz frequency band; latest amended on 7 March 2025. </w:t>
      </w:r>
    </w:p>
    <w:p w14:paraId="380D7FE3" w14:textId="53A33413"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ECC/DEC/(06)08 of 1 December 2006 on the conditions for use of the radio spectrum by Ground- and Wall-Probing Radar (GPR/WPR) imaging systems; updated on 26 October 2018. </w:t>
      </w:r>
    </w:p>
    <w:p w14:paraId="78EFFED4" w14:textId="37E2A30C"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Decyzji </w:t>
      </w:r>
      <w:r w:rsidR="00E3671B" w:rsidRPr="00E3671B">
        <w:rPr>
          <w:rFonts w:ascii="Times New Roman" w:eastAsia="Times New Roman" w:hAnsi="Times New Roman" w:cs="Times New Roman"/>
          <w:szCs w:val="24"/>
        </w:rPr>
        <w:t>ECC/DEC/(11)02 of 11 March 2011 on industrial Level Probing Radars (LPR) operating in frequency bands 6-8.5 GHz, 24.05-26.5 GHz, 57-64 GHz and 75-85 GHz; latest updated on 8 November 2024.</w:t>
      </w:r>
    </w:p>
    <w:p w14:paraId="2A100347" w14:textId="0982C26B"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ECC/DEC/(21)02 of 5 November 2021 on the harmonised frequency band 76-77 GHz, technical characteristics, exemption from individual licensing and free circulation and use of High Definition Ground Based Synthetic Aperture Radar (HD-GBSAR); updated 1</w:t>
      </w:r>
      <w:r w:rsidR="007E7F75">
        <w:rPr>
          <w:rFonts w:ascii="Times New Roman" w:eastAsia="Times New Roman" w:hAnsi="Times New Roman" w:cs="Times New Roman"/>
          <w:szCs w:val="24"/>
        </w:rPr>
        <w:t> </w:t>
      </w:r>
      <w:r w:rsidR="00E3671B" w:rsidRPr="00E3671B">
        <w:rPr>
          <w:rFonts w:ascii="Times New Roman" w:eastAsia="Times New Roman" w:hAnsi="Times New Roman" w:cs="Times New Roman"/>
          <w:szCs w:val="24"/>
        </w:rPr>
        <w:t xml:space="preserve">July 2022. </w:t>
      </w:r>
    </w:p>
    <w:p w14:paraId="435A82CD" w14:textId="0DF59E7B"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ECC/DEC/(22)03 of 18 November 2022 on the harmonised frequency bands, technical characteristics, exemption from individual licensing and free circulation and use of specific radiodetermination applications in the frequency range 116 - 260 GHz; amended 8</w:t>
      </w:r>
      <w:r w:rsidR="007E7F75">
        <w:rPr>
          <w:rFonts w:ascii="Times New Roman" w:eastAsia="Times New Roman" w:hAnsi="Times New Roman" w:cs="Times New Roman"/>
          <w:szCs w:val="24"/>
        </w:rPr>
        <w:t> </w:t>
      </w:r>
      <w:r w:rsidR="00E3671B" w:rsidRPr="00E3671B">
        <w:rPr>
          <w:rFonts w:ascii="Times New Roman" w:eastAsia="Times New Roman" w:hAnsi="Times New Roman" w:cs="Times New Roman"/>
          <w:szCs w:val="24"/>
        </w:rPr>
        <w:t xml:space="preserve">March 2024 and amended 7 November 2025. </w:t>
      </w:r>
    </w:p>
    <w:p w14:paraId="0258BB4F" w14:textId="714C284E"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ERC/DEC/(01)11 of 12 March 2001 on harmonised frequencies, technical characteristics and exemption from individual licensing of Short Range Devices used for Flying Model control operating in the frequency band 34.995-35.225 MHz; latest updated on 10 June 2022. </w:t>
      </w:r>
    </w:p>
    <w:p w14:paraId="21166818" w14:textId="04B12D5A"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ERC/DEC/(01)12 of 12 March 2001 on harmonised frequencies, technical characteristics and exemption from individual licensing of Short Range Devices used for Model control operating in the frequencies 40.665, 40.675, 40.685 and 40.695 MHz; latest updated on 10 June 2022. </w:t>
      </w:r>
    </w:p>
    <w:p w14:paraId="73A42281" w14:textId="5B4FB1F5" w:rsidR="00E3671B" w:rsidRPr="00E3671B" w:rsidRDefault="00C2003D" w:rsidP="004F55A6">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ECC/DEC/(05)02 of 18 March 2005 on a harmonised frequency plan for the use of the band 169.4-169.8125 MHz; latest amended on 8 March 2024. </w:t>
      </w:r>
    </w:p>
    <w:p w14:paraId="7ACCB222" w14:textId="071503DD" w:rsidR="00E3671B" w:rsidRPr="00E3671B" w:rsidRDefault="00766CBF"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Sprawozdania </w:t>
      </w:r>
      <w:r w:rsidR="00E3671B" w:rsidRPr="00E3671B">
        <w:rPr>
          <w:rFonts w:ascii="Times New Roman" w:eastAsia="Times New Roman" w:hAnsi="Times New Roman" w:cs="Times New Roman"/>
          <w:szCs w:val="24"/>
        </w:rPr>
        <w:t xml:space="preserve">ECC Report 270 Sharing studies between Telecoil Replacement Systems (TRS) and Mobile Satellite Service (MSS) in the frequency range 1656.5-1660.5 MHz. </w:t>
      </w:r>
    </w:p>
    <w:p w14:paraId="19DACB8C" w14:textId="1398D79C"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ECC/DEC/(06)04 of 24 March 2006 on the harmonised use, exemption from individual licensing and free circulation of devices using Ultra-Wideband (UWB) technology in bands below 10.6 GHz; latest amended on 18 November 2022. </w:t>
      </w:r>
    </w:p>
    <w:p w14:paraId="79BF83CF" w14:textId="37CE1A87"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ECC/DEC/(07)01 of 30 March 2007 on the harmonised use, exemption from individual licensing and free circulation of Material Sensing Devices using Ultra-Wideband (UWB) technology; latest updated on 1 July 2022. </w:t>
      </w:r>
    </w:p>
    <w:p w14:paraId="4330A71E" w14:textId="58A727C8"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Decyzji </w:t>
      </w:r>
      <w:r w:rsidR="00E3671B" w:rsidRPr="00E3671B">
        <w:rPr>
          <w:rFonts w:ascii="Times New Roman" w:eastAsia="Times New Roman" w:hAnsi="Times New Roman" w:cs="Times New Roman"/>
          <w:szCs w:val="24"/>
        </w:rPr>
        <w:t xml:space="preserve">ECC/DEC/(04)10 of 12 November 2004 on the frequency bands to be designated for the temporary introduction of Automotive Short Range Radars (SRR); latest amended on 4 March 2022. </w:t>
      </w:r>
    </w:p>
    <w:p w14:paraId="3C87FABF" w14:textId="47609E4F"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ERC/DEC/(99)06 of 10 March 1999 on the harmonised introduction of satellite personal communication systems operating in the bands below 1 GHz (S-PCS&lt;1GHz); latest updated on 6 March 2026. </w:t>
      </w:r>
    </w:p>
    <w:p w14:paraId="47AB4ADA" w14:textId="5C3C9C94"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ERC/DEC/(99)05 of 10 March 1999 on Free Circulation, Use and Exemption from Individual Licensing of Mobile Earth </w:t>
      </w:r>
      <w:r w:rsidR="00B2192A" w:rsidRPr="00E3671B">
        <w:rPr>
          <w:rFonts w:ascii="Times New Roman" w:eastAsia="Times New Roman" w:hAnsi="Times New Roman" w:cs="Times New Roman"/>
          <w:szCs w:val="24"/>
        </w:rPr>
        <w:t>Stations. (</w:t>
      </w:r>
      <w:r w:rsidR="00E3671B" w:rsidRPr="00E3671B">
        <w:rPr>
          <w:rFonts w:ascii="Times New Roman" w:eastAsia="Times New Roman" w:hAnsi="Times New Roman" w:cs="Times New Roman"/>
          <w:szCs w:val="24"/>
        </w:rPr>
        <w:t xml:space="preserve">S-PCS &lt; 1GHz). </w:t>
      </w:r>
    </w:p>
    <w:p w14:paraId="11636264" w14:textId="792F5CFB"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ECTRA/DEC/(99)02 of of 3 March 1999 on harmonisation of authorisation conditions in the field of Satellite Personal Communications Services (S-PCS) in Europe, operating in the bands below 1 GHz (S-PCS&lt;1 GHz). </w:t>
      </w:r>
    </w:p>
    <w:p w14:paraId="2CC25DF6" w14:textId="711E2620"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ECC/DEC/(25)02 of 27 June 2025 on low power devices communicating with satellites (LPD-S) within the frequency range 862-870 MHz. </w:t>
      </w:r>
    </w:p>
    <w:p w14:paraId="379B72B8" w14:textId="59635DB4"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ECC/DEC/(12)01 of 1 June 2012 on exemption from individual licensing and free circulation and use of satellite mobile terminals operating under the control of networks in the range 1 to 3 GHz; latest amended on 4 March 2022. </w:t>
      </w:r>
    </w:p>
    <w:p w14:paraId="618CDA34" w14:textId="379DEE54"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ECC/DEC/(09)04 of 30 October 2009 on exemption from individual licensing and the free circulation and use of transmit-only mobile satellite terminals operating in the Mobile-Satellite Service allocations in the 1613.8 - 1626.5 MHz band. </w:t>
      </w:r>
    </w:p>
    <w:p w14:paraId="739BE32A" w14:textId="6CA0FD51"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ECC/DEC/(04)09 of 12 November 2004 on the designation of the bands 1518-1525 MHz and 1670-1675 MHz for the Mobile-Satellite Service; amended on 26 June 2009. </w:t>
      </w:r>
    </w:p>
    <w:p w14:paraId="3E66C023" w14:textId="20CF0EC9"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ECC/DEC/(06)09 of 1 December 2006 on the designation of the bands 1980-2010 MHz and 2170-2200 MHz for use by systems in the Mobile-Satellite Service including those supplemented by a Complementary Ground Component (CGC); amended 5</w:t>
      </w:r>
      <w:r w:rsidR="00B2192A">
        <w:rPr>
          <w:rFonts w:ascii="Times New Roman" w:eastAsia="Times New Roman" w:hAnsi="Times New Roman" w:cs="Times New Roman"/>
          <w:szCs w:val="24"/>
        </w:rPr>
        <w:t> </w:t>
      </w:r>
      <w:r w:rsidR="00E3671B" w:rsidRPr="00E3671B">
        <w:rPr>
          <w:rFonts w:ascii="Times New Roman" w:eastAsia="Times New Roman" w:hAnsi="Times New Roman" w:cs="Times New Roman"/>
          <w:szCs w:val="24"/>
        </w:rPr>
        <w:t xml:space="preserve">September 2007. </w:t>
      </w:r>
    </w:p>
    <w:p w14:paraId="06E5DE8D" w14:textId="54B618DD"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ECC/DEC/(05)09 of 24 June 2005 on the free circulation and use of Earth Stations on board Vessels (ESV) operating in Fixed Satellite service networks in the frequency bands 5925-6425 MHz (Earth-to-space) and 3700-4200 MHz (space-to-Earth); latest amended on 8 March 2019. </w:t>
      </w:r>
    </w:p>
    <w:p w14:paraId="3B9786EA" w14:textId="73DBF799"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Decyzji </w:t>
      </w:r>
      <w:r w:rsidR="00E3671B" w:rsidRPr="00E3671B">
        <w:rPr>
          <w:rFonts w:ascii="Times New Roman" w:eastAsia="Times New Roman" w:hAnsi="Times New Roman" w:cs="Times New Roman"/>
          <w:szCs w:val="24"/>
        </w:rPr>
        <w:t xml:space="preserve">ECC/DEC/(19)04 of 6 March 2020 on the harmonised use of spectrum, free circulation and use of earth stations on-board aircraft operating with GSO FSS networks and NGSO FSS systems in the frequency bands 12.75-13.25 GHz (Earth-to-space) and 10.7-12.75 GHz (space-to-Earth); editorial update 28 May 2021. </w:t>
      </w:r>
    </w:p>
    <w:p w14:paraId="3F1F819F" w14:textId="28DD8495"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ECC/DEC/(05)11 of 24 June 2005 on the free circulation and use of Aircraft Earth Stations (AES) in the frequency bands 14-14.5 GHz (Earth-to-space), 10.7-11.7 GHz (space-to-Earth) and 12.5-12.75 GHz (space-to-Earth); latest updated on 8 November 2024. </w:t>
      </w:r>
    </w:p>
    <w:p w14:paraId="36BC7699" w14:textId="091B78DC"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ECC/DEC/(05)10 of 24 June 2005 on the free circulation and use of Earth Stations on board Vessels (ESV) operating in fixed satellite service networks in the frequency bands 14-14.5 GHz (Earth-to-space), 10.7-11.7 GHz (space-to-Earth) and 12.5-12.75 GHz (space-to-Earth); amended on 8 March 2019. </w:t>
      </w:r>
    </w:p>
    <w:p w14:paraId="771E8A25" w14:textId="4A132076"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ECC/DEC/(17)04 of 30 June 2017 on the harmonised use and exemption from individual licensing of fixed earth stations operating with NGSO FSS satellite systems in the frequency bands 10.70-12.75 GHz and 14.00-14.50 GHz; latest updated on 8 November 2024. </w:t>
      </w:r>
    </w:p>
    <w:p w14:paraId="69A6A0FB" w14:textId="7D36DD5D"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ECC/DEC/(18)04 of 6 July 2018 on the harmonised use, exemption from individual licensing and free circulation and use of land based Earth Stations In-Motion (ESIM) operating with GSO FSS satellite systems in the frequency bands 10.7-12.75 GHz and 14.0-14.5 GHz; latest updated on 8 November 2024. </w:t>
      </w:r>
    </w:p>
    <w:p w14:paraId="387A9A9F" w14:textId="7864CB9C"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ECC/DEC/(06)03 of 24 March 2006 on Exemption from Individual Licensing of high e.i.r.p. satellite terminals (HEST) operating with geostationary satellites and in the frequency bands 10.70-12.75 GHz or 19.70-20.20 GHz space-to-Earth and 14.00-14.25 GHz or 29.50-30.00 GHz Earth-to-space; latest amended on 18 November 2022. </w:t>
      </w:r>
    </w:p>
    <w:p w14:paraId="528A8CA5" w14:textId="2106BB19"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ECC/DEC/(18)05 of 6 July 2018 on the harmonised use, exemption from individual licensing and free circulation and use of Earth Stations In-Motion (ESIM) operating with NGSO FSS satellite systems in the frequency bands 10.7-12.75 GHz and 14.0-14.5 GHz; latest updated on 8 November 2024. </w:t>
      </w:r>
    </w:p>
    <w:p w14:paraId="28426957" w14:textId="07F484C8"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ECC/DEC/(03)04 of 17 October 2003 on the Exemption from Individual Licensing of Very Small Aperture Terminals (VSAT) operating in the frequency bands 14.25-14.50 GHz Earth-to-space and 10.70-11.70 GHz space-to-Earth; amended on 8 March 2019. </w:t>
      </w:r>
    </w:p>
    <w:p w14:paraId="16CFE874" w14:textId="47C7C894"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Decyzji </w:t>
      </w:r>
      <w:r w:rsidR="00E3671B" w:rsidRPr="00E3671B">
        <w:rPr>
          <w:rFonts w:ascii="Times New Roman" w:eastAsia="Times New Roman" w:hAnsi="Times New Roman" w:cs="Times New Roman"/>
          <w:szCs w:val="24"/>
        </w:rPr>
        <w:t xml:space="preserve">ECC/DEC/(13)01 of 8 March 2013 on the use, free circulation, and exemption from individual licensing of Earth stations on mobile platforms (ESOMPs) in the frequency bands available for use by uncoordinated FSS Earth stations within the ranges 17.3-20.2 GHz and 27.5-30.0 GHz; latest amended on 2 July 2021. </w:t>
      </w:r>
    </w:p>
    <w:p w14:paraId="4115664F" w14:textId="5BEEEBBA"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ECC/DEC/(15)04 of 3 July 2015 on the harmonised use, free circulation and exemption from individual licensing of Land, Maritime and Aeronautical Earth Stations On Mobile Platforms (ESOMPs) operating with NGSO FSS satellite systems in the frequency ranges 17.3-20.2 GHz, 27.5-29.1 GHz and 29.5-30.0 GHz; latest amended on 20 November 2020. </w:t>
      </w:r>
    </w:p>
    <w:p w14:paraId="6D02B911" w14:textId="54E452CE"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ECC/DEC/(05)08 of 24 June 2005 on the availability of frequency bands for high density applications in the Fixed-Satellite Service (space-to-Earth and Earth-to-space); latest amended on 18 November 2022. </w:t>
      </w:r>
    </w:p>
    <w:p w14:paraId="1C82AF3F" w14:textId="4797412F"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ECC/DEC/(21)01 of 5 November 2021 on the use of the bands 47.2-50.2 GHz and 50.4-52.4 GHz by the fixed-satellite service (Earth-to-space); updated 4 March 2022. </w:t>
      </w:r>
    </w:p>
    <w:p w14:paraId="5C89D748" w14:textId="73DAF584" w:rsidR="00E3671B" w:rsidRPr="00E3671B" w:rsidRDefault="00C2003D" w:rsidP="00D0341C">
      <w:pPr>
        <w:pStyle w:val="NIEARTTEKSTtekstnieartykuowanynppodstprawnarozplubpreambua"/>
        <w:numPr>
          <w:ilvl w:val="0"/>
          <w:numId w:val="8"/>
        </w:numPr>
        <w:rPr>
          <w:rFonts w:ascii="Times New Roman" w:eastAsia="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ECC/DEC/(08)08 of 31 October 2008 on the harmonised use of GSM systems in the 900 MHz and 1800 MHz bands, UMTS systems in the 2 GHz band and LTE and 5G NR non-AAS systems in the 1800 MHz and 2.6 GHz (FDD) bands on board vessels; latest updated on 4 March 2022. </w:t>
      </w:r>
    </w:p>
    <w:p w14:paraId="40AEB9BD" w14:textId="7BCA4EAB" w:rsidR="00332B80" w:rsidRPr="00332B80" w:rsidRDefault="00C2003D" w:rsidP="00D0341C">
      <w:pPr>
        <w:pStyle w:val="NIEARTTEKSTtekstnieartykuowanynppodstprawnarozplubpreambua"/>
        <w:numPr>
          <w:ilvl w:val="0"/>
          <w:numId w:val="8"/>
        </w:numPr>
        <w:rPr>
          <w:rFonts w:ascii="Times New Roman" w:hAnsi="Times New Roman" w:cs="Times New Roman"/>
          <w:szCs w:val="24"/>
        </w:rPr>
      </w:pPr>
      <w:r>
        <w:rPr>
          <w:rFonts w:ascii="Times New Roman" w:eastAsia="Times New Roman" w:hAnsi="Times New Roman" w:cs="Times New Roman"/>
          <w:szCs w:val="24"/>
        </w:rPr>
        <w:t xml:space="preserve">Decyzji </w:t>
      </w:r>
      <w:r w:rsidR="00E3671B" w:rsidRPr="00E3671B">
        <w:rPr>
          <w:rFonts w:ascii="Times New Roman" w:eastAsia="Times New Roman" w:hAnsi="Times New Roman" w:cs="Times New Roman"/>
          <w:szCs w:val="24"/>
        </w:rPr>
        <w:t xml:space="preserve">ECC/DEC/(22)02 of 1 July 2022 on regulation to operate Autonomous Maritime Radio Devices (AMRD) in CEPT. </w:t>
      </w:r>
      <w:r w:rsidR="00332B80" w:rsidRPr="00332B80">
        <w:rPr>
          <w:rFonts w:ascii="Times New Roman" w:hAnsi="Times New Roman" w:cs="Times New Roman"/>
          <w:szCs w:val="24"/>
        </w:rPr>
        <w:t>Projekt nie wymaga zaopiniowania, dokonania konsultacji albo uzgodnienia z właściwymi instytucjami i organami Unii Europejskiej, w tym z Europejskim Bankiem Centralnym.</w:t>
      </w:r>
    </w:p>
    <w:p w14:paraId="23F9C044" w14:textId="7F80E95B" w:rsidR="003E0810" w:rsidRDefault="00332B80" w:rsidP="003E0810">
      <w:pPr>
        <w:pStyle w:val="NIEARTTEKSTtekstnieartykuowanynppodstprawnarozplubpreambua"/>
        <w:spacing w:before="0" w:after="120"/>
        <w:ind w:firstLine="708"/>
        <w:rPr>
          <w:rFonts w:ascii="Times New Roman" w:hAnsi="Times New Roman" w:cs="Times New Roman"/>
          <w:szCs w:val="24"/>
        </w:rPr>
      </w:pPr>
      <w:r w:rsidRPr="00332B80">
        <w:rPr>
          <w:rFonts w:ascii="Times New Roman" w:hAnsi="Times New Roman" w:cs="Times New Roman"/>
          <w:szCs w:val="24"/>
        </w:rPr>
        <w:t>Przewiduje się, że przyjęte w projekcie rozwiązania będą miały pozytywny wpływ na działalność mikro</w:t>
      </w:r>
      <w:r w:rsidR="00BF2286">
        <w:rPr>
          <w:rFonts w:ascii="Times New Roman" w:hAnsi="Times New Roman" w:cs="Times New Roman"/>
          <w:szCs w:val="24"/>
        </w:rPr>
        <w:t>-</w:t>
      </w:r>
      <w:r w:rsidRPr="00332B80">
        <w:rPr>
          <w:rFonts w:ascii="Times New Roman" w:hAnsi="Times New Roman" w:cs="Times New Roman"/>
          <w:szCs w:val="24"/>
        </w:rPr>
        <w:t>, małych i średnich przedsiębiorców, stosownie do przepisu art. 66 ust. 1 pkt</w:t>
      </w:r>
      <w:r w:rsidR="00760AA9">
        <w:rPr>
          <w:rFonts w:ascii="Times New Roman" w:hAnsi="Times New Roman" w:cs="Times New Roman"/>
          <w:szCs w:val="24"/>
        </w:rPr>
        <w:t> </w:t>
      </w:r>
      <w:r w:rsidRPr="00332B80">
        <w:rPr>
          <w:rFonts w:ascii="Times New Roman" w:hAnsi="Times New Roman" w:cs="Times New Roman"/>
          <w:szCs w:val="24"/>
        </w:rPr>
        <w:t>2 ustawy z dnia 6 marca 2018 r. – Prawo przedsiębiorców</w:t>
      </w:r>
      <w:r w:rsidR="00CA5FCE">
        <w:rPr>
          <w:rFonts w:ascii="Times New Roman" w:hAnsi="Times New Roman" w:cs="Times New Roman"/>
          <w:szCs w:val="24"/>
        </w:rPr>
        <w:t xml:space="preserve"> (Dz. U. </w:t>
      </w:r>
      <w:r w:rsidR="00BF2286">
        <w:rPr>
          <w:rFonts w:ascii="Times New Roman" w:hAnsi="Times New Roman" w:cs="Times New Roman"/>
          <w:szCs w:val="24"/>
        </w:rPr>
        <w:t xml:space="preserve">z </w:t>
      </w:r>
      <w:r w:rsidR="00CA5FCE">
        <w:rPr>
          <w:rFonts w:ascii="Times New Roman" w:hAnsi="Times New Roman" w:cs="Times New Roman"/>
          <w:szCs w:val="24"/>
        </w:rPr>
        <w:t>2025 r. poz. 1480, 1795 i</w:t>
      </w:r>
      <w:r w:rsidR="00B2192A">
        <w:rPr>
          <w:rFonts w:ascii="Times New Roman" w:hAnsi="Times New Roman" w:cs="Times New Roman"/>
          <w:szCs w:val="24"/>
        </w:rPr>
        <w:t> </w:t>
      </w:r>
      <w:r w:rsidR="00CA5FCE">
        <w:rPr>
          <w:rFonts w:ascii="Times New Roman" w:hAnsi="Times New Roman" w:cs="Times New Roman"/>
          <w:szCs w:val="24"/>
        </w:rPr>
        <w:t>1826</w:t>
      </w:r>
      <w:r w:rsidR="00B2192A">
        <w:rPr>
          <w:rFonts w:ascii="Times New Roman" w:hAnsi="Times New Roman" w:cs="Times New Roman"/>
          <w:szCs w:val="24"/>
        </w:rPr>
        <w:t xml:space="preserve"> oraz z 2026 r.</w:t>
      </w:r>
      <w:r w:rsidR="00803555">
        <w:rPr>
          <w:rFonts w:ascii="Times New Roman" w:hAnsi="Times New Roman" w:cs="Times New Roman"/>
          <w:szCs w:val="24"/>
        </w:rPr>
        <w:t xml:space="preserve"> poz. </w:t>
      </w:r>
      <w:r w:rsidR="00B2192A">
        <w:rPr>
          <w:rFonts w:ascii="Times New Roman" w:hAnsi="Times New Roman" w:cs="Times New Roman"/>
          <w:szCs w:val="24"/>
        </w:rPr>
        <w:t>507</w:t>
      </w:r>
      <w:r w:rsidR="00CA5FCE">
        <w:rPr>
          <w:rFonts w:ascii="Times New Roman" w:hAnsi="Times New Roman" w:cs="Times New Roman"/>
          <w:szCs w:val="24"/>
        </w:rPr>
        <w:t>)</w:t>
      </w:r>
      <w:r w:rsidRPr="00332B80">
        <w:rPr>
          <w:rFonts w:ascii="Times New Roman" w:hAnsi="Times New Roman" w:cs="Times New Roman"/>
          <w:szCs w:val="24"/>
        </w:rPr>
        <w:t xml:space="preserve"> przez uporządkowanie stanu faktycznego pod kątem prawnym w</w:t>
      </w:r>
      <w:r w:rsidR="00B2192A">
        <w:rPr>
          <w:rFonts w:ascii="Times New Roman" w:hAnsi="Times New Roman" w:cs="Times New Roman"/>
          <w:szCs w:val="24"/>
        </w:rPr>
        <w:t> </w:t>
      </w:r>
      <w:r w:rsidRPr="00332B80">
        <w:rPr>
          <w:rFonts w:ascii="Times New Roman" w:hAnsi="Times New Roman" w:cs="Times New Roman"/>
          <w:szCs w:val="24"/>
        </w:rPr>
        <w:t xml:space="preserve">związku z implementacją decyzji wykonawczych organów Unii Europejskiej oraz zaleceń ECC CEPT w tym względzie. </w:t>
      </w:r>
    </w:p>
    <w:p w14:paraId="6C092478" w14:textId="77777777" w:rsidR="00351856" w:rsidRDefault="00351856" w:rsidP="00351856">
      <w:pPr>
        <w:pStyle w:val="NIEARTTEKSTtekstnieartykuowanynppodstprawnarozplubpreambua"/>
        <w:spacing w:after="120"/>
        <w:ind w:firstLine="708"/>
        <w:rPr>
          <w:rFonts w:ascii="Times New Roman" w:hAnsi="Times New Roman" w:cs="Times New Roman"/>
          <w:szCs w:val="24"/>
        </w:rPr>
      </w:pPr>
      <w:r w:rsidRPr="00351856">
        <w:rPr>
          <w:rFonts w:ascii="Times New Roman" w:hAnsi="Times New Roman" w:cs="Times New Roman"/>
          <w:szCs w:val="24"/>
        </w:rPr>
        <w:t xml:space="preserve">Projekt nie zawiera przepisów przejściowych, gdyż nie zachodzi potrzeba uregulowania wpływu projektowanych rozwiązań na stosunki prawne powstałe pod rządami </w:t>
      </w:r>
      <w:r w:rsidRPr="00351856">
        <w:rPr>
          <w:rFonts w:ascii="Times New Roman" w:hAnsi="Times New Roman" w:cs="Times New Roman"/>
          <w:szCs w:val="24"/>
        </w:rPr>
        <w:lastRenderedPageBreak/>
        <w:t>dotychczasowych przepisów. Projektowane zmiany będą miały zastosowanie wyłącznie od dnia wejścia w życie rozporządzenia.</w:t>
      </w:r>
    </w:p>
    <w:p w14:paraId="7A7BC524" w14:textId="52435AEA" w:rsidR="00351856" w:rsidRPr="00D0341C" w:rsidRDefault="00351856" w:rsidP="00D0341C">
      <w:pPr>
        <w:pStyle w:val="ARTartustawynprozporzdzenia"/>
      </w:pPr>
      <w:r>
        <w:t>Rozporządzenie wejdzie w życie z dniem 10 listopada 2026 r.</w:t>
      </w:r>
    </w:p>
    <w:p w14:paraId="54F6E412" w14:textId="19EDEE79" w:rsidR="003E0810" w:rsidRPr="0030785D" w:rsidRDefault="003E0810" w:rsidP="00D0341C">
      <w:pPr>
        <w:pStyle w:val="NIEARTTEKSTtekstnieartykuowanynppodstprawnarozplubpreambua"/>
        <w:spacing w:before="0" w:after="120"/>
        <w:rPr>
          <w:rFonts w:ascii="Times New Roman" w:hAnsi="Times New Roman" w:cs="Times New Roman"/>
          <w:szCs w:val="24"/>
        </w:rPr>
      </w:pPr>
      <w:r w:rsidRPr="0030785D">
        <w:rPr>
          <w:rFonts w:ascii="Times New Roman" w:hAnsi="Times New Roman" w:cs="Times New Roman"/>
          <w:szCs w:val="24"/>
        </w:rPr>
        <w:t>Projekt rozporządzenia jest zgodny z</w:t>
      </w:r>
      <w:r>
        <w:rPr>
          <w:rFonts w:ascii="Times New Roman" w:hAnsi="Times New Roman" w:cs="Times New Roman"/>
          <w:szCs w:val="24"/>
        </w:rPr>
        <w:t xml:space="preserve"> </w:t>
      </w:r>
      <w:r w:rsidRPr="0030785D">
        <w:rPr>
          <w:rFonts w:ascii="Times New Roman" w:hAnsi="Times New Roman" w:cs="Times New Roman"/>
          <w:szCs w:val="24"/>
        </w:rPr>
        <w:t>prawem Unii Europejskiej.</w:t>
      </w:r>
    </w:p>
    <w:p w14:paraId="1E98718A" w14:textId="77777777" w:rsidR="003E0810" w:rsidRPr="0030785D" w:rsidRDefault="003E0810" w:rsidP="003E0810">
      <w:pPr>
        <w:pStyle w:val="NIEARTTEKSTtekstnieartykuowanynppodstprawnarozplubpreambua"/>
        <w:spacing w:before="0" w:after="120"/>
        <w:ind w:firstLine="708"/>
        <w:rPr>
          <w:rFonts w:ascii="Times New Roman" w:hAnsi="Times New Roman" w:cs="Times New Roman"/>
          <w:szCs w:val="24"/>
        </w:rPr>
      </w:pPr>
      <w:r w:rsidRPr="0030785D">
        <w:rPr>
          <w:rFonts w:ascii="Times New Roman" w:hAnsi="Times New Roman" w:cs="Times New Roman"/>
          <w:szCs w:val="24"/>
        </w:rPr>
        <w:t>Projekt rozporządzenia nie podlega przedstawieniu właściwym organom i</w:t>
      </w:r>
      <w:r>
        <w:rPr>
          <w:rFonts w:ascii="Times New Roman" w:hAnsi="Times New Roman" w:cs="Times New Roman"/>
          <w:szCs w:val="24"/>
        </w:rPr>
        <w:t xml:space="preserve"> </w:t>
      </w:r>
      <w:r w:rsidRPr="0030785D">
        <w:rPr>
          <w:rFonts w:ascii="Times New Roman" w:hAnsi="Times New Roman" w:cs="Times New Roman"/>
          <w:szCs w:val="24"/>
        </w:rPr>
        <w:t>instytucjom Unii Europejskiej, w</w:t>
      </w:r>
      <w:r>
        <w:rPr>
          <w:rFonts w:ascii="Times New Roman" w:hAnsi="Times New Roman" w:cs="Times New Roman"/>
          <w:szCs w:val="24"/>
        </w:rPr>
        <w:t xml:space="preserve"> </w:t>
      </w:r>
      <w:r w:rsidRPr="0030785D">
        <w:rPr>
          <w:rFonts w:ascii="Times New Roman" w:hAnsi="Times New Roman" w:cs="Times New Roman"/>
          <w:szCs w:val="24"/>
        </w:rPr>
        <w:t>tym Europejskiemu Bankowi Centralnemu, w</w:t>
      </w:r>
      <w:r>
        <w:rPr>
          <w:rFonts w:ascii="Times New Roman" w:hAnsi="Times New Roman" w:cs="Times New Roman"/>
          <w:szCs w:val="24"/>
        </w:rPr>
        <w:t xml:space="preserve"> </w:t>
      </w:r>
      <w:r w:rsidRPr="0030785D">
        <w:rPr>
          <w:rFonts w:ascii="Times New Roman" w:hAnsi="Times New Roman" w:cs="Times New Roman"/>
          <w:szCs w:val="24"/>
        </w:rPr>
        <w:t>celu uzyskania opinii, dokonania powiadomienia, konsultacji albo uzgodnienia.</w:t>
      </w:r>
    </w:p>
    <w:p w14:paraId="2A694A89" w14:textId="77777777" w:rsidR="003E0810" w:rsidRPr="00D0341C" w:rsidRDefault="003E0810" w:rsidP="00D0341C">
      <w:pPr>
        <w:pStyle w:val="NIEARTTEKSTtekstnieartykuowanynppodstprawnarozplubpreambua"/>
        <w:rPr>
          <w:rFonts w:ascii="Times New Roman" w:eastAsia="Times New Roman" w:hAnsi="Times New Roman" w:cs="Times New Roman"/>
          <w:szCs w:val="24"/>
        </w:rPr>
      </w:pPr>
      <w:r w:rsidRPr="00D0341C">
        <w:rPr>
          <w:rFonts w:ascii="Times New Roman" w:eastAsia="Times New Roman" w:hAnsi="Times New Roman" w:cs="Times New Roman"/>
          <w:szCs w:val="24"/>
        </w:rPr>
        <w:t>Stosownie do postanowień art. 5 ustawy z dnia 7 lipca 2005 r. o działalności lobbingowej w procesie stanowienia prawa (Dz. U. z 2025 r. poz. 677 oraz z 2026 r. poz. 160), projekt ustawy zostanie udostępniony w Biuletynie Informacji Publicznej. Ponadto zgodnie z § 52 ust. 1 uchwały nr 190 Rady Ministrów z dnia 29 października 2013 r. – Regulamin pracy Rady Ministrów (M.P. z 2026 r. poz. 404), projekt ustawy zostanie udostępniony w Biuletynie Informacji Publicznej na stronie podmiotowej Rządowego Centrum Legislacji, w serwisie Rządowy Proces Legislacyjny.</w:t>
      </w:r>
    </w:p>
    <w:p w14:paraId="4DF081E5" w14:textId="0B2F24B8" w:rsidR="00332B80" w:rsidRPr="00332B80" w:rsidRDefault="007B437B" w:rsidP="00332B80">
      <w:pPr>
        <w:pStyle w:val="NIEARTTEKSTtekstnieartykuowanynppodstprawnarozplubpreambua"/>
        <w:rPr>
          <w:rFonts w:ascii="Times New Roman" w:hAnsi="Times New Roman" w:cs="Times New Roman"/>
          <w:szCs w:val="24"/>
        </w:rPr>
      </w:pPr>
      <w:r w:rsidRPr="007B437B">
        <w:rPr>
          <w:rFonts w:ascii="Times New Roman" w:eastAsia="Times New Roman" w:hAnsi="Times New Roman" w:cs="Times New Roman"/>
          <w:szCs w:val="24"/>
        </w:rPr>
        <w:t>Projektowane rozporządzenie podlega notyfikacji zgodnie z</w:t>
      </w:r>
      <w:r w:rsidR="00D002B6" w:rsidRPr="00442650">
        <w:rPr>
          <w:rFonts w:eastAsia="Times New Roman"/>
        </w:rPr>
        <w:t xml:space="preserve"> </w:t>
      </w:r>
      <w:bookmarkStart w:id="4" w:name="_Hlk216456862"/>
      <w:r w:rsidR="0081670E" w:rsidRPr="007B437B">
        <w:rPr>
          <w:rFonts w:ascii="Times New Roman" w:eastAsia="Times New Roman" w:hAnsi="Times New Roman" w:cs="Times New Roman"/>
          <w:szCs w:val="24"/>
        </w:rPr>
        <w:t>rozporządzeni</w:t>
      </w:r>
      <w:r w:rsidR="0081670E">
        <w:rPr>
          <w:rFonts w:ascii="Times New Roman" w:eastAsia="Times New Roman" w:hAnsi="Times New Roman" w:cs="Times New Roman"/>
          <w:szCs w:val="24"/>
        </w:rPr>
        <w:t>em</w:t>
      </w:r>
      <w:r w:rsidR="0081670E" w:rsidRPr="007B437B">
        <w:rPr>
          <w:rFonts w:ascii="Times New Roman" w:eastAsia="Times New Roman" w:hAnsi="Times New Roman" w:cs="Times New Roman"/>
          <w:szCs w:val="24"/>
        </w:rPr>
        <w:t xml:space="preserve"> </w:t>
      </w:r>
      <w:r w:rsidRPr="007B437B">
        <w:rPr>
          <w:rFonts w:ascii="Times New Roman" w:eastAsia="Times New Roman" w:hAnsi="Times New Roman" w:cs="Times New Roman"/>
          <w:szCs w:val="24"/>
        </w:rPr>
        <w:t xml:space="preserve">Rady Ministrów z dnia 23 grudnia 2002 r. w sprawie sposobu funkcjonowania krajowego systemu notyfikacji norm i aktów prawnych (Dz. U. </w:t>
      </w:r>
      <w:r w:rsidR="00ED0FBF">
        <w:rPr>
          <w:rFonts w:ascii="Times New Roman" w:eastAsia="Times New Roman" w:hAnsi="Times New Roman" w:cs="Times New Roman"/>
          <w:szCs w:val="24"/>
        </w:rPr>
        <w:t>poz. 2039</w:t>
      </w:r>
      <w:r w:rsidRPr="007B437B">
        <w:rPr>
          <w:rFonts w:ascii="Times New Roman" w:eastAsia="Times New Roman" w:hAnsi="Times New Roman" w:cs="Times New Roman"/>
          <w:szCs w:val="24"/>
        </w:rPr>
        <w:t xml:space="preserve"> oraz z 2004 r. poz. 597)</w:t>
      </w:r>
      <w:bookmarkEnd w:id="4"/>
      <w:r w:rsidRPr="007B437B">
        <w:rPr>
          <w:rFonts w:ascii="Times New Roman" w:eastAsia="Times New Roman" w:hAnsi="Times New Roman" w:cs="Times New Roman"/>
          <w:szCs w:val="24"/>
        </w:rPr>
        <w:t>.</w:t>
      </w:r>
    </w:p>
    <w:p w14:paraId="2436EBB1" w14:textId="2AA057EC" w:rsidR="003E0810" w:rsidRPr="0030785D" w:rsidRDefault="003E0810" w:rsidP="003E0810">
      <w:pPr>
        <w:pStyle w:val="NIEARTTEKSTtekstnieartykuowanynppodstprawnarozplubpreambua"/>
        <w:spacing w:before="0" w:after="120"/>
        <w:ind w:firstLine="708"/>
        <w:rPr>
          <w:rFonts w:ascii="Times New Roman" w:hAnsi="Times New Roman" w:cs="Times New Roman"/>
          <w:szCs w:val="24"/>
        </w:rPr>
      </w:pPr>
      <w:bookmarkStart w:id="5" w:name="_Hlk216456677"/>
      <w:r w:rsidRPr="0030785D">
        <w:rPr>
          <w:rFonts w:ascii="Times New Roman" w:hAnsi="Times New Roman" w:cs="Times New Roman"/>
          <w:szCs w:val="24"/>
        </w:rPr>
        <w:t>Projektowan</w:t>
      </w:r>
      <w:r>
        <w:rPr>
          <w:rFonts w:ascii="Times New Roman" w:hAnsi="Times New Roman" w:cs="Times New Roman"/>
          <w:szCs w:val="24"/>
        </w:rPr>
        <w:t>e</w:t>
      </w:r>
      <w:r w:rsidRPr="0030785D">
        <w:rPr>
          <w:rFonts w:ascii="Times New Roman" w:hAnsi="Times New Roman" w:cs="Times New Roman"/>
          <w:szCs w:val="24"/>
        </w:rPr>
        <w:t xml:space="preserve"> </w:t>
      </w:r>
      <w:r>
        <w:rPr>
          <w:rFonts w:ascii="Times New Roman" w:hAnsi="Times New Roman" w:cs="Times New Roman"/>
          <w:szCs w:val="24"/>
        </w:rPr>
        <w:t>rozporządzenie n</w:t>
      </w:r>
      <w:r w:rsidRPr="0030785D">
        <w:rPr>
          <w:rFonts w:ascii="Times New Roman" w:hAnsi="Times New Roman" w:cs="Times New Roman"/>
          <w:szCs w:val="24"/>
        </w:rPr>
        <w:t>ie będzie wymagał</w:t>
      </w:r>
      <w:r>
        <w:rPr>
          <w:rFonts w:ascii="Times New Roman" w:hAnsi="Times New Roman" w:cs="Times New Roman"/>
          <w:szCs w:val="24"/>
        </w:rPr>
        <w:t>o</w:t>
      </w:r>
      <w:r w:rsidRPr="0030785D">
        <w:rPr>
          <w:rFonts w:ascii="Times New Roman" w:hAnsi="Times New Roman" w:cs="Times New Roman"/>
          <w:szCs w:val="24"/>
        </w:rPr>
        <w:t xml:space="preserve"> notyfikacji Komisji Europejskiej w</w:t>
      </w:r>
      <w:r w:rsidR="00B2192A">
        <w:rPr>
          <w:rFonts w:ascii="Times New Roman" w:hAnsi="Times New Roman" w:cs="Times New Roman"/>
          <w:szCs w:val="24"/>
        </w:rPr>
        <w:t> </w:t>
      </w:r>
      <w:r w:rsidRPr="0030785D">
        <w:rPr>
          <w:rFonts w:ascii="Times New Roman" w:hAnsi="Times New Roman" w:cs="Times New Roman"/>
          <w:szCs w:val="24"/>
        </w:rPr>
        <w:t>trybie ustawy z</w:t>
      </w:r>
      <w:r>
        <w:rPr>
          <w:rFonts w:ascii="Times New Roman" w:hAnsi="Times New Roman" w:cs="Times New Roman"/>
          <w:szCs w:val="24"/>
        </w:rPr>
        <w:t xml:space="preserve"> </w:t>
      </w:r>
      <w:r w:rsidRPr="0030785D">
        <w:rPr>
          <w:rFonts w:ascii="Times New Roman" w:hAnsi="Times New Roman" w:cs="Times New Roman"/>
          <w:szCs w:val="24"/>
        </w:rPr>
        <w:t>dnia 30 kwietnia 2004 r. o</w:t>
      </w:r>
      <w:r>
        <w:rPr>
          <w:rFonts w:ascii="Times New Roman" w:hAnsi="Times New Roman" w:cs="Times New Roman"/>
          <w:szCs w:val="24"/>
        </w:rPr>
        <w:t xml:space="preserve"> </w:t>
      </w:r>
      <w:r w:rsidRPr="0030785D">
        <w:rPr>
          <w:rFonts w:ascii="Times New Roman" w:hAnsi="Times New Roman" w:cs="Times New Roman"/>
          <w:szCs w:val="24"/>
        </w:rPr>
        <w:t>postępowaniu w</w:t>
      </w:r>
      <w:r>
        <w:rPr>
          <w:rFonts w:ascii="Times New Roman" w:hAnsi="Times New Roman" w:cs="Times New Roman"/>
          <w:szCs w:val="24"/>
        </w:rPr>
        <w:t xml:space="preserve"> </w:t>
      </w:r>
      <w:r w:rsidRPr="0030785D">
        <w:rPr>
          <w:rFonts w:ascii="Times New Roman" w:hAnsi="Times New Roman" w:cs="Times New Roman"/>
          <w:szCs w:val="24"/>
        </w:rPr>
        <w:t>sprawach dotyczących pomocy publicznej (Dz. U. z</w:t>
      </w:r>
      <w:r>
        <w:rPr>
          <w:rFonts w:ascii="Times New Roman" w:hAnsi="Times New Roman" w:cs="Times New Roman"/>
          <w:szCs w:val="24"/>
        </w:rPr>
        <w:t xml:space="preserve"> </w:t>
      </w:r>
      <w:r w:rsidRPr="0030785D">
        <w:rPr>
          <w:rFonts w:ascii="Times New Roman" w:hAnsi="Times New Roman" w:cs="Times New Roman"/>
          <w:szCs w:val="24"/>
        </w:rPr>
        <w:t>202</w:t>
      </w:r>
      <w:r>
        <w:rPr>
          <w:rFonts w:ascii="Times New Roman" w:hAnsi="Times New Roman" w:cs="Times New Roman"/>
          <w:szCs w:val="24"/>
        </w:rPr>
        <w:t>6</w:t>
      </w:r>
      <w:r w:rsidRPr="0030785D">
        <w:rPr>
          <w:rFonts w:ascii="Times New Roman" w:hAnsi="Times New Roman" w:cs="Times New Roman"/>
          <w:szCs w:val="24"/>
        </w:rPr>
        <w:t xml:space="preserve"> r. poz. </w:t>
      </w:r>
      <w:r>
        <w:rPr>
          <w:rFonts w:ascii="Times New Roman" w:hAnsi="Times New Roman" w:cs="Times New Roman"/>
          <w:szCs w:val="24"/>
        </w:rPr>
        <w:t>500</w:t>
      </w:r>
      <w:r w:rsidRPr="0030785D">
        <w:rPr>
          <w:rFonts w:ascii="Times New Roman" w:hAnsi="Times New Roman" w:cs="Times New Roman"/>
          <w:szCs w:val="24"/>
        </w:rPr>
        <w:t>).</w:t>
      </w:r>
    </w:p>
    <w:p w14:paraId="1EB4155F" w14:textId="64CAC4C1" w:rsidR="003906D6" w:rsidRDefault="00332B80" w:rsidP="007B437B">
      <w:pPr>
        <w:spacing w:before="120" w:line="360" w:lineRule="auto"/>
        <w:ind w:firstLine="510"/>
        <w:rPr>
          <w:rFonts w:ascii="Times New Roman" w:eastAsia="Times New Roman" w:hAnsi="Times New Roman" w:cs="Times New Roman"/>
          <w:szCs w:val="24"/>
        </w:rPr>
      </w:pPr>
      <w:r w:rsidRPr="00332B80">
        <w:rPr>
          <w:rFonts w:ascii="Times New Roman" w:eastAsia="Times New Roman" w:hAnsi="Times New Roman" w:cs="Times New Roman"/>
          <w:szCs w:val="24"/>
        </w:rPr>
        <w:t>Projektowane rozporządzenie jest zgodne z prawem Unii Europejskiej</w:t>
      </w:r>
      <w:r w:rsidR="007B437B" w:rsidRPr="007B437B">
        <w:t xml:space="preserve"> </w:t>
      </w:r>
      <w:r w:rsidR="007B437B">
        <w:rPr>
          <w:rFonts w:ascii="Times New Roman" w:eastAsia="Times New Roman" w:hAnsi="Times New Roman" w:cs="Times New Roman"/>
          <w:szCs w:val="24"/>
        </w:rPr>
        <w:t xml:space="preserve">a także </w:t>
      </w:r>
      <w:r w:rsidR="007B437B" w:rsidRPr="007B437B">
        <w:rPr>
          <w:rFonts w:ascii="Times New Roman" w:eastAsia="Times New Roman" w:hAnsi="Times New Roman" w:cs="Times New Roman"/>
          <w:szCs w:val="24"/>
        </w:rPr>
        <w:t>z</w:t>
      </w:r>
      <w:r w:rsidR="00B2192A">
        <w:rPr>
          <w:rFonts w:ascii="Times New Roman" w:eastAsia="Times New Roman" w:hAnsi="Times New Roman" w:cs="Times New Roman"/>
          <w:szCs w:val="24"/>
        </w:rPr>
        <w:t> </w:t>
      </w:r>
      <w:r w:rsidR="007B437B" w:rsidRPr="007B437B">
        <w:rPr>
          <w:rFonts w:ascii="Times New Roman" w:eastAsia="Times New Roman" w:hAnsi="Times New Roman" w:cs="Times New Roman"/>
          <w:szCs w:val="24"/>
        </w:rPr>
        <w:t xml:space="preserve">przepisami </w:t>
      </w:r>
      <w:r w:rsidR="00E3671B">
        <w:rPr>
          <w:rFonts w:ascii="Times New Roman" w:eastAsia="Times New Roman" w:hAnsi="Times New Roman" w:cs="Times New Roman"/>
          <w:szCs w:val="24"/>
        </w:rPr>
        <w:t xml:space="preserve">i postanowieniami </w:t>
      </w:r>
      <w:r w:rsidR="007B437B" w:rsidRPr="007B437B">
        <w:rPr>
          <w:rFonts w:ascii="Times New Roman" w:eastAsia="Times New Roman" w:hAnsi="Times New Roman" w:cs="Times New Roman"/>
          <w:szCs w:val="24"/>
        </w:rPr>
        <w:t>Europejskiej Konferencji Administracji Pocztowych i</w:t>
      </w:r>
      <w:r w:rsidR="00B2192A">
        <w:rPr>
          <w:rFonts w:ascii="Times New Roman" w:eastAsia="Times New Roman" w:hAnsi="Times New Roman" w:cs="Times New Roman"/>
          <w:szCs w:val="24"/>
        </w:rPr>
        <w:t> </w:t>
      </w:r>
      <w:r w:rsidR="007B437B" w:rsidRPr="007B437B">
        <w:rPr>
          <w:rFonts w:ascii="Times New Roman" w:eastAsia="Times New Roman" w:hAnsi="Times New Roman" w:cs="Times New Roman"/>
          <w:szCs w:val="24"/>
        </w:rPr>
        <w:t>Telekomunikacyjnych (CEPT)</w:t>
      </w:r>
      <w:r w:rsidRPr="00332B80">
        <w:rPr>
          <w:rFonts w:ascii="Times New Roman" w:eastAsia="Times New Roman" w:hAnsi="Times New Roman" w:cs="Times New Roman"/>
          <w:szCs w:val="24"/>
        </w:rPr>
        <w:t>.</w:t>
      </w:r>
      <w:bookmarkEnd w:id="5"/>
    </w:p>
    <w:p w14:paraId="24079282" w14:textId="77777777" w:rsidR="00913C2B" w:rsidRPr="00913C2B" w:rsidRDefault="00913C2B" w:rsidP="00913C2B">
      <w:pPr>
        <w:spacing w:before="120" w:line="360" w:lineRule="auto"/>
        <w:ind w:firstLine="510"/>
        <w:rPr>
          <w:rFonts w:ascii="Times New Roman" w:hAnsi="Times New Roman" w:cs="Times New Roman"/>
          <w:szCs w:val="24"/>
        </w:rPr>
      </w:pPr>
      <w:r w:rsidRPr="00913C2B">
        <w:rPr>
          <w:rFonts w:ascii="Times New Roman" w:hAnsi="Times New Roman" w:cs="Times New Roman"/>
          <w:szCs w:val="24"/>
        </w:rPr>
        <w:t>Jednocześnie należy wskazać, że nie ma możliwości podjęcia alternatywnych w stosunku do projektowanego rozporządzenia środków umożliwiających osiągnięcie zamierzonego celu.</w:t>
      </w:r>
    </w:p>
    <w:p w14:paraId="06CF8CBE" w14:textId="77777777" w:rsidR="00913C2B" w:rsidRPr="00332B80" w:rsidRDefault="00913C2B" w:rsidP="007B437B">
      <w:pPr>
        <w:spacing w:before="120" w:line="360" w:lineRule="auto"/>
        <w:ind w:firstLine="510"/>
        <w:rPr>
          <w:rFonts w:ascii="Times New Roman" w:hAnsi="Times New Roman" w:cs="Times New Roman"/>
          <w:szCs w:val="24"/>
        </w:rPr>
      </w:pPr>
    </w:p>
    <w:sectPr w:rsidR="00913C2B" w:rsidRPr="00332B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C859" w14:textId="77777777" w:rsidR="00A167E4" w:rsidRDefault="00A167E4" w:rsidP="004B1AA3">
      <w:pPr>
        <w:spacing w:line="240" w:lineRule="auto"/>
      </w:pPr>
      <w:r>
        <w:separator/>
      </w:r>
    </w:p>
  </w:endnote>
  <w:endnote w:type="continuationSeparator" w:id="0">
    <w:p w14:paraId="0AF78EAA" w14:textId="77777777" w:rsidR="00A167E4" w:rsidRDefault="00A167E4" w:rsidP="004B1A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BEC4" w14:textId="77777777" w:rsidR="00A167E4" w:rsidRDefault="00A167E4" w:rsidP="004B1AA3">
      <w:pPr>
        <w:spacing w:line="240" w:lineRule="auto"/>
      </w:pPr>
      <w:r>
        <w:separator/>
      </w:r>
    </w:p>
  </w:footnote>
  <w:footnote w:type="continuationSeparator" w:id="0">
    <w:p w14:paraId="1E387498" w14:textId="77777777" w:rsidR="00A167E4" w:rsidRDefault="00A167E4" w:rsidP="004B1A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B1E3C"/>
    <w:multiLevelType w:val="hybridMultilevel"/>
    <w:tmpl w:val="3140BC02"/>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 w15:restartNumberingAfterBreak="0">
    <w:nsid w:val="28266F64"/>
    <w:multiLevelType w:val="hybridMultilevel"/>
    <w:tmpl w:val="40B61262"/>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 w15:restartNumberingAfterBreak="0">
    <w:nsid w:val="37905596"/>
    <w:multiLevelType w:val="hybridMultilevel"/>
    <w:tmpl w:val="58D42EE4"/>
    <w:lvl w:ilvl="0" w:tplc="04150011">
      <w:start w:val="1"/>
      <w:numFmt w:val="decimal"/>
      <w:lvlText w:val="%1)"/>
      <w:lvlJc w:val="left"/>
      <w:pPr>
        <w:ind w:left="3930" w:hanging="360"/>
      </w:pPr>
    </w:lvl>
    <w:lvl w:ilvl="1" w:tplc="04150019" w:tentative="1">
      <w:start w:val="1"/>
      <w:numFmt w:val="lowerLetter"/>
      <w:lvlText w:val="%2."/>
      <w:lvlJc w:val="left"/>
      <w:pPr>
        <w:ind w:left="4650" w:hanging="360"/>
      </w:pPr>
    </w:lvl>
    <w:lvl w:ilvl="2" w:tplc="0415001B" w:tentative="1">
      <w:start w:val="1"/>
      <w:numFmt w:val="lowerRoman"/>
      <w:lvlText w:val="%3."/>
      <w:lvlJc w:val="right"/>
      <w:pPr>
        <w:ind w:left="5370" w:hanging="180"/>
      </w:pPr>
    </w:lvl>
    <w:lvl w:ilvl="3" w:tplc="0415000F" w:tentative="1">
      <w:start w:val="1"/>
      <w:numFmt w:val="decimal"/>
      <w:lvlText w:val="%4."/>
      <w:lvlJc w:val="left"/>
      <w:pPr>
        <w:ind w:left="6090" w:hanging="360"/>
      </w:pPr>
    </w:lvl>
    <w:lvl w:ilvl="4" w:tplc="04150019" w:tentative="1">
      <w:start w:val="1"/>
      <w:numFmt w:val="lowerLetter"/>
      <w:lvlText w:val="%5."/>
      <w:lvlJc w:val="left"/>
      <w:pPr>
        <w:ind w:left="6810" w:hanging="360"/>
      </w:pPr>
    </w:lvl>
    <w:lvl w:ilvl="5" w:tplc="0415001B" w:tentative="1">
      <w:start w:val="1"/>
      <w:numFmt w:val="lowerRoman"/>
      <w:lvlText w:val="%6."/>
      <w:lvlJc w:val="right"/>
      <w:pPr>
        <w:ind w:left="7530" w:hanging="180"/>
      </w:pPr>
    </w:lvl>
    <w:lvl w:ilvl="6" w:tplc="0415000F" w:tentative="1">
      <w:start w:val="1"/>
      <w:numFmt w:val="decimal"/>
      <w:lvlText w:val="%7."/>
      <w:lvlJc w:val="left"/>
      <w:pPr>
        <w:ind w:left="8250" w:hanging="360"/>
      </w:pPr>
    </w:lvl>
    <w:lvl w:ilvl="7" w:tplc="04150019" w:tentative="1">
      <w:start w:val="1"/>
      <w:numFmt w:val="lowerLetter"/>
      <w:lvlText w:val="%8."/>
      <w:lvlJc w:val="left"/>
      <w:pPr>
        <w:ind w:left="8970" w:hanging="360"/>
      </w:pPr>
    </w:lvl>
    <w:lvl w:ilvl="8" w:tplc="0415001B" w:tentative="1">
      <w:start w:val="1"/>
      <w:numFmt w:val="lowerRoman"/>
      <w:lvlText w:val="%9."/>
      <w:lvlJc w:val="right"/>
      <w:pPr>
        <w:ind w:left="9690" w:hanging="180"/>
      </w:pPr>
    </w:lvl>
  </w:abstractNum>
  <w:abstractNum w:abstractNumId="3" w15:restartNumberingAfterBreak="0">
    <w:nsid w:val="3C1F37DF"/>
    <w:multiLevelType w:val="hybridMultilevel"/>
    <w:tmpl w:val="41DCE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F1393C"/>
    <w:multiLevelType w:val="hybridMultilevel"/>
    <w:tmpl w:val="FB1AA966"/>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5" w15:restartNumberingAfterBreak="0">
    <w:nsid w:val="6A2A1BDB"/>
    <w:multiLevelType w:val="hybridMultilevel"/>
    <w:tmpl w:val="19D428B2"/>
    <w:lvl w:ilvl="0" w:tplc="05E0A2FC">
      <w:start w:val="1"/>
      <w:numFmt w:val="decimal"/>
      <w:lvlText w:val="%1)"/>
      <w:lvlJc w:val="left"/>
      <w:pPr>
        <w:ind w:left="1070" w:hanging="710"/>
      </w:pPr>
      <w:rPr>
        <w:rFonts w:eastAsiaTheme="minorEastAsi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FE31D3"/>
    <w:multiLevelType w:val="hybridMultilevel"/>
    <w:tmpl w:val="8A86AF40"/>
    <w:lvl w:ilvl="0" w:tplc="4B1261A0">
      <w:start w:val="1"/>
      <w:numFmt w:val="decimal"/>
      <w:lvlText w:val="%1)"/>
      <w:lvlJc w:val="left"/>
      <w:pPr>
        <w:ind w:left="870" w:hanging="360"/>
      </w:pPr>
      <w:rPr>
        <w:rFonts w:eastAsia="Times New Roman"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7" w15:restartNumberingAfterBreak="0">
    <w:nsid w:val="78AB00ED"/>
    <w:multiLevelType w:val="hybridMultilevel"/>
    <w:tmpl w:val="8460C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00389824">
    <w:abstractNumId w:val="2"/>
  </w:num>
  <w:num w:numId="2" w16cid:durableId="2053727191">
    <w:abstractNumId w:val="7"/>
  </w:num>
  <w:num w:numId="3" w16cid:durableId="1362974616">
    <w:abstractNumId w:val="5"/>
  </w:num>
  <w:num w:numId="4" w16cid:durableId="1907109247">
    <w:abstractNumId w:val="0"/>
  </w:num>
  <w:num w:numId="5" w16cid:durableId="246889296">
    <w:abstractNumId w:val="6"/>
  </w:num>
  <w:num w:numId="6" w16cid:durableId="1746873065">
    <w:abstractNumId w:val="4"/>
  </w:num>
  <w:num w:numId="7" w16cid:durableId="260720211">
    <w:abstractNumId w:val="1"/>
  </w:num>
  <w:num w:numId="8" w16cid:durableId="1952544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80"/>
    <w:rsid w:val="000656DC"/>
    <w:rsid w:val="00087831"/>
    <w:rsid w:val="00096B04"/>
    <w:rsid w:val="000A0B35"/>
    <w:rsid w:val="000B3119"/>
    <w:rsid w:val="00106316"/>
    <w:rsid w:val="00110127"/>
    <w:rsid w:val="00130399"/>
    <w:rsid w:val="001429EA"/>
    <w:rsid w:val="00165807"/>
    <w:rsid w:val="001918F8"/>
    <w:rsid w:val="001D48F4"/>
    <w:rsid w:val="00203E65"/>
    <w:rsid w:val="00224321"/>
    <w:rsid w:val="00267797"/>
    <w:rsid w:val="0028722C"/>
    <w:rsid w:val="00290F85"/>
    <w:rsid w:val="002A1D69"/>
    <w:rsid w:val="002B78F7"/>
    <w:rsid w:val="002D5AD4"/>
    <w:rsid w:val="002D7EF2"/>
    <w:rsid w:val="002F0A72"/>
    <w:rsid w:val="00300B61"/>
    <w:rsid w:val="00332B80"/>
    <w:rsid w:val="0033789C"/>
    <w:rsid w:val="00350452"/>
    <w:rsid w:val="00351856"/>
    <w:rsid w:val="00362B11"/>
    <w:rsid w:val="003906D6"/>
    <w:rsid w:val="003910C4"/>
    <w:rsid w:val="003950E9"/>
    <w:rsid w:val="003A7B49"/>
    <w:rsid w:val="003C1577"/>
    <w:rsid w:val="003E06CA"/>
    <w:rsid w:val="003E0810"/>
    <w:rsid w:val="003E3F5D"/>
    <w:rsid w:val="004120D0"/>
    <w:rsid w:val="00425D89"/>
    <w:rsid w:val="0044303C"/>
    <w:rsid w:val="0044526D"/>
    <w:rsid w:val="00494A0C"/>
    <w:rsid w:val="004B1AA3"/>
    <w:rsid w:val="004B2B91"/>
    <w:rsid w:val="004C6D4B"/>
    <w:rsid w:val="004D28D3"/>
    <w:rsid w:val="004F55A6"/>
    <w:rsid w:val="00506771"/>
    <w:rsid w:val="005F1251"/>
    <w:rsid w:val="005F6015"/>
    <w:rsid w:val="0061160A"/>
    <w:rsid w:val="00627D31"/>
    <w:rsid w:val="0063429C"/>
    <w:rsid w:val="006369C2"/>
    <w:rsid w:val="00643067"/>
    <w:rsid w:val="00691065"/>
    <w:rsid w:val="006A107E"/>
    <w:rsid w:val="00703054"/>
    <w:rsid w:val="00760AA9"/>
    <w:rsid w:val="00760D7F"/>
    <w:rsid w:val="00766CBF"/>
    <w:rsid w:val="0079678F"/>
    <w:rsid w:val="007A0658"/>
    <w:rsid w:val="007A6404"/>
    <w:rsid w:val="007B437B"/>
    <w:rsid w:val="007E7F75"/>
    <w:rsid w:val="00803555"/>
    <w:rsid w:val="0081670E"/>
    <w:rsid w:val="0081732B"/>
    <w:rsid w:val="00821850"/>
    <w:rsid w:val="00835CBF"/>
    <w:rsid w:val="00840FB2"/>
    <w:rsid w:val="008410F0"/>
    <w:rsid w:val="00872C11"/>
    <w:rsid w:val="00881D99"/>
    <w:rsid w:val="008C64F7"/>
    <w:rsid w:val="008D3446"/>
    <w:rsid w:val="008F42A1"/>
    <w:rsid w:val="00904E2B"/>
    <w:rsid w:val="00906960"/>
    <w:rsid w:val="00913C2B"/>
    <w:rsid w:val="00934E12"/>
    <w:rsid w:val="00950C6B"/>
    <w:rsid w:val="00981B37"/>
    <w:rsid w:val="00997F98"/>
    <w:rsid w:val="009A5973"/>
    <w:rsid w:val="009D7563"/>
    <w:rsid w:val="009F04E8"/>
    <w:rsid w:val="009F378C"/>
    <w:rsid w:val="00A059B7"/>
    <w:rsid w:val="00A167E4"/>
    <w:rsid w:val="00A24DA2"/>
    <w:rsid w:val="00A44C90"/>
    <w:rsid w:val="00A47C0A"/>
    <w:rsid w:val="00AB6063"/>
    <w:rsid w:val="00AE2A9F"/>
    <w:rsid w:val="00B05241"/>
    <w:rsid w:val="00B2192A"/>
    <w:rsid w:val="00B7770A"/>
    <w:rsid w:val="00BA3BB8"/>
    <w:rsid w:val="00BB0E4F"/>
    <w:rsid w:val="00BB6C96"/>
    <w:rsid w:val="00BC4C19"/>
    <w:rsid w:val="00BF2286"/>
    <w:rsid w:val="00C10ED7"/>
    <w:rsid w:val="00C2003D"/>
    <w:rsid w:val="00C35182"/>
    <w:rsid w:val="00C9491A"/>
    <w:rsid w:val="00C96FEC"/>
    <w:rsid w:val="00C977ED"/>
    <w:rsid w:val="00CA5FCE"/>
    <w:rsid w:val="00CD4851"/>
    <w:rsid w:val="00D002B6"/>
    <w:rsid w:val="00D0341C"/>
    <w:rsid w:val="00D0356E"/>
    <w:rsid w:val="00D21732"/>
    <w:rsid w:val="00D2467B"/>
    <w:rsid w:val="00D56416"/>
    <w:rsid w:val="00D64135"/>
    <w:rsid w:val="00DB7944"/>
    <w:rsid w:val="00DC3769"/>
    <w:rsid w:val="00DF4A90"/>
    <w:rsid w:val="00E3671B"/>
    <w:rsid w:val="00E831D2"/>
    <w:rsid w:val="00EC1A4A"/>
    <w:rsid w:val="00ED0FBF"/>
    <w:rsid w:val="00F063EB"/>
    <w:rsid w:val="00F10205"/>
    <w:rsid w:val="00F22F53"/>
    <w:rsid w:val="00F56638"/>
    <w:rsid w:val="00F56EFA"/>
    <w:rsid w:val="00FB071F"/>
    <w:rsid w:val="00FC506F"/>
    <w:rsid w:val="00FF28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2B4C9"/>
  <w15:chartTrackingRefBased/>
  <w15:docId w15:val="{EBB5279B-6C7D-41C1-9EFE-058CA560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20"/>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2B80"/>
    <w:pPr>
      <w:widowControl w:val="0"/>
      <w:autoSpaceDE w:val="0"/>
      <w:autoSpaceDN w:val="0"/>
      <w:adjustRightInd w:val="0"/>
      <w:spacing w:after="0" w:line="40" w:lineRule="atLeast"/>
      <w:ind w:firstLine="0"/>
      <w:jc w:val="both"/>
    </w:pPr>
    <w:rPr>
      <w:rFonts w:ascii="Calibri" w:eastAsiaTheme="minorEastAsia" w:hAnsi="Calibri" w:cs="Helvetica"/>
      <w:color w:val="000000"/>
      <w:sz w:val="24"/>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332B8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32B80"/>
    <w:rPr>
      <w:bCs/>
    </w:rPr>
  </w:style>
  <w:style w:type="paragraph" w:styleId="Tytu">
    <w:name w:val="Title"/>
    <w:basedOn w:val="Normalny"/>
    <w:next w:val="Normalny"/>
    <w:link w:val="TytuZnak"/>
    <w:uiPriority w:val="10"/>
    <w:qFormat/>
    <w:rsid w:val="00130399"/>
    <w:pPr>
      <w:spacing w:before="120" w:line="240" w:lineRule="auto"/>
      <w:jc w:val="center"/>
    </w:pPr>
    <w:rPr>
      <w:rFonts w:ascii="Times New Roman" w:hAnsi="Times New Roman" w:cs="Times New Roman"/>
      <w:b/>
      <w:szCs w:val="24"/>
    </w:rPr>
  </w:style>
  <w:style w:type="character" w:customStyle="1" w:styleId="TytuZnak">
    <w:name w:val="Tytuł Znak"/>
    <w:basedOn w:val="Domylnaczcionkaakapitu"/>
    <w:link w:val="Tytu"/>
    <w:uiPriority w:val="10"/>
    <w:rsid w:val="00130399"/>
    <w:rPr>
      <w:rFonts w:ascii="Times New Roman" w:eastAsiaTheme="minorEastAsia" w:hAnsi="Times New Roman" w:cs="Times New Roman"/>
      <w:b/>
      <w:color w:val="000000"/>
      <w:sz w:val="24"/>
      <w:szCs w:val="24"/>
      <w:lang w:eastAsia="pl-PL"/>
    </w:rPr>
  </w:style>
  <w:style w:type="paragraph" w:styleId="Nagwek">
    <w:name w:val="header"/>
    <w:basedOn w:val="Normalny"/>
    <w:link w:val="NagwekZnak"/>
    <w:uiPriority w:val="99"/>
    <w:unhideWhenUsed/>
    <w:rsid w:val="004B1AA3"/>
    <w:pPr>
      <w:tabs>
        <w:tab w:val="center" w:pos="4536"/>
        <w:tab w:val="right" w:pos="9072"/>
      </w:tabs>
      <w:spacing w:line="240" w:lineRule="auto"/>
    </w:pPr>
  </w:style>
  <w:style w:type="character" w:customStyle="1" w:styleId="NagwekZnak">
    <w:name w:val="Nagłówek Znak"/>
    <w:basedOn w:val="Domylnaczcionkaakapitu"/>
    <w:link w:val="Nagwek"/>
    <w:uiPriority w:val="99"/>
    <w:rsid w:val="004B1AA3"/>
    <w:rPr>
      <w:rFonts w:ascii="Calibri" w:eastAsiaTheme="minorEastAsia" w:hAnsi="Calibri" w:cs="Helvetica"/>
      <w:color w:val="000000"/>
      <w:sz w:val="24"/>
      <w:szCs w:val="18"/>
      <w:lang w:eastAsia="pl-PL"/>
    </w:rPr>
  </w:style>
  <w:style w:type="paragraph" w:styleId="Stopka">
    <w:name w:val="footer"/>
    <w:basedOn w:val="Normalny"/>
    <w:link w:val="StopkaZnak"/>
    <w:uiPriority w:val="99"/>
    <w:unhideWhenUsed/>
    <w:rsid w:val="004B1AA3"/>
    <w:pPr>
      <w:tabs>
        <w:tab w:val="center" w:pos="4536"/>
        <w:tab w:val="right" w:pos="9072"/>
      </w:tabs>
      <w:spacing w:line="240" w:lineRule="auto"/>
    </w:pPr>
  </w:style>
  <w:style w:type="character" w:customStyle="1" w:styleId="StopkaZnak">
    <w:name w:val="Stopka Znak"/>
    <w:basedOn w:val="Domylnaczcionkaakapitu"/>
    <w:link w:val="Stopka"/>
    <w:uiPriority w:val="99"/>
    <w:rsid w:val="004B1AA3"/>
    <w:rPr>
      <w:rFonts w:ascii="Calibri" w:eastAsiaTheme="minorEastAsia" w:hAnsi="Calibri" w:cs="Helvetica"/>
      <w:color w:val="000000"/>
      <w:sz w:val="24"/>
      <w:szCs w:val="18"/>
      <w:lang w:eastAsia="pl-PL"/>
    </w:rPr>
  </w:style>
  <w:style w:type="paragraph" w:styleId="Poprawka">
    <w:name w:val="Revision"/>
    <w:hidden/>
    <w:uiPriority w:val="99"/>
    <w:semiHidden/>
    <w:rsid w:val="0028722C"/>
    <w:pPr>
      <w:spacing w:after="0"/>
      <w:ind w:firstLine="0"/>
    </w:pPr>
    <w:rPr>
      <w:rFonts w:ascii="Calibri" w:eastAsiaTheme="minorEastAsia" w:hAnsi="Calibri" w:cs="Helvetica"/>
      <w:color w:val="000000"/>
      <w:sz w:val="24"/>
      <w:szCs w:val="18"/>
      <w:lang w:eastAsia="pl-PL"/>
    </w:rPr>
  </w:style>
  <w:style w:type="character" w:styleId="Odwoaniedokomentarza">
    <w:name w:val="annotation reference"/>
    <w:basedOn w:val="Domylnaczcionkaakapitu"/>
    <w:uiPriority w:val="99"/>
    <w:semiHidden/>
    <w:unhideWhenUsed/>
    <w:rsid w:val="00BF2286"/>
    <w:rPr>
      <w:sz w:val="16"/>
      <w:szCs w:val="16"/>
    </w:rPr>
  </w:style>
  <w:style w:type="paragraph" w:styleId="Tekstkomentarza">
    <w:name w:val="annotation text"/>
    <w:basedOn w:val="Normalny"/>
    <w:link w:val="TekstkomentarzaZnak"/>
    <w:uiPriority w:val="99"/>
    <w:unhideWhenUsed/>
    <w:rsid w:val="00BF2286"/>
    <w:pPr>
      <w:spacing w:line="240" w:lineRule="auto"/>
    </w:pPr>
    <w:rPr>
      <w:sz w:val="20"/>
      <w:szCs w:val="20"/>
    </w:rPr>
  </w:style>
  <w:style w:type="character" w:customStyle="1" w:styleId="TekstkomentarzaZnak">
    <w:name w:val="Tekst komentarza Znak"/>
    <w:basedOn w:val="Domylnaczcionkaakapitu"/>
    <w:link w:val="Tekstkomentarza"/>
    <w:uiPriority w:val="99"/>
    <w:rsid w:val="00BF2286"/>
    <w:rPr>
      <w:rFonts w:ascii="Calibri" w:eastAsiaTheme="minorEastAsia" w:hAnsi="Calibri" w:cs="Helvetica"/>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BF2286"/>
    <w:rPr>
      <w:b/>
      <w:bCs/>
    </w:rPr>
  </w:style>
  <w:style w:type="character" w:customStyle="1" w:styleId="TematkomentarzaZnak">
    <w:name w:val="Temat komentarza Znak"/>
    <w:basedOn w:val="TekstkomentarzaZnak"/>
    <w:link w:val="Tematkomentarza"/>
    <w:uiPriority w:val="99"/>
    <w:semiHidden/>
    <w:rsid w:val="00BF2286"/>
    <w:rPr>
      <w:rFonts w:ascii="Calibri" w:eastAsiaTheme="minorEastAsia" w:hAnsi="Calibri" w:cs="Helvetica"/>
      <w:b/>
      <w:bCs/>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3467</Words>
  <Characters>20805</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Grzybkowski</dc:creator>
  <cp:keywords/>
  <dc:description/>
  <cp:lastModifiedBy>DP WL</cp:lastModifiedBy>
  <cp:revision>2</cp:revision>
  <dcterms:created xsi:type="dcterms:W3CDTF">2026-07-13T06:24:00Z</dcterms:created>
  <dcterms:modified xsi:type="dcterms:W3CDTF">2026-07-13T06:24:00Z</dcterms:modified>
</cp:coreProperties>
</file>