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8C29" w14:textId="20200A0A" w:rsidR="001406ED" w:rsidRPr="00625999" w:rsidRDefault="009558DF" w:rsidP="00612A7B">
      <w:pPr>
        <w:spacing w:line="360" w:lineRule="auto"/>
        <w:jc w:val="center"/>
        <w:rPr>
          <w:color w:val="000000" w:themeColor="text1"/>
        </w:rPr>
      </w:pPr>
      <w:r w:rsidRPr="00625999">
        <w:rPr>
          <w:color w:val="000000" w:themeColor="text1"/>
        </w:rPr>
        <w:t xml:space="preserve">Opinia </w:t>
      </w:r>
      <w:r w:rsidR="002813F4">
        <w:rPr>
          <w:color w:val="000000" w:themeColor="text1"/>
        </w:rPr>
        <w:t xml:space="preserve">Komisji Kodyfikacyjnej Prawa Karnego </w:t>
      </w:r>
      <w:bookmarkStart w:id="0" w:name="_Hlk194566642"/>
      <w:r w:rsidRPr="00625999">
        <w:rPr>
          <w:color w:val="000000" w:themeColor="text1"/>
        </w:rPr>
        <w:t>o przepisach penalizujących zachowania polegających na niewykonywaniu orzeczeń sądu opiekuńczego w przedmiocie obowiązku wydania dziecka oraz w przedmiocie kontaktów z dzieckiem.</w:t>
      </w:r>
      <w:bookmarkEnd w:id="0"/>
    </w:p>
    <w:p w14:paraId="1F3FB0A0" w14:textId="77777777" w:rsidR="00704BE1" w:rsidRPr="00625999" w:rsidRDefault="00704BE1" w:rsidP="00612A7B">
      <w:pPr>
        <w:spacing w:line="360" w:lineRule="auto"/>
        <w:rPr>
          <w:color w:val="000000" w:themeColor="text1"/>
        </w:rPr>
      </w:pPr>
    </w:p>
    <w:p w14:paraId="6967B8A6" w14:textId="77777777" w:rsidR="00FD4A18" w:rsidRPr="00625999" w:rsidRDefault="00FD4A18" w:rsidP="00612A7B">
      <w:pPr>
        <w:spacing w:line="360" w:lineRule="auto"/>
        <w:rPr>
          <w:color w:val="000000" w:themeColor="text1"/>
        </w:rPr>
      </w:pPr>
    </w:p>
    <w:p w14:paraId="4B239FEE" w14:textId="77777777" w:rsidR="00704BE1" w:rsidRPr="00625999" w:rsidRDefault="00F65862" w:rsidP="00612A7B">
      <w:pPr>
        <w:pStyle w:val="p1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5999">
        <w:rPr>
          <w:rFonts w:ascii="Times New Roman" w:hAnsi="Times New Roman"/>
          <w:color w:val="000000" w:themeColor="text1"/>
          <w:sz w:val="24"/>
          <w:szCs w:val="24"/>
        </w:rPr>
        <w:t>Departament Spraw Rodzinnych i Nieletnich pismem DSRiN-VII.415.8.2024 z dnia 5 marca 2025 r. zwrócił się do Przewodniczącego Komisji Kodyfikacyjnej Prawa Karnego o przedstawienie przez Komisję Kodyfikacyjną Prawa Karnego opinii o zawartych projekcie ustawy o zmianie ustawy – Kodeks postępowania cywilnego przepisach</w:t>
      </w:r>
      <w:r w:rsidRPr="00625999">
        <w:rPr>
          <w:rStyle w:val="apple-converted-space"/>
          <w:rFonts w:ascii="Times New Roman" w:eastAsiaTheme="majorEastAsia" w:hAnsi="Times New Roman"/>
          <w:color w:val="000000" w:themeColor="text1"/>
          <w:sz w:val="24"/>
          <w:szCs w:val="24"/>
        </w:rPr>
        <w:t> </w:t>
      </w:r>
      <w:proofErr w:type="spellStart"/>
      <w:r w:rsidRPr="00625999">
        <w:rPr>
          <w:rStyle w:val="apple-converted-space"/>
          <w:rFonts w:ascii="Times New Roman" w:eastAsiaTheme="majorEastAsia" w:hAnsi="Times New Roman"/>
          <w:color w:val="000000" w:themeColor="text1"/>
          <w:sz w:val="24"/>
          <w:szCs w:val="24"/>
        </w:rPr>
        <w:t>penalizacyjnych</w:t>
      </w:r>
      <w:proofErr w:type="spellEnd"/>
      <w:r w:rsidRPr="00625999">
        <w:rPr>
          <w:rStyle w:val="apple-converted-space"/>
          <w:rFonts w:ascii="Times New Roman" w:eastAsiaTheme="majorEastAsia" w:hAnsi="Times New Roman"/>
          <w:color w:val="000000" w:themeColor="text1"/>
          <w:sz w:val="24"/>
          <w:szCs w:val="24"/>
        </w:rPr>
        <w:t>. Z treści pisma wynika, że chodzi</w:t>
      </w:r>
      <w:r w:rsidR="00704BE1" w:rsidRPr="00625999">
        <w:rPr>
          <w:rFonts w:ascii="Times New Roman" w:hAnsi="Times New Roman"/>
          <w:color w:val="000000" w:themeColor="text1"/>
          <w:sz w:val="24"/>
          <w:szCs w:val="24"/>
        </w:rPr>
        <w:t xml:space="preserve"> o odniesienie się do trzech możliwych wariantów penalizacji: </w:t>
      </w:r>
    </w:p>
    <w:p w14:paraId="30BB4F52" w14:textId="77777777" w:rsidR="00704BE1" w:rsidRPr="00625999" w:rsidRDefault="00704BE1" w:rsidP="00612A7B">
      <w:pPr>
        <w:spacing w:line="360" w:lineRule="auto"/>
        <w:rPr>
          <w:color w:val="000000" w:themeColor="text1"/>
        </w:rPr>
      </w:pPr>
      <w:r w:rsidRPr="00625999">
        <w:rPr>
          <w:color w:val="000000" w:themeColor="text1"/>
        </w:rPr>
        <w:t>1. jako wykroczenie (</w:t>
      </w:r>
      <w:r w:rsidR="00AC2D8E">
        <w:rPr>
          <w:color w:val="000000" w:themeColor="text1"/>
        </w:rPr>
        <w:t xml:space="preserve">i tylko </w:t>
      </w:r>
      <w:r w:rsidRPr="00625999">
        <w:rPr>
          <w:color w:val="000000" w:themeColor="text1"/>
        </w:rPr>
        <w:t>ta propozycja zawarta jest obecnie w roboczym projekcie ustawy)</w:t>
      </w:r>
      <w:r w:rsidR="00A861EC" w:rsidRPr="00625999">
        <w:rPr>
          <w:rStyle w:val="Odwoanieprzypisudolnego"/>
          <w:color w:val="000000" w:themeColor="text1"/>
        </w:rPr>
        <w:footnoteReference w:id="1"/>
      </w:r>
      <w:r w:rsidRPr="00625999">
        <w:rPr>
          <w:color w:val="000000" w:themeColor="text1"/>
        </w:rPr>
        <w:t xml:space="preserve">, </w:t>
      </w:r>
    </w:p>
    <w:p w14:paraId="1CDEB8CF" w14:textId="77777777" w:rsidR="00704BE1" w:rsidRPr="00625999" w:rsidRDefault="00704BE1" w:rsidP="00612A7B">
      <w:pPr>
        <w:spacing w:line="360" w:lineRule="auto"/>
        <w:rPr>
          <w:color w:val="000000" w:themeColor="text1"/>
        </w:rPr>
      </w:pPr>
      <w:r w:rsidRPr="00625999">
        <w:rPr>
          <w:color w:val="000000" w:themeColor="text1"/>
        </w:rPr>
        <w:t xml:space="preserve">2. jako zmiana art. 211 k.k. (tak, aby penalizacją objęte było uprowadzenie rodzicielskie także w sytuacji, gdy jednemu rodzicowi przysługuje władza rodzicielska, ale piecza nad dzieckiem została powierzona drugiemu rodzicowi), </w:t>
      </w:r>
    </w:p>
    <w:p w14:paraId="2764A3A2" w14:textId="77777777" w:rsidR="00625999" w:rsidRPr="00625999" w:rsidRDefault="00704BE1" w:rsidP="00612A7B">
      <w:pPr>
        <w:spacing w:line="360" w:lineRule="auto"/>
        <w:rPr>
          <w:color w:val="000000" w:themeColor="text1"/>
        </w:rPr>
      </w:pPr>
      <w:r w:rsidRPr="00625999">
        <w:rPr>
          <w:color w:val="000000" w:themeColor="text1"/>
        </w:rPr>
        <w:t>3. jako penalizacji niewykonywania orzeczeń sądu opiekuńczego (analogicznie, jak w art. 244 k.k.)</w:t>
      </w:r>
      <w:r w:rsidR="0037246B" w:rsidRPr="00625999">
        <w:rPr>
          <w:rStyle w:val="Odwoanieprzypisudolnego"/>
          <w:color w:val="000000" w:themeColor="text1"/>
        </w:rPr>
        <w:footnoteReference w:id="2"/>
      </w:r>
      <w:r w:rsidRPr="00625999">
        <w:rPr>
          <w:color w:val="000000" w:themeColor="text1"/>
        </w:rPr>
        <w:t xml:space="preserve"> oraz </w:t>
      </w:r>
    </w:p>
    <w:p w14:paraId="5AE64DCC" w14:textId="77777777" w:rsidR="00704BE1" w:rsidRPr="00625999" w:rsidRDefault="00704BE1" w:rsidP="00612A7B">
      <w:pPr>
        <w:spacing w:line="360" w:lineRule="auto"/>
        <w:rPr>
          <w:color w:val="000000" w:themeColor="text1"/>
        </w:rPr>
      </w:pPr>
      <w:r w:rsidRPr="00625999">
        <w:rPr>
          <w:color w:val="000000" w:themeColor="text1"/>
        </w:rPr>
        <w:t>4. ewentualnie przedstawienie innej propozycji przez Komisję Kodyfikacyjną Prawa Karnego.</w:t>
      </w:r>
    </w:p>
    <w:p w14:paraId="5043840B" w14:textId="77777777" w:rsidR="002775C2" w:rsidRPr="00625999" w:rsidRDefault="002775C2" w:rsidP="00612A7B">
      <w:pPr>
        <w:spacing w:line="360" w:lineRule="auto"/>
        <w:rPr>
          <w:color w:val="000000" w:themeColor="text1"/>
        </w:rPr>
      </w:pPr>
    </w:p>
    <w:p w14:paraId="492D7A47" w14:textId="77777777" w:rsidR="00625999" w:rsidRPr="00625999" w:rsidRDefault="006565B0" w:rsidP="00612A7B">
      <w:pPr>
        <w:pStyle w:val="p1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25999">
        <w:rPr>
          <w:rFonts w:ascii="Times New Roman" w:hAnsi="Times New Roman"/>
          <w:color w:val="000000" w:themeColor="text1"/>
          <w:sz w:val="24"/>
          <w:szCs w:val="24"/>
        </w:rPr>
        <w:t>Wnioskodawc</w:t>
      </w:r>
      <w:r w:rsidR="0055208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25999" w:rsidRPr="00625999">
        <w:rPr>
          <w:rFonts w:ascii="Times New Roman" w:hAnsi="Times New Roman"/>
          <w:color w:val="000000" w:themeColor="text1"/>
          <w:sz w:val="24"/>
          <w:szCs w:val="24"/>
        </w:rPr>
        <w:t xml:space="preserve"> zaznaczył, iż </w:t>
      </w:r>
      <w:r w:rsidR="00D23CA9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625999" w:rsidRPr="00625999">
        <w:rPr>
          <w:rFonts w:ascii="Times New Roman" w:hAnsi="Times New Roman"/>
          <w:color w:val="000000" w:themeColor="text1"/>
          <w:sz w:val="24"/>
          <w:szCs w:val="24"/>
        </w:rPr>
        <w:t xml:space="preserve">Komisja Kodyfikacyjna Prawa Rodzinnego w opinii z 10 stycznia 2025 roku pozytywnie oceniła zmiany wprowadzane w art. 2 projektowanej ustawy poprzez dodanie art. 66d-66f do ustawy – Kodeks wykroczeń. Jak wskazała Komisja </w:t>
      </w:r>
      <w:r w:rsidR="00625999" w:rsidRPr="0062599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Kodyfikacyjna Prawa Rodzinnego, wprowadzenie karalności czynu szkodliwego społecznie, polegającego na niewykonywaniu orzeczeń w przedmiocie odebrania dziecka czy </w:t>
      </w:r>
      <w:proofErr w:type="spellStart"/>
      <w:r w:rsidR="00625999" w:rsidRPr="00625999">
        <w:rPr>
          <w:rFonts w:ascii="Times New Roman" w:hAnsi="Times New Roman"/>
          <w:color w:val="000000" w:themeColor="text1"/>
          <w:sz w:val="24"/>
          <w:szCs w:val="24"/>
        </w:rPr>
        <w:t>nierealizacji</w:t>
      </w:r>
      <w:proofErr w:type="spellEnd"/>
      <w:r w:rsidR="00625999" w:rsidRPr="00625999">
        <w:rPr>
          <w:rFonts w:ascii="Times New Roman" w:hAnsi="Times New Roman"/>
          <w:color w:val="000000" w:themeColor="text1"/>
          <w:sz w:val="24"/>
          <w:szCs w:val="24"/>
        </w:rPr>
        <w:t xml:space="preserve"> lub niewłaściwej realizacji kontaktów, jest pożądaną realizacją postulatów społecznych. Jednocześnie ograniczenie karalności tych czynów, przez uregulowanie ich w Kodeksie wykroczeń, jest rozsądnym kompromisem pomiędzy brakiem karalności a wprowadzeniem czynu zabronionego regulowanego w Kodeksie karnym (przestępstwa)</w:t>
      </w:r>
      <w:r w:rsidR="00D23CA9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625999" w:rsidRPr="0062599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0B8DF4A" w14:textId="77777777" w:rsidR="00704BE1" w:rsidRDefault="00D23CA9" w:rsidP="00612A7B">
      <w:pPr>
        <w:spacing w:line="360" w:lineRule="auto"/>
        <w:ind w:firstLine="708"/>
      </w:pPr>
      <w:r>
        <w:t>Ponadto w przywołanym piśmie zaznaczono, iż b</w:t>
      </w:r>
      <w:r w:rsidR="00704BE1">
        <w:t>rak penalizacji w polskim systemie prawnym przypadków niewykonania orzeczeń sądowych w sprawach o odebranie dziecka, a także tzw. uprowadzeń rodzicielskich, uniemożliwia realizację Europejskich Nakazów Aresztowania</w:t>
      </w:r>
      <w:r>
        <w:t>.</w:t>
      </w:r>
    </w:p>
    <w:p w14:paraId="7F5B107E" w14:textId="77777777" w:rsidR="009601DC" w:rsidRPr="009601DC" w:rsidRDefault="009601DC" w:rsidP="00612A7B">
      <w:pPr>
        <w:spacing w:line="360" w:lineRule="auto"/>
        <w:ind w:firstLine="708"/>
        <w:rPr>
          <w:rFonts w:cstheme="minorHAnsi"/>
        </w:rPr>
      </w:pPr>
      <w:r>
        <w:t xml:space="preserve">W samym </w:t>
      </w:r>
      <w:r w:rsidR="00D23CA9">
        <w:t xml:space="preserve">natomiast </w:t>
      </w:r>
      <w:r>
        <w:t>uzasadnieniu</w:t>
      </w:r>
      <w:r w:rsidR="00D23CA9">
        <w:t xml:space="preserve"> projektu nowelizacyjnego</w:t>
      </w:r>
      <w:r>
        <w:t xml:space="preserve"> brak</w:t>
      </w:r>
      <w:r w:rsidR="00D23CA9">
        <w:t xml:space="preserve"> jest pogłębionej </w:t>
      </w:r>
      <w:r>
        <w:t>argumentacji</w:t>
      </w:r>
      <w:r w:rsidR="00D23CA9">
        <w:t xml:space="preserve"> odnoszącej się do projektowanej penalizacji. Wskazano</w:t>
      </w:r>
      <w:r w:rsidR="001E299B">
        <w:t xml:space="preserve"> jedynie</w:t>
      </w:r>
      <w:r w:rsidR="00D23CA9">
        <w:t>, i</w:t>
      </w:r>
      <w:r w:rsidR="00A43EC8">
        <w:t>ż</w:t>
      </w:r>
      <w:r>
        <w:t xml:space="preserve"> „</w:t>
      </w:r>
      <w:r w:rsidRPr="005C1CD1">
        <w:rPr>
          <w:rFonts w:cstheme="minorHAnsi"/>
        </w:rPr>
        <w:t>W ocenie projektodawcy konieczne jest spenalizowanie zachowań polegających na nierealizowaniu obowiązków nałożonych przez sąd w postępowaniu opiekuńczym, bowiem tylko wówczas istnieje szansa na ich realizację w przypadku zobowiązanych uporczywie uchylających się od ich wykonania, a także osób, które w bezprawny sposób uniemożliwiają lub utrudniają przymusowe odebranie dziecka. Bez wprowadzenia przepisów penalizujących tego rodzaju zachowania orzeczenia sądów opiekuńczych stają się wręcz bezwartościowe.</w:t>
      </w:r>
      <w:r>
        <w:t>”</w:t>
      </w:r>
    </w:p>
    <w:p w14:paraId="6394A04A" w14:textId="77777777" w:rsidR="004D16B0" w:rsidRDefault="004D16B0" w:rsidP="00612A7B">
      <w:pPr>
        <w:spacing w:line="360" w:lineRule="auto"/>
      </w:pPr>
    </w:p>
    <w:p w14:paraId="57D63416" w14:textId="77777777" w:rsidR="001E299B" w:rsidRPr="00AC2D8E" w:rsidRDefault="006565B0" w:rsidP="00612A7B">
      <w:pPr>
        <w:spacing w:line="360" w:lineRule="auto"/>
        <w:jc w:val="center"/>
        <w:rPr>
          <w:b/>
          <w:bCs/>
        </w:rPr>
      </w:pPr>
      <w:r w:rsidRPr="00AC2D8E">
        <w:rPr>
          <w:b/>
          <w:bCs/>
        </w:rPr>
        <w:t>Stanowisko Komisji</w:t>
      </w:r>
      <w:r w:rsidR="001E299B" w:rsidRPr="00AC2D8E">
        <w:rPr>
          <w:b/>
          <w:bCs/>
        </w:rPr>
        <w:t xml:space="preserve"> Kodyfikacyjnej Prawa Karnego</w:t>
      </w:r>
      <w:r w:rsidR="00552086" w:rsidRPr="00AC2D8E">
        <w:rPr>
          <w:b/>
          <w:bCs/>
        </w:rPr>
        <w:t xml:space="preserve"> (KKPK)</w:t>
      </w:r>
    </w:p>
    <w:p w14:paraId="4F991DD6" w14:textId="77777777" w:rsidR="00A861EC" w:rsidRDefault="00552086" w:rsidP="00612A7B">
      <w:pPr>
        <w:spacing w:line="360" w:lineRule="auto"/>
        <w:ind w:firstLine="708"/>
        <w:rPr>
          <w:color w:val="000000" w:themeColor="text1"/>
        </w:rPr>
      </w:pPr>
      <w:r>
        <w:t>1. Z pewnym niepokojem KKPK przyjęła</w:t>
      </w:r>
      <w:r w:rsidR="00A861EC">
        <w:t xml:space="preserve"> propozycj</w:t>
      </w:r>
      <w:r>
        <w:t>e</w:t>
      </w:r>
      <w:r w:rsidR="00A861EC">
        <w:t xml:space="preserve"> legislacyjne</w:t>
      </w:r>
      <w:r>
        <w:t xml:space="preserve"> w zakresie prawa karnego </w:t>
      </w:r>
      <w:r>
        <w:rPr>
          <w:i/>
          <w:iCs/>
        </w:rPr>
        <w:t>sensu largo</w:t>
      </w:r>
      <w:r>
        <w:t>. Przedstawione propozycje cechuje odmienny reżim prawny oraz dość istotne zróżnicowanie w zakresie karalności</w:t>
      </w:r>
      <w:r w:rsidR="00A861EC">
        <w:t xml:space="preserve"> – przestępstwo zagrożone do </w:t>
      </w:r>
      <w:r w:rsidR="001E299B">
        <w:t>5 lat pozbawienia wolności (gdyby przyjąć propozycję modyfikacji znamion art. 211 k.k.), poprzez przestępstwo zagrożone do lat 2 (propozycja wprowadzenia nowego typu czynu zabronionego – art. 244d k.k.)</w:t>
      </w:r>
      <w:r w:rsidR="00A861EC">
        <w:t xml:space="preserve"> </w:t>
      </w:r>
      <w:r w:rsidR="001E299B">
        <w:t>oraz</w:t>
      </w:r>
      <w:r w:rsidR="00A861EC" w:rsidRPr="00552086">
        <w:rPr>
          <w:i/>
          <w:iCs/>
        </w:rPr>
        <w:t xml:space="preserve"> </w:t>
      </w:r>
      <w:r w:rsidR="00A861EC">
        <w:t>wykroczenie zagrożone karą ograniczenia wolności lub grzywny</w:t>
      </w:r>
      <w:r w:rsidR="001E299B">
        <w:t xml:space="preserve"> (proponowany art. </w:t>
      </w:r>
      <w:r>
        <w:t>66d-</w:t>
      </w:r>
      <w:r w:rsidR="00291AA6">
        <w:t>66</w:t>
      </w:r>
      <w:r>
        <w:t xml:space="preserve">f). To oznaczać może, że Komisja Kodyfikacyjna Prawa Rodzinnego (KKPR) nie wypracowała jednoznacznego stanowiska co do wagi i karygodności </w:t>
      </w:r>
      <w:r w:rsidR="008623A7">
        <w:t xml:space="preserve">zachowań polegających na </w:t>
      </w:r>
      <w:r w:rsidR="008623A7" w:rsidRPr="00625999">
        <w:rPr>
          <w:color w:val="000000" w:themeColor="text1"/>
        </w:rPr>
        <w:t>niewykonywaniu orzeczeń sądu opiekuńczego w przedmiocie obowiązku wydania dziecka oraz w przedmiocie kontaktów z dzieckiem</w:t>
      </w:r>
      <w:r w:rsidR="008623A7">
        <w:rPr>
          <w:color w:val="000000" w:themeColor="text1"/>
        </w:rPr>
        <w:t>.</w:t>
      </w:r>
    </w:p>
    <w:p w14:paraId="401A7F85" w14:textId="77777777" w:rsidR="00965BF8" w:rsidRDefault="00965BF8" w:rsidP="00612A7B">
      <w:pPr>
        <w:spacing w:line="360" w:lineRule="auto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8C03B4">
        <w:rPr>
          <w:color w:val="000000" w:themeColor="text1"/>
        </w:rPr>
        <w:t>Projektodawca nie wskazał także czy istotą regulacji o charakterze represyjnych jest naruszenie dobra dziecka, naruszenie wykonywania prawa opieki czy też naruszenie interesów wymiaru sprawiedliwości. Wspomniana zaś różnorodność propozycji legislacyjnych potwierdza tezę, iż zagadnienie to nie zostało rozpoznane.</w:t>
      </w:r>
    </w:p>
    <w:p w14:paraId="539AF6EB" w14:textId="77777777" w:rsidR="00696C1B" w:rsidRPr="00965BF8" w:rsidRDefault="00965BF8" w:rsidP="00612A7B">
      <w:pPr>
        <w:spacing w:line="360" w:lineRule="auto"/>
        <w:ind w:firstLine="708"/>
        <w:rPr>
          <w:color w:val="000000" w:themeColor="text1"/>
        </w:rPr>
      </w:pPr>
      <w:r>
        <w:lastRenderedPageBreak/>
        <w:t>3</w:t>
      </w:r>
      <w:r w:rsidR="008623A7">
        <w:t xml:space="preserve">. </w:t>
      </w:r>
      <w:r w:rsidR="00866614">
        <w:t>P</w:t>
      </w:r>
      <w:r w:rsidR="008623A7">
        <w:t>rawdą jest, że</w:t>
      </w:r>
      <w:r w:rsidR="00845464">
        <w:t xml:space="preserve"> – co do zasady –</w:t>
      </w:r>
      <w:r w:rsidR="008623A7">
        <w:t xml:space="preserve"> w</w:t>
      </w:r>
      <w:r w:rsidR="00696C1B">
        <w:t xml:space="preserve"> piśmiennictwie i w orzecznictwie</w:t>
      </w:r>
      <w:r w:rsidR="00C01FA7">
        <w:t xml:space="preserve"> </w:t>
      </w:r>
      <w:r w:rsidR="00C01FA7" w:rsidRPr="00C01FA7">
        <w:rPr>
          <w:color w:val="000000" w:themeColor="text1"/>
        </w:rPr>
        <w:t xml:space="preserve">przyjmuje się, </w:t>
      </w:r>
      <w:r w:rsidR="00845464">
        <w:rPr>
          <w:color w:val="000000" w:themeColor="text1"/>
        </w:rPr>
        <w:t>i</w:t>
      </w:r>
      <w:r w:rsidR="00C01FA7" w:rsidRPr="00C01FA7">
        <w:rPr>
          <w:color w:val="000000" w:themeColor="text1"/>
        </w:rPr>
        <w:t xml:space="preserve">ż „Odpowiedzialność za przestępstwo z art. 211 k.k. jeden z rodziców dziecka może ponieść tylko wówczas, gdy jego władza rodzicielska została ograniczona lub gdy został jej pozbawiony (...). W przeciwnym bowiem razie, oboje rodzice są </w:t>
      </w:r>
      <w:r w:rsidR="00C01FA7" w:rsidRPr="009C768A">
        <w:rPr>
          <w:color w:val="000000" w:themeColor="text1"/>
        </w:rPr>
        <w:t xml:space="preserve">osobami </w:t>
      </w:r>
      <w:r w:rsidR="00845464" w:rsidRPr="009C768A">
        <w:rPr>
          <w:color w:val="000000" w:themeColor="text1"/>
        </w:rPr>
        <w:t>&lt;&lt;</w:t>
      </w:r>
      <w:r w:rsidR="00C01FA7" w:rsidRPr="009C768A">
        <w:rPr>
          <w:color w:val="000000" w:themeColor="text1"/>
        </w:rPr>
        <w:t>powołanymi do opieki nad małoletnim poniżej lat 15</w:t>
      </w:r>
      <w:r w:rsidR="00845464" w:rsidRPr="009C768A">
        <w:rPr>
          <w:color w:val="000000" w:themeColor="text1"/>
        </w:rPr>
        <w:t>&gt;&gt;</w:t>
      </w:r>
      <w:r w:rsidR="00C01FA7" w:rsidRPr="009C768A">
        <w:rPr>
          <w:color w:val="000000" w:themeColor="text1"/>
        </w:rPr>
        <w:t xml:space="preserve"> w rozumieniu tego przepisu”</w:t>
      </w:r>
      <w:r w:rsidR="00C01FA7" w:rsidRPr="009C768A">
        <w:rPr>
          <w:rStyle w:val="Odwoanieprzypisudolnego"/>
          <w:color w:val="000000" w:themeColor="text1"/>
        </w:rPr>
        <w:footnoteReference w:id="3"/>
      </w:r>
      <w:r w:rsidR="008623A7" w:rsidRPr="009C768A">
        <w:rPr>
          <w:color w:val="000000" w:themeColor="text1"/>
        </w:rPr>
        <w:t>.</w:t>
      </w:r>
      <w:r w:rsidR="00520741" w:rsidRPr="009C768A">
        <w:rPr>
          <w:color w:val="000000" w:themeColor="text1"/>
        </w:rPr>
        <w:t xml:space="preserve"> </w:t>
      </w:r>
      <w:r w:rsidR="0070574B" w:rsidRPr="009C768A">
        <w:rPr>
          <w:color w:val="000000" w:themeColor="text1"/>
        </w:rPr>
        <w:t>Pogląd taki przekłada się na praktykę ścigania tego rodzaju zachowań</w:t>
      </w:r>
      <w:r w:rsidR="0070574B" w:rsidRPr="009C768A">
        <w:rPr>
          <w:rStyle w:val="Odwoanieprzypisudolnego"/>
          <w:color w:val="000000" w:themeColor="text1"/>
        </w:rPr>
        <w:footnoteReference w:id="4"/>
      </w:r>
      <w:r w:rsidR="0070574B" w:rsidRPr="009C768A">
        <w:rPr>
          <w:color w:val="000000" w:themeColor="text1"/>
        </w:rPr>
        <w:t xml:space="preserve">. </w:t>
      </w:r>
      <w:r w:rsidR="009C768A" w:rsidRPr="009C768A">
        <w:rPr>
          <w:color w:val="000000" w:themeColor="text1"/>
        </w:rPr>
        <w:t xml:space="preserve">Formułowana jest także teza, że </w:t>
      </w:r>
      <w:r w:rsidR="009C768A" w:rsidRPr="009C768A">
        <w:rPr>
          <w:color w:val="000000" w:themeColor="text1"/>
          <w:shd w:val="clear" w:color="auto" w:fill="FFFFFF"/>
        </w:rPr>
        <w:t xml:space="preserve">czyny ojca lub matki dziecka podpadające pod rodzajowy opis czynu zabronionego zawarty w art. 211 k.k. nie są karalne tak długo, jak długo przysługująca im władza rodzicielska nad dzieckiem uprawnia ich </w:t>
      </w:r>
      <w:r w:rsidR="009C768A" w:rsidRPr="009C768A">
        <w:rPr>
          <w:i/>
          <w:iCs/>
          <w:color w:val="000000" w:themeColor="text1"/>
          <w:shd w:val="clear" w:color="auto" w:fill="FFFFFF"/>
        </w:rPr>
        <w:t>in concreto</w:t>
      </w:r>
      <w:r w:rsidR="009C768A" w:rsidRPr="009C768A">
        <w:rPr>
          <w:color w:val="000000" w:themeColor="text1"/>
          <w:shd w:val="clear" w:color="auto" w:fill="FFFFFF"/>
        </w:rPr>
        <w:t xml:space="preserve"> do decydowania o miejscu przebywania dziecka. Badanie czy czyn jednego z rodziców jest bezprawny, czy nie, zakłada porównania </w:t>
      </w:r>
      <w:r w:rsidR="009C768A" w:rsidRPr="009C768A">
        <w:rPr>
          <w:i/>
          <w:iCs/>
          <w:color w:val="000000" w:themeColor="text1"/>
          <w:shd w:val="clear" w:color="auto" w:fill="FFFFFF"/>
        </w:rPr>
        <w:t>in concreto</w:t>
      </w:r>
      <w:r w:rsidR="009C768A" w:rsidRPr="009C768A">
        <w:rPr>
          <w:color w:val="000000" w:themeColor="text1"/>
          <w:shd w:val="clear" w:color="auto" w:fill="FFFFFF"/>
        </w:rPr>
        <w:t xml:space="preserve"> „siły” uprawnień sprawcy wynikających z władzy rodzicielskiej oraz uprawnień innej osoby powołanej do opieki lub nadzoru nad danym dzieckiem, wbrew woli której sprawca w danych okolicznościach działa</w:t>
      </w:r>
      <w:r w:rsidR="009C768A">
        <w:rPr>
          <w:rStyle w:val="Odwoanieprzypisudolnego"/>
          <w:color w:val="000000" w:themeColor="text1"/>
          <w:shd w:val="clear" w:color="auto" w:fill="FFFFFF"/>
        </w:rPr>
        <w:footnoteReference w:id="5"/>
      </w:r>
      <w:r w:rsidR="009C768A" w:rsidRPr="009C768A">
        <w:rPr>
          <w:color w:val="000000" w:themeColor="text1"/>
          <w:shd w:val="clear" w:color="auto" w:fill="FFFFFF"/>
        </w:rPr>
        <w:t>.</w:t>
      </w:r>
      <w:r w:rsidR="003C6E92">
        <w:rPr>
          <w:color w:val="000000" w:themeColor="text1"/>
          <w:shd w:val="clear" w:color="auto" w:fill="FFFFFF"/>
        </w:rPr>
        <w:t xml:space="preserve"> </w:t>
      </w:r>
      <w:r w:rsidR="003C6E92" w:rsidRPr="009C768A">
        <w:rPr>
          <w:color w:val="000000" w:themeColor="text1"/>
        </w:rPr>
        <w:t xml:space="preserve">Prezentowane jest </w:t>
      </w:r>
      <w:r w:rsidR="00AC2D8E">
        <w:rPr>
          <w:color w:val="000000" w:themeColor="text1"/>
        </w:rPr>
        <w:t>również</w:t>
      </w:r>
      <w:r w:rsidR="003C6E92" w:rsidRPr="009C768A">
        <w:rPr>
          <w:color w:val="000000" w:themeColor="text1"/>
        </w:rPr>
        <w:t xml:space="preserve"> stanowisko przeciwne – nie ma zasadnych argumentów, które pozwoliłyby na normatywne ograniczenie podmiotu typu czynu zabronionego z art. 211 k.k. Charakter władzy rodzicielskiej jest irrelewantny z perspektywy znamion omawianego typu</w:t>
      </w:r>
      <w:r w:rsidR="003C6E92" w:rsidRPr="009C768A">
        <w:rPr>
          <w:rStyle w:val="Odwoanieprzypisudolnego"/>
          <w:color w:val="000000" w:themeColor="text1"/>
        </w:rPr>
        <w:footnoteReference w:id="6"/>
      </w:r>
      <w:r w:rsidR="003C6E92" w:rsidRPr="009C768A">
        <w:rPr>
          <w:color w:val="000000" w:themeColor="text1"/>
        </w:rPr>
        <w:t>.</w:t>
      </w:r>
      <w:r w:rsidR="006E05A5">
        <w:rPr>
          <w:color w:val="000000" w:themeColor="text1"/>
        </w:rPr>
        <w:t xml:space="preserve"> Nie jest to jednak jeszcze wystarczające przesłanka kryminalizacji.</w:t>
      </w:r>
    </w:p>
    <w:p w14:paraId="7AFF7AE5" w14:textId="77777777" w:rsidR="00A861EC" w:rsidRDefault="00965BF8" w:rsidP="00612A7B">
      <w:pPr>
        <w:spacing w:line="360" w:lineRule="auto"/>
        <w:ind w:firstLine="360"/>
      </w:pPr>
      <w:r>
        <w:t>4</w:t>
      </w:r>
      <w:r w:rsidR="00E83D91">
        <w:t xml:space="preserve">. Przechodząc na płaszczyznę nieco bardziej ogólnych refleksji odnotować należy, iż co do zasady </w:t>
      </w:r>
      <w:r w:rsidR="00E83D91" w:rsidRPr="00D11C0F">
        <w:rPr>
          <w:b/>
          <w:bCs/>
        </w:rPr>
        <w:t>k</w:t>
      </w:r>
      <w:r w:rsidR="00A861EC" w:rsidRPr="00D11C0F">
        <w:rPr>
          <w:b/>
          <w:bCs/>
        </w:rPr>
        <w:t>ara pozbawienia wolności z pewnością</w:t>
      </w:r>
      <w:r w:rsidR="00E959F5" w:rsidRPr="00D11C0F">
        <w:rPr>
          <w:b/>
          <w:bCs/>
        </w:rPr>
        <w:t xml:space="preserve"> jest karą</w:t>
      </w:r>
      <w:r w:rsidR="00A861EC" w:rsidRPr="00D11C0F">
        <w:rPr>
          <w:b/>
          <w:bCs/>
        </w:rPr>
        <w:t xml:space="preserve"> nieproporcjonaln</w:t>
      </w:r>
      <w:r w:rsidR="00E959F5" w:rsidRPr="00D11C0F">
        <w:rPr>
          <w:b/>
          <w:bCs/>
        </w:rPr>
        <w:t>ą</w:t>
      </w:r>
      <w:r w:rsidR="00A861EC" w:rsidRPr="00D11C0F">
        <w:rPr>
          <w:b/>
          <w:bCs/>
        </w:rPr>
        <w:t xml:space="preserve"> i nieadekwatn</w:t>
      </w:r>
      <w:r w:rsidR="00E959F5" w:rsidRPr="00D11C0F">
        <w:rPr>
          <w:b/>
          <w:bCs/>
        </w:rPr>
        <w:t>ą</w:t>
      </w:r>
      <w:r w:rsidR="00A861EC" w:rsidRPr="00D11C0F">
        <w:rPr>
          <w:b/>
          <w:bCs/>
        </w:rPr>
        <w:t xml:space="preserve"> w relacja</w:t>
      </w:r>
      <w:r w:rsidR="006E05A5">
        <w:rPr>
          <w:b/>
          <w:bCs/>
        </w:rPr>
        <w:t>ch</w:t>
      </w:r>
      <w:r w:rsidR="00A861EC" w:rsidRPr="00D11C0F">
        <w:rPr>
          <w:b/>
          <w:bCs/>
        </w:rPr>
        <w:t xml:space="preserve"> rodzinnych przy naruszeniu </w:t>
      </w:r>
      <w:r w:rsidR="00E959F5" w:rsidRPr="00D11C0F">
        <w:rPr>
          <w:b/>
          <w:bCs/>
        </w:rPr>
        <w:t>omawianego</w:t>
      </w:r>
      <w:r w:rsidR="00A861EC" w:rsidRPr="00D11C0F">
        <w:rPr>
          <w:b/>
          <w:bCs/>
        </w:rPr>
        <w:t xml:space="preserve"> typu</w:t>
      </w:r>
      <w:r w:rsidR="006E05A5">
        <w:rPr>
          <w:b/>
          <w:bCs/>
        </w:rPr>
        <w:t xml:space="preserve"> </w:t>
      </w:r>
      <w:r w:rsidR="006E05A5">
        <w:t>– zakłócenia ustalonych zasad pełnienia opieki nad dzieckiem.</w:t>
      </w:r>
      <w:r w:rsidR="00A861EC">
        <w:t xml:space="preserve"> </w:t>
      </w:r>
      <w:r w:rsidR="006E05A5">
        <w:t>R</w:t>
      </w:r>
      <w:r w:rsidR="00A861EC">
        <w:t>ównież wysoka grzywna nie wydaje się właściwą reakcją.</w:t>
      </w:r>
      <w:r w:rsidR="00C1689B">
        <w:t xml:space="preserve"> To oznacza, że z perspektywy grożącej kary przestrzeń dla reżimu wykroczeniowego i klasycznego karnego</w:t>
      </w:r>
      <w:r w:rsidR="00E959F5">
        <w:t xml:space="preserve"> jest jednak w dość wąska</w:t>
      </w:r>
      <w:r w:rsidR="00C1689B">
        <w:t>.</w:t>
      </w:r>
    </w:p>
    <w:p w14:paraId="361AA81D" w14:textId="77777777" w:rsidR="00501664" w:rsidRDefault="00CF2CA1" w:rsidP="00612A7B">
      <w:pPr>
        <w:spacing w:line="360" w:lineRule="auto"/>
        <w:ind w:firstLine="360"/>
      </w:pPr>
      <w:r>
        <w:t>Nie można przy tym tracić z pola widzenia, że k</w:t>
      </w:r>
      <w:r w:rsidR="00C1689B">
        <w:t xml:space="preserve">aralność za przestępstwo oznacza potępienie społeczne, a także pociąga za sobą inne konsekwencje: przede wszystkim wpis do </w:t>
      </w:r>
      <w:r w:rsidR="00C1689B">
        <w:lastRenderedPageBreak/>
        <w:t>KRK</w:t>
      </w:r>
      <w:r>
        <w:t xml:space="preserve"> oraz ograniczenie możliwości zawodowych</w:t>
      </w:r>
      <w:r w:rsidR="00C1689B">
        <w:t xml:space="preserve"> (w zależności od sposobu kryminalizacji jako przestępstwo przeciwko małoletniemu)</w:t>
      </w:r>
      <w:r>
        <w:t xml:space="preserve">. </w:t>
      </w:r>
      <w:r w:rsidR="00501664">
        <w:t xml:space="preserve">Karalność za przestępstwo pełniłoby funkcję </w:t>
      </w:r>
      <w:r w:rsidR="00501664" w:rsidRPr="00CF2CA1">
        <w:rPr>
          <w:i/>
          <w:iCs/>
        </w:rPr>
        <w:t>de facto</w:t>
      </w:r>
      <w:r w:rsidR="00501664">
        <w:t xml:space="preserve"> wyłącznie odstraszającą, co w relacjach rodzinnych i naruszeniach </w:t>
      </w:r>
      <w:r w:rsidR="006E05A5">
        <w:t>omawianych zasad</w:t>
      </w:r>
      <w:r w:rsidR="00501664">
        <w:t>, przy całej skomplikowanym charakterze</w:t>
      </w:r>
      <w:r w:rsidR="00AC2D8E">
        <w:t xml:space="preserve"> stosunków</w:t>
      </w:r>
      <w:r w:rsidR="006E05A5">
        <w:t xml:space="preserve"> między rodzicami</w:t>
      </w:r>
      <w:r w:rsidR="00501664">
        <w:t xml:space="preserve"> uznać należy</w:t>
      </w:r>
      <w:r w:rsidR="006E05A5">
        <w:t xml:space="preserve"> za</w:t>
      </w:r>
      <w:r w:rsidR="00501664">
        <w:t xml:space="preserve"> niewłaściwe</w:t>
      </w:r>
      <w:r>
        <w:t xml:space="preserve">. </w:t>
      </w:r>
      <w:r w:rsidR="00AC2D8E">
        <w:t>Założyć bowiem</w:t>
      </w:r>
      <w:r>
        <w:t xml:space="preserve"> </w:t>
      </w:r>
      <w:r w:rsidR="006E05A5">
        <w:t>trzeba – uznając cel nowelizacji wskazany przez projektodawcę –</w:t>
      </w:r>
      <w:r>
        <w:t xml:space="preserve"> że </w:t>
      </w:r>
      <w:r w:rsidRPr="00D11C0F">
        <w:rPr>
          <w:b/>
          <w:bCs/>
        </w:rPr>
        <w:t>ewentualna sankcja powinna ułatwiać egzekwowanie istniejących uprawnień i realizację nałożonych już obowiązków</w:t>
      </w:r>
      <w:r>
        <w:t>.</w:t>
      </w:r>
    </w:p>
    <w:p w14:paraId="37B0435E" w14:textId="77777777" w:rsidR="00496CFE" w:rsidRDefault="00965BF8" w:rsidP="00612A7B">
      <w:pPr>
        <w:spacing w:line="360" w:lineRule="auto"/>
        <w:ind w:firstLine="360"/>
      </w:pPr>
      <w:r>
        <w:t>5</w:t>
      </w:r>
      <w:r w:rsidR="006510FC">
        <w:t xml:space="preserve">. </w:t>
      </w:r>
      <w:r w:rsidR="00CF2CA1">
        <w:t>Odnosząc się zaś</w:t>
      </w:r>
      <w:r w:rsidR="006510FC">
        <w:t xml:space="preserve"> alternatywnej propozycji wprowadzenia art. 244d do k.k. godzi się zauważyć, że</w:t>
      </w:r>
      <w:r w:rsidR="00CF2CA1">
        <w:t xml:space="preserve"> </w:t>
      </w:r>
      <w:r w:rsidR="006510FC">
        <w:t>i</w:t>
      </w:r>
      <w:r w:rsidR="00496CFE">
        <w:t xml:space="preserve">stniejące typizacje, odnoszące się do naruszenia nakazów, zakazów i ograniczeń </w:t>
      </w:r>
      <w:r w:rsidR="001C5FAB">
        <w:t>nałożonych przez sąd (</w:t>
      </w:r>
      <w:r w:rsidR="00413405">
        <w:t xml:space="preserve">od </w:t>
      </w:r>
      <w:r w:rsidR="001C5FAB">
        <w:t>art. 244</w:t>
      </w:r>
      <w:r w:rsidR="00413405">
        <w:t xml:space="preserve"> do </w:t>
      </w:r>
      <w:r w:rsidR="001C5FAB">
        <w:t>art. 244c k.k.) odnoszą się do orzeczeń karnych, jako konsekwencji popełnienia czynu zabronionego</w:t>
      </w:r>
      <w:r w:rsidR="00413405">
        <w:t>. Natomiast</w:t>
      </w:r>
      <w:r w:rsidR="001C5FAB">
        <w:t xml:space="preserve"> charakter ewentualnej typizacji z art. 244d byłby zgoła inny – reżim karny wzmacniałby postępowanie (wykonawcze) cywilne, </w:t>
      </w:r>
      <w:r w:rsidR="006510FC">
        <w:t>a</w:t>
      </w:r>
      <w:r w:rsidR="001C5FAB">
        <w:t xml:space="preserve"> czyn zabroniony miałby charakter </w:t>
      </w:r>
      <w:r w:rsidR="00413405" w:rsidRPr="006510FC">
        <w:rPr>
          <w:i/>
          <w:iCs/>
        </w:rPr>
        <w:t>quasi</w:t>
      </w:r>
      <w:r w:rsidR="00413405">
        <w:t xml:space="preserve"> </w:t>
      </w:r>
      <w:r w:rsidR="001C5FAB">
        <w:t>pierwotny</w:t>
      </w:r>
      <w:r w:rsidR="00413405">
        <w:t xml:space="preserve">, co nie pozwala – zdaniem Komisji – na </w:t>
      </w:r>
      <w:r w:rsidR="00102815">
        <w:t>prostą analogię</w:t>
      </w:r>
      <w:r w:rsidR="00D11C0F">
        <w:t>, uzasadniającą kryminalizację</w:t>
      </w:r>
      <w:r w:rsidR="00102815">
        <w:t xml:space="preserve">. </w:t>
      </w:r>
    </w:p>
    <w:p w14:paraId="00153708" w14:textId="77777777" w:rsidR="00965BF8" w:rsidRDefault="00965BF8" w:rsidP="00612A7B">
      <w:pPr>
        <w:spacing w:line="360" w:lineRule="auto"/>
        <w:ind w:firstLine="360"/>
      </w:pPr>
      <w:r>
        <w:t>6</w:t>
      </w:r>
      <w:r w:rsidR="006510FC">
        <w:t xml:space="preserve">. Równocześnie </w:t>
      </w:r>
      <w:r w:rsidR="006510FC" w:rsidRPr="00D11C0F">
        <w:rPr>
          <w:b/>
          <w:bCs/>
        </w:rPr>
        <w:t>k</w:t>
      </w:r>
      <w:r w:rsidR="00501664" w:rsidRPr="00D11C0F">
        <w:rPr>
          <w:b/>
          <w:bCs/>
        </w:rPr>
        <w:t>aralność za wykroczenie niejako spłyca całą powagę sytuacji i nie pełni żadnej społecznie istotnej funkcji.</w:t>
      </w:r>
      <w:r w:rsidR="0015494E">
        <w:t xml:space="preserve"> </w:t>
      </w:r>
    </w:p>
    <w:p w14:paraId="48ECE521" w14:textId="77777777" w:rsidR="00CF2CA1" w:rsidRPr="00A1372D" w:rsidRDefault="00965BF8" w:rsidP="00612A7B">
      <w:pPr>
        <w:spacing w:line="360" w:lineRule="auto"/>
        <w:ind w:firstLine="360"/>
      </w:pPr>
      <w:r>
        <w:t xml:space="preserve">7. </w:t>
      </w:r>
      <w:r w:rsidR="0015494E">
        <w:t>Także a</w:t>
      </w:r>
      <w:r w:rsidR="00CF2CA1">
        <w:t xml:space="preserve">rgument </w:t>
      </w:r>
      <w:r w:rsidR="0015494E">
        <w:t>dot.</w:t>
      </w:r>
      <w:r w:rsidR="00CF2CA1">
        <w:t xml:space="preserve"> ENA jest nieistotny z perspektywy zaprojektowanej regulacji wykroczeniowej i bezpodstawny wobec penalizacji omawianych zachowań jako przestępstwa (jeśli uznać, że kara pozbawienia wolności narusza zasady racjonalnej polityki karnej</w:t>
      </w:r>
      <w:r w:rsidR="0015494E">
        <w:t xml:space="preserve"> w zakresie relacji rodzinny zaburzonych konfliktem rodzicielskim</w:t>
      </w:r>
      <w:r w:rsidR="00CF2CA1">
        <w:t xml:space="preserve">). </w:t>
      </w:r>
      <w:r w:rsidR="00A1372D" w:rsidRPr="00A1372D">
        <w:t>Zgodnie bowiem z przepisem art. 607a k.p.k., europejski nakaz aresztowania może zostać wydany w razie podejrzenia, że osoba ścigana za przestępstwo. Natomiast przepis art. 607 b k.p.k., nie pozwala na wydanie ENA w związku z prowadzonym przeciwko osobie ściganej postępowaniem karnym o przestępstwo zagrożone karą pozbawienia wolności do roku oraz w celu wykonania kary pozbawienia wolności orzeczonej w wymiarze do 4 miesięcy albo innego środka polegającego na pozbawieniu wolności na czas nieprzekraczający 4 miesięcy.</w:t>
      </w:r>
    </w:p>
    <w:p w14:paraId="431EF7CF" w14:textId="77777777" w:rsidR="00CD25C3" w:rsidRDefault="00965BF8" w:rsidP="00612A7B">
      <w:pPr>
        <w:spacing w:line="360" w:lineRule="auto"/>
        <w:ind w:firstLine="360"/>
      </w:pPr>
      <w:r>
        <w:t>8</w:t>
      </w:r>
      <w:r w:rsidR="0015494E">
        <w:t xml:space="preserve">. </w:t>
      </w:r>
      <w:r w:rsidR="00CD25C3">
        <w:t>W piśmiennictwie przywoływane jest teza, że przestępstwo uprowadzenia bądź zatrzymania małoletniego utraciło swój typowo kryminalny charakter, stając się w istocie bardziej problemem prawa rodzinnego i opiekuńczego niż prawa karnego</w:t>
      </w:r>
      <w:r w:rsidR="00CD25C3">
        <w:rPr>
          <w:rStyle w:val="Odwoanieprzypisudolnego"/>
        </w:rPr>
        <w:footnoteReference w:id="7"/>
      </w:r>
      <w:r w:rsidR="00D11C0F">
        <w:t>.</w:t>
      </w:r>
    </w:p>
    <w:p w14:paraId="161598FE" w14:textId="77777777" w:rsidR="00F95E6B" w:rsidRDefault="00965BF8" w:rsidP="00612A7B">
      <w:pPr>
        <w:spacing w:line="360" w:lineRule="auto"/>
        <w:ind w:firstLine="360"/>
      </w:pPr>
      <w:r>
        <w:t>9</w:t>
      </w:r>
      <w:r w:rsidR="00CD25C3">
        <w:t xml:space="preserve">. </w:t>
      </w:r>
      <w:r w:rsidR="0015494E">
        <w:t>Nade wszystko podkreślić należy, że w</w:t>
      </w:r>
      <w:r w:rsidR="005A6685">
        <w:t xml:space="preserve"> przepisach kodeksu postępowania cywilnego są (lub mają być wprowadzone ustaw</w:t>
      </w:r>
      <w:r w:rsidR="00D11C0F">
        <w:t>ą</w:t>
      </w:r>
      <w:r w:rsidR="005A6685">
        <w:t xml:space="preserve"> nowelizującą)</w:t>
      </w:r>
      <w:r w:rsidR="00501664">
        <w:t xml:space="preserve"> środki cywilnoprawne</w:t>
      </w:r>
      <w:r w:rsidR="005E20B8">
        <w:t xml:space="preserve"> wzmacniające egzekwowanie obowiązków związanych z odebraniem dziecka oraz wykonywaniem </w:t>
      </w:r>
      <w:r w:rsidR="005E20B8">
        <w:lastRenderedPageBreak/>
        <w:t>kontaktów z dzieckiem. Do pierwszej grupy środków zaliczyć należy</w:t>
      </w:r>
      <w:r w:rsidR="003C32FD">
        <w:t xml:space="preserve"> grzywnę (nowo zaprojektowany art. 598</w:t>
      </w:r>
      <w:r w:rsidR="003C32FD" w:rsidRPr="0015494E">
        <w:rPr>
          <w:vertAlign w:val="superscript"/>
        </w:rPr>
        <w:t>6</w:t>
      </w:r>
      <w:r w:rsidR="003C32FD">
        <w:t xml:space="preserve"> § 1 k.p.c.); przy czym jest ona bardzo elastyczna z perspektywy jej „niewymierzenia” i stanowcza z perspektywy jej wykonania</w:t>
      </w:r>
      <w:r w:rsidR="003C32FD">
        <w:rPr>
          <w:rStyle w:val="Odwoanieprzypisudolnego"/>
        </w:rPr>
        <w:footnoteReference w:id="8"/>
      </w:r>
      <w:r w:rsidR="00754C0C">
        <w:t xml:space="preserve"> oraz areszt (art. 598</w:t>
      </w:r>
      <w:r w:rsidR="00754C0C" w:rsidRPr="0015494E">
        <w:rPr>
          <w:vertAlign w:val="superscript"/>
        </w:rPr>
        <w:t>11</w:t>
      </w:r>
      <w:r w:rsidR="00754C0C">
        <w:t xml:space="preserve"> § 2</w:t>
      </w:r>
      <w:r w:rsidR="00754C0C" w:rsidRPr="0015494E">
        <w:rPr>
          <w:vertAlign w:val="superscript"/>
        </w:rPr>
        <w:t>1</w:t>
      </w:r>
      <w:r w:rsidR="00754C0C">
        <w:t xml:space="preserve"> k.p.c.) i przeszukanie (art. 598</w:t>
      </w:r>
      <w:r w:rsidR="00754C0C" w:rsidRPr="0015494E">
        <w:rPr>
          <w:vertAlign w:val="superscript"/>
        </w:rPr>
        <w:t>11a</w:t>
      </w:r>
      <w:r w:rsidR="00754C0C">
        <w:t xml:space="preserve"> § 3</w:t>
      </w:r>
      <w:r w:rsidR="00754C0C" w:rsidRPr="0015494E">
        <w:rPr>
          <w:vertAlign w:val="superscript"/>
        </w:rPr>
        <w:t>1</w:t>
      </w:r>
      <w:r w:rsidR="00754C0C">
        <w:t xml:space="preserve"> k.p.c.)</w:t>
      </w:r>
      <w:r w:rsidR="003C32FD">
        <w:t xml:space="preserve">. Do drugiej grupy środków zaliczyć należy </w:t>
      </w:r>
      <w:r w:rsidR="00501664">
        <w:t>zagrożenie karą grzywny</w:t>
      </w:r>
      <w:r w:rsidR="00903CA0">
        <w:t xml:space="preserve"> (nowo zaprojektowany art. 582</w:t>
      </w:r>
      <w:r w:rsidR="00903CA0" w:rsidRPr="0015494E">
        <w:rPr>
          <w:vertAlign w:val="superscript"/>
        </w:rPr>
        <w:t xml:space="preserve">1 </w:t>
      </w:r>
      <w:r w:rsidR="00903CA0">
        <w:t>§ 1</w:t>
      </w:r>
      <w:r w:rsidR="00903CA0" w:rsidRPr="0015494E">
        <w:rPr>
          <w:vertAlign w:val="superscript"/>
        </w:rPr>
        <w:t>1</w:t>
      </w:r>
      <w:r w:rsidR="00903CA0">
        <w:t xml:space="preserve"> k.p.c.)</w:t>
      </w:r>
      <w:r w:rsidR="00501664">
        <w:t xml:space="preserve"> i sam</w:t>
      </w:r>
      <w:r w:rsidR="00D11C0F">
        <w:t>ą</w:t>
      </w:r>
      <w:r w:rsidR="00501664">
        <w:t xml:space="preserve"> grzywn</w:t>
      </w:r>
      <w:r w:rsidR="00D11C0F">
        <w:t>ę</w:t>
      </w:r>
      <w:r w:rsidR="00696C1B">
        <w:t xml:space="preserve"> oraz zobowiązani</w:t>
      </w:r>
      <w:r w:rsidR="003C32FD">
        <w:t>e</w:t>
      </w:r>
      <w:r w:rsidR="00696C1B">
        <w:t xml:space="preserve"> do złożenia </w:t>
      </w:r>
      <w:r w:rsidR="00696C1B" w:rsidRPr="0001394B">
        <w:t>na rachunek depozytowy Ministra Finansów odpowiedniej kwoty pieniężnej w celu pokrycia wydatków związanych z wykonywaniem kontaktu na wypadek niewykonania lub niewłaściwego wykonania obowiązków wynikających z postanowienia o kontaktach</w:t>
      </w:r>
      <w:r w:rsidR="00903CA0">
        <w:t xml:space="preserve"> (art. 582</w:t>
      </w:r>
      <w:r w:rsidR="00903CA0" w:rsidRPr="0015494E">
        <w:rPr>
          <w:vertAlign w:val="superscript"/>
        </w:rPr>
        <w:t xml:space="preserve">1 </w:t>
      </w:r>
      <w:r w:rsidR="00903CA0">
        <w:t>§ 2 pkt 2 k.p.c.).</w:t>
      </w:r>
      <w:r w:rsidR="001C097A">
        <w:t xml:space="preserve"> </w:t>
      </w:r>
      <w:r w:rsidR="003853A8">
        <w:t>C</w:t>
      </w:r>
      <w:r w:rsidR="001C097A">
        <w:t>o isto</w:t>
      </w:r>
      <w:r w:rsidR="003853A8">
        <w:t xml:space="preserve">tniejsze, </w:t>
      </w:r>
      <w:r w:rsidR="003853A8" w:rsidRPr="00D11C0F">
        <w:rPr>
          <w:b/>
          <w:bCs/>
        </w:rPr>
        <w:t>przepisy k.p.c. są</w:t>
      </w:r>
      <w:r w:rsidR="00A56A8B">
        <w:rPr>
          <w:b/>
          <w:bCs/>
        </w:rPr>
        <w:t xml:space="preserve"> (lub mogą być)</w:t>
      </w:r>
      <w:r w:rsidR="003853A8" w:rsidRPr="00D11C0F">
        <w:rPr>
          <w:b/>
          <w:bCs/>
        </w:rPr>
        <w:t xml:space="preserve"> zróżnicowane w zależności od charakteru naruszenia, uwzględniając stan prawny i potencjalny stan faktyczny. Innymi słowy, to regulacje procesu cywilne</w:t>
      </w:r>
      <w:r w:rsidR="00D11C0F" w:rsidRPr="00D11C0F">
        <w:rPr>
          <w:b/>
          <w:bCs/>
        </w:rPr>
        <w:t>go</w:t>
      </w:r>
      <w:r w:rsidR="003853A8" w:rsidRPr="00D11C0F">
        <w:rPr>
          <w:b/>
          <w:bCs/>
        </w:rPr>
        <w:t xml:space="preserve"> pozwalają na dobranie adekwatnych</w:t>
      </w:r>
      <w:r w:rsidR="00D11C0F" w:rsidRPr="00D11C0F">
        <w:rPr>
          <w:b/>
          <w:bCs/>
        </w:rPr>
        <w:t xml:space="preserve"> i precyzyjnych</w:t>
      </w:r>
      <w:r w:rsidR="003853A8" w:rsidRPr="00D11C0F">
        <w:rPr>
          <w:b/>
          <w:bCs/>
        </w:rPr>
        <w:t xml:space="preserve"> środków, trafiających w </w:t>
      </w:r>
      <w:r w:rsidR="00D11C0F" w:rsidRPr="00D11C0F">
        <w:rPr>
          <w:b/>
          <w:bCs/>
        </w:rPr>
        <w:t xml:space="preserve">zakładany </w:t>
      </w:r>
      <w:r w:rsidR="003853A8" w:rsidRPr="00D11C0F">
        <w:rPr>
          <w:b/>
          <w:bCs/>
        </w:rPr>
        <w:t>cel</w:t>
      </w:r>
      <w:r w:rsidR="003853A8">
        <w:t xml:space="preserve">. </w:t>
      </w:r>
    </w:p>
    <w:p w14:paraId="559B051D" w14:textId="77777777" w:rsidR="006E617D" w:rsidRDefault="00965BF8" w:rsidP="00612A7B">
      <w:pPr>
        <w:spacing w:line="360" w:lineRule="auto"/>
        <w:ind w:firstLine="360"/>
      </w:pPr>
      <w:r>
        <w:t>10</w:t>
      </w:r>
      <w:r w:rsidR="00CD25C3">
        <w:t>. Nie sposób też nie odnotować, że z</w:t>
      </w:r>
      <w:r w:rsidR="006E617D" w:rsidRPr="006E617D">
        <w:t xml:space="preserve"> przygotowan</w:t>
      </w:r>
      <w:r w:rsidR="00612A7B">
        <w:t>ego</w:t>
      </w:r>
      <w:r w:rsidR="006E617D" w:rsidRPr="006E617D">
        <w:t xml:space="preserve"> przez </w:t>
      </w:r>
      <w:r w:rsidR="00F95E6B">
        <w:t>Departament Spraw Rodzinnych i Nieletnich Ministerstwa Sprawiedliwości</w:t>
      </w:r>
      <w:r w:rsidR="006E617D">
        <w:t xml:space="preserve"> zestawienia</w:t>
      </w:r>
      <w:r w:rsidR="00EA1F5B">
        <w:t xml:space="preserve"> prawnoporównawczego</w:t>
      </w:r>
      <w:r w:rsidR="006E617D">
        <w:t xml:space="preserve"> wynika, że tylko Francja kumuluje odpowiedzialność cywiln</w:t>
      </w:r>
      <w:r w:rsidR="005A6685">
        <w:t>ą</w:t>
      </w:r>
      <w:r w:rsidR="006E617D">
        <w:t xml:space="preserve"> i karną, </w:t>
      </w:r>
      <w:r w:rsidR="006238CB">
        <w:t xml:space="preserve">natomiast </w:t>
      </w:r>
      <w:r w:rsidR="006E617D">
        <w:t>wiele krajów</w:t>
      </w:r>
      <w:r w:rsidR="006238CB">
        <w:t xml:space="preserve"> przewiduje odpowiedzialność</w:t>
      </w:r>
      <w:r w:rsidR="006E617D">
        <w:t xml:space="preserve"> karną (łącznie z pozbawieniem wolności) i administracyjną (kara pieniężna)</w:t>
      </w:r>
      <w:r w:rsidR="00CD25C3">
        <w:t>.</w:t>
      </w:r>
    </w:p>
    <w:p w14:paraId="37201642" w14:textId="77777777" w:rsidR="00696C1B" w:rsidRDefault="00965BF8" w:rsidP="00612A7B">
      <w:pPr>
        <w:pStyle w:val="ZARTzmartartykuempunktem"/>
        <w:ind w:left="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CD25C3" w:rsidRPr="00CD25C3">
        <w:rPr>
          <w:rFonts w:ascii="Times New Roman" w:hAnsi="Times New Roman" w:cs="Times New Roman"/>
        </w:rPr>
        <w:t xml:space="preserve">. </w:t>
      </w:r>
      <w:r w:rsidR="00CD25C3" w:rsidRPr="00A56A8B">
        <w:rPr>
          <w:rFonts w:ascii="Times New Roman" w:hAnsi="Times New Roman" w:cs="Times New Roman"/>
          <w:u w:val="single"/>
        </w:rPr>
        <w:t>Reasumując</w:t>
      </w:r>
      <w:r w:rsidR="00CD25C3" w:rsidRPr="00CD25C3">
        <w:rPr>
          <w:rFonts w:ascii="Times New Roman" w:hAnsi="Times New Roman" w:cs="Times New Roman"/>
        </w:rPr>
        <w:t xml:space="preserve"> w</w:t>
      </w:r>
      <w:r w:rsidR="00696C1B" w:rsidRPr="00CD25C3">
        <w:rPr>
          <w:rFonts w:ascii="Times New Roman" w:hAnsi="Times New Roman" w:cs="Times New Roman"/>
        </w:rPr>
        <w:t>ydaje się, że środki cywilnoprawne</w:t>
      </w:r>
      <w:r w:rsidR="00CD25C3" w:rsidRPr="00CD25C3">
        <w:rPr>
          <w:rFonts w:ascii="Times New Roman" w:hAnsi="Times New Roman" w:cs="Times New Roman"/>
        </w:rPr>
        <w:t xml:space="preserve"> (procesowe)</w:t>
      </w:r>
      <w:r w:rsidR="00696C1B" w:rsidRPr="00CD25C3">
        <w:rPr>
          <w:rFonts w:ascii="Times New Roman" w:hAnsi="Times New Roman" w:cs="Times New Roman"/>
        </w:rPr>
        <w:t xml:space="preserve"> są wystarczające</w:t>
      </w:r>
      <w:r w:rsidR="00CD25C3" w:rsidRPr="00CD25C3">
        <w:rPr>
          <w:rFonts w:ascii="Times New Roman" w:hAnsi="Times New Roman" w:cs="Times New Roman"/>
        </w:rPr>
        <w:t xml:space="preserve"> dla osiągnięcia celów zakładanych przez projektodawców – „</w:t>
      </w:r>
      <w:r w:rsidR="00CD25C3" w:rsidRPr="00CD25C3">
        <w:rPr>
          <w:rFonts w:ascii="Times New Roman" w:hAnsi="Times New Roman" w:cs="Times New Roman"/>
          <w:szCs w:val="24"/>
        </w:rPr>
        <w:t>usprawnienie</w:t>
      </w:r>
      <w:r w:rsidR="00CD25C3">
        <w:rPr>
          <w:rFonts w:ascii="Times New Roman" w:hAnsi="Times New Roman" w:cs="Times New Roman"/>
          <w:szCs w:val="24"/>
        </w:rPr>
        <w:t xml:space="preserve"> </w:t>
      </w:r>
      <w:r w:rsidR="00CD25C3" w:rsidRPr="00CD25C3">
        <w:rPr>
          <w:rFonts w:ascii="Times New Roman" w:hAnsi="Times New Roman" w:cs="Times New Roman"/>
          <w:szCs w:val="24"/>
        </w:rPr>
        <w:t xml:space="preserve">i przyśpieszenie odebrania dziecka od osoby nieuprawnionej, wyeliminowanie rozbieżności </w:t>
      </w:r>
      <w:r w:rsidR="00CD25C3" w:rsidRPr="00CD25C3">
        <w:rPr>
          <w:rFonts w:ascii="Times New Roman" w:hAnsi="Times New Roman" w:cs="Times New Roman"/>
          <w:szCs w:val="24"/>
        </w:rPr>
        <w:br/>
        <w:t>w orzecznictwie oraz zapewnienie narzędzi umożliwiających bezzwłoczne i efektywne przymusowe odebranie dziecka, gdy zobowiązany nie wykonuje nałożonego na niego obowiązku</w:t>
      </w:r>
      <w:r w:rsidR="00CD25C3" w:rsidRPr="00CD25C3">
        <w:rPr>
          <w:rFonts w:ascii="Times New Roman" w:hAnsi="Times New Roman" w:cs="Times New Roman"/>
        </w:rPr>
        <w:t>”</w:t>
      </w:r>
      <w:r w:rsidR="00A56A8B">
        <w:rPr>
          <w:rStyle w:val="Odwoanieprzypisudolnego"/>
          <w:rFonts w:ascii="Times New Roman" w:hAnsi="Times New Roman" w:cs="Times New Roman"/>
        </w:rPr>
        <w:footnoteReference w:id="9"/>
      </w:r>
      <w:r w:rsidR="000C1491">
        <w:rPr>
          <w:rFonts w:ascii="Times New Roman" w:hAnsi="Times New Roman" w:cs="Times New Roman"/>
        </w:rPr>
        <w:t xml:space="preserve">. </w:t>
      </w:r>
      <w:r w:rsidR="006238CB" w:rsidRPr="006238CB">
        <w:rPr>
          <w:rFonts w:ascii="Times New Roman" w:hAnsi="Times New Roman" w:cs="Times New Roman"/>
        </w:rPr>
        <w:t xml:space="preserve">To </w:t>
      </w:r>
      <w:r w:rsidR="000C7B19" w:rsidRPr="006238CB">
        <w:rPr>
          <w:rFonts w:ascii="Times New Roman" w:hAnsi="Times New Roman" w:cs="Times New Roman"/>
        </w:rPr>
        <w:t xml:space="preserve">oznacza, że </w:t>
      </w:r>
      <w:r w:rsidR="000C7B19" w:rsidRPr="006238CB">
        <w:rPr>
          <w:rFonts w:ascii="Times New Roman" w:hAnsi="Times New Roman" w:cs="Times New Roman"/>
          <w:b/>
          <w:bCs/>
        </w:rPr>
        <w:t>kryminalizacja w reżimie wykroczeniowej i klasycznej karnej jest zbędna</w:t>
      </w:r>
      <w:r w:rsidR="000C1491" w:rsidRPr="006238CB">
        <w:rPr>
          <w:rFonts w:ascii="Times New Roman" w:hAnsi="Times New Roman" w:cs="Times New Roman"/>
        </w:rPr>
        <w:t>.</w:t>
      </w:r>
    </w:p>
    <w:p w14:paraId="6502AAF4" w14:textId="77777777" w:rsidR="000C1491" w:rsidRDefault="000C1491" w:rsidP="00612A7B">
      <w:pPr>
        <w:pStyle w:val="ZARTzmartartykuempunktem"/>
        <w:ind w:left="0" w:firstLine="0"/>
        <w:rPr>
          <w:rFonts w:ascii="Times New Roman" w:hAnsi="Times New Roman" w:cs="Times New Roman"/>
        </w:rPr>
      </w:pPr>
    </w:p>
    <w:p w14:paraId="32654FB2" w14:textId="77777777" w:rsidR="000C1491" w:rsidRDefault="000C1491" w:rsidP="00612A7B">
      <w:pPr>
        <w:pStyle w:val="ZARTzmartartykuempunktem"/>
        <w:ind w:left="0" w:firstLine="0"/>
        <w:rPr>
          <w:rFonts w:ascii="Times New Roman" w:hAnsi="Times New Roman" w:cs="Times New Roman"/>
        </w:rPr>
      </w:pPr>
    </w:p>
    <w:p w14:paraId="73AF3F92" w14:textId="77777777" w:rsidR="006565B0" w:rsidRDefault="000C1491" w:rsidP="00612A7B">
      <w:pPr>
        <w:pStyle w:val="ZARTzmartartykuempunktem"/>
        <w:ind w:left="0" w:firstLine="0"/>
      </w:pPr>
      <w:r>
        <w:rPr>
          <w:rFonts w:ascii="Times New Roman" w:hAnsi="Times New Roman" w:cs="Times New Roman"/>
        </w:rPr>
        <w:t>Oprac. O.</w:t>
      </w:r>
      <w:r w:rsidR="006238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Sitarz</w:t>
      </w:r>
    </w:p>
    <w:sectPr w:rsidR="006565B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A702" w14:textId="77777777" w:rsidR="009B5800" w:rsidRDefault="009B5800" w:rsidP="0037246B">
      <w:r>
        <w:separator/>
      </w:r>
    </w:p>
  </w:endnote>
  <w:endnote w:type="continuationSeparator" w:id="0">
    <w:p w14:paraId="73AC921E" w14:textId="77777777" w:rsidR="009B5800" w:rsidRDefault="009B5800" w:rsidP="0037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930080973"/>
      <w:docPartObj>
        <w:docPartGallery w:val="Page Numbers (Bottom of Page)"/>
        <w:docPartUnique/>
      </w:docPartObj>
    </w:sdtPr>
    <w:sdtContent>
      <w:p w14:paraId="34F80FD7" w14:textId="77777777" w:rsidR="00612A7B" w:rsidRDefault="00612A7B" w:rsidP="00255FF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B847D87" w14:textId="77777777" w:rsidR="00612A7B" w:rsidRDefault="00612A7B" w:rsidP="00612A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79197469"/>
      <w:docPartObj>
        <w:docPartGallery w:val="Page Numbers (Bottom of Page)"/>
        <w:docPartUnique/>
      </w:docPartObj>
    </w:sdtPr>
    <w:sdtContent>
      <w:p w14:paraId="1C5AA5B5" w14:textId="77777777" w:rsidR="00612A7B" w:rsidRDefault="00612A7B" w:rsidP="00255FF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C93E040" w14:textId="77777777" w:rsidR="00612A7B" w:rsidRDefault="00612A7B" w:rsidP="00612A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140D8" w14:textId="77777777" w:rsidR="009B5800" w:rsidRDefault="009B5800" w:rsidP="0037246B">
      <w:r>
        <w:separator/>
      </w:r>
    </w:p>
  </w:footnote>
  <w:footnote w:type="continuationSeparator" w:id="0">
    <w:p w14:paraId="4A01C2E7" w14:textId="77777777" w:rsidR="009B5800" w:rsidRDefault="009B5800" w:rsidP="0037246B">
      <w:r>
        <w:continuationSeparator/>
      </w:r>
    </w:p>
  </w:footnote>
  <w:footnote w:id="1">
    <w:p w14:paraId="687C5496" w14:textId="77777777" w:rsidR="00A861EC" w:rsidRPr="00A861EC" w:rsidRDefault="00A861EC" w:rsidP="00A861EC">
      <w:pPr>
        <w:pStyle w:val="ARTartustawynprozporzdzenia"/>
        <w:spacing w:before="0" w:line="240" w:lineRule="auto"/>
        <w:rPr>
          <w:rFonts w:cs="Times New Roman"/>
          <w:sz w:val="20"/>
        </w:rPr>
      </w:pPr>
      <w:r w:rsidRPr="00A861EC">
        <w:rPr>
          <w:rStyle w:val="Odwoanieprzypisudolnego"/>
          <w:sz w:val="20"/>
        </w:rPr>
        <w:footnoteRef/>
      </w:r>
      <w:r w:rsidRPr="00A861EC">
        <w:rPr>
          <w:sz w:val="20"/>
        </w:rPr>
        <w:t xml:space="preserve"> </w:t>
      </w:r>
      <w:r w:rsidRPr="00AC2D8E">
        <w:rPr>
          <w:rStyle w:val="Ppogrubienie"/>
          <w:b w:val="0"/>
          <w:bCs/>
          <w:sz w:val="20"/>
        </w:rPr>
        <w:t>Art. 2.</w:t>
      </w:r>
      <w:r w:rsidRPr="00A861EC">
        <w:rPr>
          <w:sz w:val="20"/>
        </w:rPr>
        <w:t xml:space="preserve"> W ustawie z dnia 20 maja 1971 roku – Kodeks wykroczeń (Dz. U. z 2023 r. poz. 2119) </w:t>
      </w:r>
      <w:r w:rsidRPr="00A861EC">
        <w:rPr>
          <w:rFonts w:cs="Times New Roman"/>
          <w:sz w:val="20"/>
        </w:rPr>
        <w:t>po art. 66c dodaje się art. 66d-66f w brzmieniu:</w:t>
      </w:r>
    </w:p>
    <w:p w14:paraId="04C5E3E0" w14:textId="77777777" w:rsidR="00A861EC" w:rsidRPr="00A861EC" w:rsidRDefault="00A861EC" w:rsidP="00A861EC">
      <w:pPr>
        <w:pStyle w:val="ZARTzmartartykuempunktem"/>
        <w:spacing w:line="240" w:lineRule="auto"/>
        <w:ind w:left="0"/>
        <w:rPr>
          <w:sz w:val="20"/>
        </w:rPr>
      </w:pPr>
      <w:r w:rsidRPr="00A861EC">
        <w:rPr>
          <w:sz w:val="20"/>
        </w:rPr>
        <w:t>„Art. 66d. Kto nie wykonuje orzeczenia sądowego w przedmiocie odebrania osoby podlegającej władzy rodzicielskiej lub pozostającej pod opieką podlega karze ograniczenia wolności albo grzywny. Przepis stosuje się odpowiednio do orzeczenia sądowego w przedmiocie odebrania osoby podlegającej władzy rodzicielskiej lub pozostającej pod opieką w sprawie prowadzonej na podstawie konwencji haskiej z 1980 r.</w:t>
      </w:r>
    </w:p>
    <w:p w14:paraId="36C3B2A3" w14:textId="77777777" w:rsidR="00A861EC" w:rsidRPr="00A861EC" w:rsidRDefault="00A861EC" w:rsidP="00A861EC">
      <w:pPr>
        <w:pStyle w:val="ZARTzmartartykuempunktem"/>
        <w:spacing w:line="240" w:lineRule="auto"/>
        <w:ind w:left="0"/>
        <w:rPr>
          <w:sz w:val="20"/>
        </w:rPr>
      </w:pPr>
      <w:r w:rsidRPr="00A861EC">
        <w:rPr>
          <w:sz w:val="20"/>
        </w:rPr>
        <w:t>Art. 66e. Kto ukrywa lub pomaga w ukryciu osoby, skutkiem czego utrudnia bądź uniemożliwia wykonanie orzeczenia sądowego w przedmiocie odebrania osoby podlegającej władzy rodzicielskiej lub pozostającej pod opieką podlega karze ograniczenia wolności albo grzywny. Przepis stosuje się odpowiednio do orzeczenia sądowego w przedmiocie odebrania osoby podlegającej władzy rodzicielskiej lub pozostającej pod opieką w sprawie prowadzonej na podstawie konwencji haskiej z 1980 r.</w:t>
      </w:r>
    </w:p>
    <w:p w14:paraId="0CA8DBC7" w14:textId="77777777" w:rsidR="00A861EC" w:rsidRPr="00A861EC" w:rsidRDefault="00A861EC" w:rsidP="00A861EC">
      <w:pPr>
        <w:pStyle w:val="ZARTzmartartykuempunktem"/>
        <w:spacing w:line="240" w:lineRule="auto"/>
        <w:ind w:left="0"/>
        <w:rPr>
          <w:sz w:val="20"/>
        </w:rPr>
      </w:pPr>
      <w:r w:rsidRPr="00A861EC">
        <w:rPr>
          <w:sz w:val="20"/>
        </w:rPr>
        <w:t>Art. 66f. Kto uporczywie nie wykonuje albo niewłaściwie wykonuje swoje obowiązki wynikające z postanowienia sądu o kontaktach albo ugody zawartej przed sądem albo przed mediatorem w przedmiocie kontaktów z dzieckiem podlega karze ograniczenia wolności albo grzywny.”.</w:t>
      </w:r>
    </w:p>
  </w:footnote>
  <w:footnote w:id="2">
    <w:p w14:paraId="45041C7D" w14:textId="77777777" w:rsidR="0037246B" w:rsidRDefault="0037246B">
      <w:pPr>
        <w:pStyle w:val="Tekstprzypisudolnego"/>
      </w:pPr>
      <w:r>
        <w:rPr>
          <w:rStyle w:val="Odwoanieprzypisudolnego"/>
        </w:rPr>
        <w:footnoteRef/>
      </w:r>
      <w:r>
        <w:t xml:space="preserve"> W piśmie przewodnim propozycja</w:t>
      </w:r>
      <w:r w:rsidR="00A861EC">
        <w:t>: wprowadzenie do kodeksu karnego art. 244 d k.k. o treści:</w:t>
      </w:r>
    </w:p>
    <w:p w14:paraId="49C5ADEB" w14:textId="77777777" w:rsidR="0037246B" w:rsidRDefault="0037246B">
      <w:pPr>
        <w:pStyle w:val="Tekstprzypisudolnego"/>
      </w:pPr>
      <w:r>
        <w:t xml:space="preserve">„§ 1. Kto uchyla się od wykonania wydanego przez sąd orzeczenia albo ugody zawartej przed sądem, albo ugody zawartej przed mediatorem, po jej zatwierdzeniu przez sąd, z zakresu prawa rodzinnego, opiekuńczego lub kurateli, podlega grzywnie, karze ograniczenia wolności albo pozbawienia wolności do lat 2. </w:t>
      </w:r>
    </w:p>
    <w:p w14:paraId="3FADE74A" w14:textId="77777777" w:rsidR="0037246B" w:rsidRDefault="0037246B">
      <w:pPr>
        <w:pStyle w:val="Tekstprzypisudolnego"/>
      </w:pPr>
      <w:r>
        <w:t>§ 2. Nie podlega karze sprawca przestępstwa określonego w § 1, który wykonał w całości orzeczenie albo ugodę, o których mowa w § 1, nie później niż przed upływem 30 dni od dnia pierwszego przesłuchania w charakterze podejrzanego.”.</w:t>
      </w:r>
    </w:p>
  </w:footnote>
  <w:footnote w:id="3">
    <w:p w14:paraId="0D8ED056" w14:textId="77777777" w:rsidR="00C01FA7" w:rsidRPr="00C01FA7" w:rsidRDefault="00C01FA7" w:rsidP="00866614">
      <w:pPr>
        <w:rPr>
          <w:rFonts w:eastAsia="Times New Roman"/>
          <w:sz w:val="20"/>
          <w:szCs w:val="20"/>
        </w:rPr>
      </w:pPr>
      <w:r w:rsidRPr="00C01FA7">
        <w:rPr>
          <w:rStyle w:val="Odwoanieprzypisudolnego"/>
          <w:sz w:val="20"/>
          <w:szCs w:val="20"/>
        </w:rPr>
        <w:footnoteRef/>
      </w:r>
      <w:r w:rsidRPr="00C01FA7">
        <w:rPr>
          <w:sz w:val="20"/>
          <w:szCs w:val="20"/>
        </w:rPr>
        <w:t xml:space="preserve"> </w:t>
      </w:r>
      <w:r w:rsidRPr="00C01FA7">
        <w:rPr>
          <w:rFonts w:eastAsia="Times New Roman"/>
          <w:sz w:val="20"/>
          <w:szCs w:val="20"/>
        </w:rPr>
        <w:t>Wyrok SN, z dnia 14 lutego 2019 r., V KK 42/18, LEX nr 2619350.</w:t>
      </w:r>
      <w:r w:rsidR="008623A7">
        <w:rPr>
          <w:rFonts w:eastAsia="Times New Roman"/>
          <w:sz w:val="20"/>
          <w:szCs w:val="20"/>
        </w:rPr>
        <w:t xml:space="preserve"> </w:t>
      </w:r>
    </w:p>
  </w:footnote>
  <w:footnote w:id="4">
    <w:p w14:paraId="3ADB2D89" w14:textId="77777777" w:rsidR="0070574B" w:rsidRPr="009C768A" w:rsidRDefault="0070574B">
      <w:pPr>
        <w:pStyle w:val="Tekstprzypisudolnego"/>
        <w:rPr>
          <w:szCs w:val="20"/>
        </w:rPr>
      </w:pPr>
      <w:r>
        <w:rPr>
          <w:rStyle w:val="Odwoanieprzypisudolnego"/>
        </w:rPr>
        <w:footnoteRef/>
      </w:r>
      <w:r>
        <w:t xml:space="preserve"> Por.</w:t>
      </w:r>
      <w:r w:rsidR="003866EC">
        <w:t>:</w:t>
      </w:r>
      <w:r>
        <w:t xml:space="preserve"> K. Buczkowski, K. Drapała, Porwania rodzicielskie – analiza umorzeń i odmów wszczęcia postępowania w sprawach o przestępstwo z art. 211 k.k., Prawo w Działaniu. Sprawy Karne 18/2014, s. 125 oraz D. Dajnowicz-</w:t>
      </w:r>
      <w:proofErr w:type="spellStart"/>
      <w:r>
        <w:t>Piesiecka</w:t>
      </w:r>
      <w:proofErr w:type="spellEnd"/>
      <w:r>
        <w:t xml:space="preserve">, </w:t>
      </w:r>
      <w:r w:rsidR="003866EC">
        <w:t>Porwania rodzicielskie w świetle polskiego orzecznictwa karnego w ujęciu prawnym i kryminologicznym (na podstawie badań aktowych), Dziecko Krzywdzone. Teoria, badania, praktyka Vol. 15 Nr 4 (2016</w:t>
      </w:r>
      <w:r w:rsidR="003866EC" w:rsidRPr="009C768A">
        <w:rPr>
          <w:szCs w:val="20"/>
        </w:rPr>
        <w:t>), s. 65-86.</w:t>
      </w:r>
    </w:p>
  </w:footnote>
  <w:footnote w:id="5">
    <w:p w14:paraId="056EC6C0" w14:textId="77777777" w:rsidR="009C768A" w:rsidRPr="009C768A" w:rsidRDefault="009C768A">
      <w:pPr>
        <w:pStyle w:val="Tekstprzypisudolnego"/>
      </w:pPr>
      <w:r w:rsidRPr="009C768A">
        <w:rPr>
          <w:rStyle w:val="Odwoanieprzypisudolnego"/>
          <w:szCs w:val="20"/>
        </w:rPr>
        <w:footnoteRef/>
      </w:r>
      <w:r w:rsidRPr="009C768A">
        <w:rPr>
          <w:szCs w:val="20"/>
        </w:rPr>
        <w:t xml:space="preserve"> </w:t>
      </w:r>
      <w:r w:rsidRPr="009C768A">
        <w:rPr>
          <w:szCs w:val="20"/>
          <w:shd w:val="clear" w:color="auto" w:fill="FFFFFF"/>
        </w:rPr>
        <w:t xml:space="preserve">J. Majewski, Granice kryminalizacji uprowadzenia lub zatrzymania dziecka przez ojca albo matkę </w:t>
      </w:r>
      <w:r>
        <w:rPr>
          <w:szCs w:val="20"/>
          <w:shd w:val="clear" w:color="auto" w:fill="FFFFFF"/>
        </w:rPr>
        <w:t>[</w:t>
      </w:r>
      <w:r w:rsidRPr="009C768A">
        <w:rPr>
          <w:szCs w:val="20"/>
          <w:shd w:val="clear" w:color="auto" w:fill="FFFFFF"/>
        </w:rPr>
        <w:t>w:</w:t>
      </w:r>
      <w:r>
        <w:rPr>
          <w:szCs w:val="20"/>
          <w:shd w:val="clear" w:color="auto" w:fill="FFFFFF"/>
        </w:rPr>
        <w:t>]</w:t>
      </w:r>
      <w:r w:rsidRPr="009C768A">
        <w:rPr>
          <w:szCs w:val="20"/>
          <w:shd w:val="clear" w:color="auto" w:fill="FFFFFF"/>
        </w:rPr>
        <w:t xml:space="preserve"> Zagadnienia teorii i nauczania prawa karnego. Kara łączna. Księga Jubileuszowa Profesor Marii Szewczyk, red.    W.   Górowski, P. Kardas, T. Sroka, W. Wróbel, Warszawa, s. 263-264.</w:t>
      </w:r>
      <w:r w:rsidR="005C6D06">
        <w:rPr>
          <w:szCs w:val="20"/>
          <w:shd w:val="clear" w:color="auto" w:fill="FFFFFF"/>
        </w:rPr>
        <w:t xml:space="preserve"> </w:t>
      </w:r>
      <w:r w:rsidR="005C6D06">
        <w:rPr>
          <w:rFonts w:eastAsia="Times New Roman"/>
          <w:szCs w:val="20"/>
        </w:rPr>
        <w:t xml:space="preserve">Por. też: J. Kosonoga-Zygmunt, Odpowiedzialność karna rodziców za uprowadzenie lub zatrzymanie małoletniego dziecka (art. 211 k.k.), </w:t>
      </w:r>
      <w:proofErr w:type="spellStart"/>
      <w:r w:rsidR="005C6D06">
        <w:rPr>
          <w:rFonts w:eastAsia="Times New Roman"/>
          <w:szCs w:val="20"/>
        </w:rPr>
        <w:t>Ius</w:t>
      </w:r>
      <w:proofErr w:type="spellEnd"/>
      <w:r w:rsidR="005C6D06">
        <w:rPr>
          <w:rFonts w:eastAsia="Times New Roman"/>
          <w:szCs w:val="20"/>
        </w:rPr>
        <w:t xml:space="preserve"> Novum 3/2021, s. 14-15.</w:t>
      </w:r>
    </w:p>
  </w:footnote>
  <w:footnote w:id="6">
    <w:p w14:paraId="05CB6F66" w14:textId="77777777" w:rsidR="003C6E92" w:rsidRPr="009C768A" w:rsidRDefault="003C6E92" w:rsidP="003C6E92">
      <w:pPr>
        <w:pStyle w:val="Tekstprzypisudolnego"/>
        <w:rPr>
          <w:szCs w:val="20"/>
        </w:rPr>
      </w:pPr>
      <w:r w:rsidRPr="009C768A">
        <w:rPr>
          <w:rStyle w:val="Odwoanieprzypisudolnego"/>
          <w:szCs w:val="20"/>
        </w:rPr>
        <w:footnoteRef/>
      </w:r>
      <w:r w:rsidRPr="009C768A">
        <w:rPr>
          <w:szCs w:val="20"/>
        </w:rPr>
        <w:t xml:space="preserve"> K. Buczkowski, K. Drapała, Porwania rodzicielskie – analiza umorzeń i odmów wszczęcia postępowania w sprawach o przestępstwo z art. 211 k.k., Prawo w Działaniu. Sprawy Karne 18/2014, s. 111-112; M. Mozgawa, M. Kulik, A. </w:t>
      </w:r>
      <w:proofErr w:type="spellStart"/>
      <w:r w:rsidRPr="009C768A">
        <w:rPr>
          <w:szCs w:val="20"/>
        </w:rPr>
        <w:t>Szczekala</w:t>
      </w:r>
      <w:proofErr w:type="spellEnd"/>
      <w:r w:rsidRPr="009C768A">
        <w:rPr>
          <w:szCs w:val="20"/>
        </w:rPr>
        <w:t>, Przestępstwo uprowadzenia lub zatrzymania małoletniego lub osoby nieporadnej – art. 211 k.k. (ze szczególnym uwzględnieniem tzw. uprowadzeń rodzicielskich), „Prawo w Działaniu” 2013/16, s. 18</w:t>
      </w:r>
    </w:p>
  </w:footnote>
  <w:footnote w:id="7">
    <w:p w14:paraId="687D3FA5" w14:textId="77777777" w:rsidR="00CD25C3" w:rsidRDefault="00CD25C3" w:rsidP="00CD25C3">
      <w:pPr>
        <w:pStyle w:val="Tekstprzypisudolnego"/>
      </w:pPr>
      <w:r>
        <w:rPr>
          <w:rStyle w:val="Odwoanieprzypisudolnego"/>
        </w:rPr>
        <w:footnoteRef/>
      </w:r>
      <w:r>
        <w:t xml:space="preserve"> V. Konarska-</w:t>
      </w:r>
      <w:proofErr w:type="spellStart"/>
      <w:r>
        <w:t>Wrzosek</w:t>
      </w:r>
      <w:proofErr w:type="spellEnd"/>
      <w:r>
        <w:t>, Uprowadzenie lub zatrzymanie osoby małoletniej lub nieporadnej, w: System prawa karnego. Przestępstwa przeciwko dobrom indywidualnym, J. Warylewski (red.), Warszawa 2012, t. 10, s. 999.</w:t>
      </w:r>
    </w:p>
  </w:footnote>
  <w:footnote w:id="8">
    <w:p w14:paraId="27FF817F" w14:textId="77777777" w:rsidR="003C32FD" w:rsidRDefault="003C32FD" w:rsidP="003C32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1372D">
        <w:t>A</w:t>
      </w:r>
      <w:r>
        <w:t>rt. 598</w:t>
      </w:r>
      <w:bookmarkStart w:id="1" w:name="_Hlk183017890"/>
      <w:r>
        <w:rPr>
          <w:rStyle w:val="IGindeksgrny"/>
        </w:rPr>
        <w:t>6</w:t>
      </w:r>
      <w:bookmarkEnd w:id="1"/>
      <w:r>
        <w:rPr>
          <w:rStyle w:val="IGindeksgrny"/>
        </w:rPr>
        <w:t xml:space="preserve"> </w:t>
      </w:r>
      <w:r>
        <w:rPr>
          <w:rStyle w:val="IGindeksgrny"/>
          <w:vertAlign w:val="baseline"/>
        </w:rPr>
        <w:t>k.p.c.</w:t>
      </w:r>
      <w:r>
        <w:t>:</w:t>
      </w:r>
    </w:p>
    <w:p w14:paraId="1017B5D6" w14:textId="77777777" w:rsidR="003C32FD" w:rsidRPr="006E617D" w:rsidRDefault="003C32FD" w:rsidP="003C32FD">
      <w:pPr>
        <w:pStyle w:val="ZUSTzmustartykuempunktem"/>
        <w:spacing w:line="240" w:lineRule="auto"/>
        <w:ind w:left="0"/>
        <w:rPr>
          <w:rFonts w:ascii="Times New Roman" w:hAnsi="Times New Roman" w:cs="Times New Roman"/>
          <w:sz w:val="20"/>
        </w:rPr>
      </w:pPr>
      <w:r w:rsidRPr="006E617D">
        <w:rPr>
          <w:rFonts w:ascii="Times New Roman" w:hAnsi="Times New Roman" w:cs="Times New Roman"/>
          <w:sz w:val="20"/>
        </w:rPr>
        <w:t>„§ 2. Sąd nie wymierzy grzywny, jeżeli osoba, o której mowa w § 1, swoim zachowaniem nie przyczyniła się do niewykonania czynności i dołożyła wszelkich starań, aby obowiązek określony w postanowieniu, o którym mowa w art. 598</w:t>
      </w:r>
      <w:r w:rsidRPr="006E617D">
        <w:rPr>
          <w:rStyle w:val="IGindeksgrny"/>
          <w:rFonts w:ascii="Times New Roman" w:hAnsi="Times New Roman" w:cs="Times New Roman"/>
          <w:sz w:val="20"/>
        </w:rPr>
        <w:t xml:space="preserve">5 </w:t>
      </w:r>
      <w:r w:rsidRPr="006E617D">
        <w:rPr>
          <w:rFonts w:ascii="Times New Roman" w:hAnsi="Times New Roman" w:cs="Times New Roman"/>
          <w:sz w:val="20"/>
        </w:rPr>
        <w:t>§ 1 lub 2 był wykonany.</w:t>
      </w:r>
    </w:p>
    <w:p w14:paraId="78A79E44" w14:textId="77777777" w:rsidR="003C32FD" w:rsidRPr="006E617D" w:rsidRDefault="003C32FD" w:rsidP="003C32FD">
      <w:pPr>
        <w:pStyle w:val="ZUSTzmustartykuempunktem"/>
        <w:spacing w:line="240" w:lineRule="auto"/>
        <w:ind w:left="0"/>
        <w:rPr>
          <w:rFonts w:ascii="Times New Roman" w:hAnsi="Times New Roman" w:cs="Times New Roman"/>
          <w:sz w:val="20"/>
        </w:rPr>
      </w:pPr>
      <w:r w:rsidRPr="006E617D">
        <w:rPr>
          <w:rFonts w:ascii="Times New Roman" w:hAnsi="Times New Roman" w:cs="Times New Roman"/>
          <w:sz w:val="20"/>
        </w:rPr>
        <w:t>§ 3. Grzywnę, o której mowa w § 1, sąd ustala uwzględniając sytuację majątkową zobowiązanego.</w:t>
      </w:r>
    </w:p>
    <w:p w14:paraId="516F9A80" w14:textId="77777777" w:rsidR="003C32FD" w:rsidRPr="006E617D" w:rsidRDefault="003C32FD" w:rsidP="003C32FD">
      <w:pPr>
        <w:pStyle w:val="ZUSTzmustartykuempunktem"/>
        <w:spacing w:line="240" w:lineRule="auto"/>
        <w:ind w:left="0"/>
        <w:rPr>
          <w:rFonts w:ascii="Times New Roman" w:hAnsi="Times New Roman" w:cs="Times New Roman"/>
          <w:sz w:val="20"/>
        </w:rPr>
      </w:pPr>
      <w:r w:rsidRPr="006E617D">
        <w:rPr>
          <w:rFonts w:ascii="Times New Roman" w:hAnsi="Times New Roman" w:cs="Times New Roman"/>
          <w:sz w:val="20"/>
        </w:rPr>
        <w:t>§ 4. Na postanowienie sądu przysługuje zażalenie do innego składu sądu pierwszej instancji, który wydał zaskarżone postanowienie.</w:t>
      </w:r>
    </w:p>
    <w:p w14:paraId="41870DD2" w14:textId="77777777" w:rsidR="003C32FD" w:rsidRDefault="003C32FD" w:rsidP="003C32FD">
      <w:pPr>
        <w:pStyle w:val="Tekstprzypisudolnego"/>
        <w:ind w:firstLine="510"/>
      </w:pPr>
      <w:r w:rsidRPr="006E617D">
        <w:rPr>
          <w:szCs w:val="20"/>
        </w:rPr>
        <w:t>§ 5. Prawomocne postanowienie sądu, w którym wymierzono grzywnę, jest tytułem wykonawczym bez potrzeby nadawania mu klauzuli wykonalności.</w:t>
      </w:r>
    </w:p>
  </w:footnote>
  <w:footnote w:id="9">
    <w:p w14:paraId="752A0BA6" w14:textId="77777777" w:rsidR="00A56A8B" w:rsidRDefault="00A56A8B">
      <w:pPr>
        <w:pStyle w:val="Tekstprzypisudolnego"/>
      </w:pPr>
      <w:r>
        <w:rPr>
          <w:rStyle w:val="Odwoanieprzypisudolnego"/>
        </w:rPr>
        <w:footnoteRef/>
      </w:r>
      <w:r>
        <w:t xml:space="preserve"> Uzasadnienie projektu, s.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FA7"/>
    <w:multiLevelType w:val="hybridMultilevel"/>
    <w:tmpl w:val="F9C0D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3FB5"/>
    <w:multiLevelType w:val="hybridMultilevel"/>
    <w:tmpl w:val="7820D292"/>
    <w:lvl w:ilvl="0" w:tplc="B6FA0B5C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A79"/>
    <w:multiLevelType w:val="hybridMultilevel"/>
    <w:tmpl w:val="0D141FC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28151">
    <w:abstractNumId w:val="0"/>
  </w:num>
  <w:num w:numId="2" w16cid:durableId="328019715">
    <w:abstractNumId w:val="1"/>
  </w:num>
  <w:num w:numId="3" w16cid:durableId="1497066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DF"/>
    <w:rsid w:val="000658D5"/>
    <w:rsid w:val="00085946"/>
    <w:rsid w:val="000C1491"/>
    <w:rsid w:val="000C7B19"/>
    <w:rsid w:val="000E3FDB"/>
    <w:rsid w:val="00102815"/>
    <w:rsid w:val="001406ED"/>
    <w:rsid w:val="0015494E"/>
    <w:rsid w:val="001C097A"/>
    <w:rsid w:val="001C5FAB"/>
    <w:rsid w:val="001C6989"/>
    <w:rsid w:val="001E299B"/>
    <w:rsid w:val="001F76C1"/>
    <w:rsid w:val="00256DC3"/>
    <w:rsid w:val="002775C2"/>
    <w:rsid w:val="002813F4"/>
    <w:rsid w:val="00287ED5"/>
    <w:rsid w:val="00291AA6"/>
    <w:rsid w:val="0037246B"/>
    <w:rsid w:val="003853A8"/>
    <w:rsid w:val="003866EC"/>
    <w:rsid w:val="003C32FD"/>
    <w:rsid w:val="003C6E92"/>
    <w:rsid w:val="003D42D9"/>
    <w:rsid w:val="00413405"/>
    <w:rsid w:val="00496CFE"/>
    <w:rsid w:val="004A2219"/>
    <w:rsid w:val="004D16B0"/>
    <w:rsid w:val="004E0414"/>
    <w:rsid w:val="00501664"/>
    <w:rsid w:val="00520741"/>
    <w:rsid w:val="00534D37"/>
    <w:rsid w:val="00552086"/>
    <w:rsid w:val="005A6685"/>
    <w:rsid w:val="005C6D06"/>
    <w:rsid w:val="005E20B8"/>
    <w:rsid w:val="00612A7B"/>
    <w:rsid w:val="006238CB"/>
    <w:rsid w:val="00625999"/>
    <w:rsid w:val="00647774"/>
    <w:rsid w:val="006510FC"/>
    <w:rsid w:val="006565B0"/>
    <w:rsid w:val="006725B8"/>
    <w:rsid w:val="00696C1B"/>
    <w:rsid w:val="006D4249"/>
    <w:rsid w:val="006E05A5"/>
    <w:rsid w:val="006E617D"/>
    <w:rsid w:val="00704BE1"/>
    <w:rsid w:val="0070574B"/>
    <w:rsid w:val="007258EB"/>
    <w:rsid w:val="00754C0C"/>
    <w:rsid w:val="00755B22"/>
    <w:rsid w:val="00796C2D"/>
    <w:rsid w:val="007D6D18"/>
    <w:rsid w:val="007F6CCB"/>
    <w:rsid w:val="00806C93"/>
    <w:rsid w:val="00826EB5"/>
    <w:rsid w:val="00845464"/>
    <w:rsid w:val="008623A7"/>
    <w:rsid w:val="00866614"/>
    <w:rsid w:val="008C03B4"/>
    <w:rsid w:val="008C145F"/>
    <w:rsid w:val="00903CA0"/>
    <w:rsid w:val="0094272C"/>
    <w:rsid w:val="00953154"/>
    <w:rsid w:val="009558DF"/>
    <w:rsid w:val="009601DC"/>
    <w:rsid w:val="00965BF8"/>
    <w:rsid w:val="00983390"/>
    <w:rsid w:val="009A13BB"/>
    <w:rsid w:val="009B5800"/>
    <w:rsid w:val="009C768A"/>
    <w:rsid w:val="00A1372D"/>
    <w:rsid w:val="00A43EC8"/>
    <w:rsid w:val="00A56A8B"/>
    <w:rsid w:val="00A861EC"/>
    <w:rsid w:val="00AC2D8E"/>
    <w:rsid w:val="00B5273C"/>
    <w:rsid w:val="00BB239D"/>
    <w:rsid w:val="00BD4B92"/>
    <w:rsid w:val="00C01FA7"/>
    <w:rsid w:val="00C1689B"/>
    <w:rsid w:val="00C40201"/>
    <w:rsid w:val="00CD25C3"/>
    <w:rsid w:val="00CD57D4"/>
    <w:rsid w:val="00CF2CA1"/>
    <w:rsid w:val="00CF2CD7"/>
    <w:rsid w:val="00D11C0F"/>
    <w:rsid w:val="00D23CA9"/>
    <w:rsid w:val="00D66E85"/>
    <w:rsid w:val="00E2166D"/>
    <w:rsid w:val="00E30AF0"/>
    <w:rsid w:val="00E447C8"/>
    <w:rsid w:val="00E83D91"/>
    <w:rsid w:val="00E959F5"/>
    <w:rsid w:val="00EA1F5B"/>
    <w:rsid w:val="00EE5C41"/>
    <w:rsid w:val="00F31052"/>
    <w:rsid w:val="00F65862"/>
    <w:rsid w:val="00F95E6B"/>
    <w:rsid w:val="00FD4A18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4C89"/>
  <w15:chartTrackingRefBased/>
  <w15:docId w15:val="{3DA59FE9-7219-984A-9B22-DFE06440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6ED"/>
    <w:pPr>
      <w:jc w:val="both"/>
    </w:pPr>
    <w:rPr>
      <w:rFonts w:ascii="Times New Roman" w:eastAsia="MS Mincho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58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58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58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8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58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58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58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406E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1406ED"/>
    <w:rPr>
      <w:rFonts w:ascii="Times New Roman" w:eastAsia="MS Mincho" w:hAnsi="Times New Roman" w:cs="Times New Roman"/>
      <w:kern w:val="0"/>
      <w:sz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558D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58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58DF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58DF"/>
    <w:rPr>
      <w:rFonts w:eastAsiaTheme="majorEastAsia" w:cstheme="majorBidi"/>
      <w:i/>
      <w:iCs/>
      <w:color w:val="2F5496" w:themeColor="accent1" w:themeShade="BF"/>
      <w:kern w:val="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58DF"/>
    <w:rPr>
      <w:rFonts w:eastAsiaTheme="majorEastAsia" w:cstheme="majorBidi"/>
      <w:color w:val="2F5496" w:themeColor="accent1" w:themeShade="BF"/>
      <w:kern w:val="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58DF"/>
    <w:rPr>
      <w:rFonts w:eastAsiaTheme="majorEastAsia" w:cstheme="majorBidi"/>
      <w:i/>
      <w:iCs/>
      <w:color w:val="595959" w:themeColor="text1" w:themeTint="A6"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58DF"/>
    <w:rPr>
      <w:rFonts w:eastAsiaTheme="majorEastAsia" w:cstheme="majorBidi"/>
      <w:color w:val="595959" w:themeColor="text1" w:themeTint="A6"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58DF"/>
    <w:rPr>
      <w:rFonts w:eastAsiaTheme="majorEastAsia" w:cstheme="majorBidi"/>
      <w:i/>
      <w:iCs/>
      <w:color w:val="272727" w:themeColor="text1" w:themeTint="D8"/>
      <w:kern w:val="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58DF"/>
    <w:rPr>
      <w:rFonts w:eastAsiaTheme="majorEastAsia" w:cstheme="majorBidi"/>
      <w:color w:val="272727" w:themeColor="text1" w:themeTint="D8"/>
      <w:kern w:val="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55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58D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58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58D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558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58DF"/>
    <w:rPr>
      <w:rFonts w:ascii="Times New Roman" w:eastAsia="MS Mincho" w:hAnsi="Times New Roman" w:cs="Times New Roman"/>
      <w:i/>
      <w:iCs/>
      <w:color w:val="404040" w:themeColor="text1" w:themeTint="BF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558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58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5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58DF"/>
    <w:rPr>
      <w:rFonts w:ascii="Times New Roman" w:eastAsia="MS Mincho" w:hAnsi="Times New Roman" w:cs="Times New Roman"/>
      <w:i/>
      <w:iCs/>
      <w:color w:val="2F5496" w:themeColor="accent1" w:themeShade="BF"/>
      <w:kern w:val="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558DF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246B"/>
    <w:rPr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A861E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861EC"/>
    <w:pPr>
      <w:spacing w:before="0"/>
      <w:ind w:left="510"/>
    </w:pPr>
  </w:style>
  <w:style w:type="character" w:customStyle="1" w:styleId="Ppogrubienie">
    <w:name w:val="_P_ – pogrubienie"/>
    <w:basedOn w:val="Domylnaczcionkaakapitu"/>
    <w:uiPriority w:val="1"/>
    <w:qFormat/>
    <w:rsid w:val="00A861EC"/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6E617D"/>
    <w:rPr>
      <w:b w:val="0"/>
      <w:i w:val="0"/>
      <w:vanish w:val="0"/>
      <w:spacing w:val="0"/>
      <w:vertAlign w:val="superscript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6E617D"/>
    <w:pPr>
      <w:spacing w:line="360" w:lineRule="auto"/>
      <w:ind w:left="1497" w:hanging="476"/>
    </w:pPr>
    <w:rPr>
      <w:rFonts w:ascii="Times" w:eastAsiaTheme="minorEastAsia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E617D"/>
  </w:style>
  <w:style w:type="character" w:customStyle="1" w:styleId="ng-binding">
    <w:name w:val="ng-binding"/>
    <w:basedOn w:val="Domylnaczcionkaakapitu"/>
    <w:rsid w:val="00C01FA7"/>
  </w:style>
  <w:style w:type="character" w:customStyle="1" w:styleId="ng-scope">
    <w:name w:val="ng-scope"/>
    <w:basedOn w:val="Domylnaczcionkaakapitu"/>
    <w:rsid w:val="00C01FA7"/>
  </w:style>
  <w:style w:type="paragraph" w:customStyle="1" w:styleId="p1">
    <w:name w:val="p1"/>
    <w:basedOn w:val="Normalny"/>
    <w:rsid w:val="00F65862"/>
    <w:pPr>
      <w:jc w:val="left"/>
    </w:pPr>
    <w:rPr>
      <w:rFonts w:ascii="Helvetica" w:eastAsia="Times New Roman" w:hAnsi="Helvetica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F65862"/>
  </w:style>
  <w:style w:type="paragraph" w:styleId="Stopka">
    <w:name w:val="footer"/>
    <w:basedOn w:val="Normalny"/>
    <w:link w:val="StopkaZnak"/>
    <w:uiPriority w:val="99"/>
    <w:unhideWhenUsed/>
    <w:rsid w:val="00612A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2A7B"/>
    <w:rPr>
      <w:rFonts w:ascii="Times New Roman" w:eastAsia="MS Mincho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612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Sitarz</dc:creator>
  <cp:keywords/>
  <dc:description/>
  <cp:lastModifiedBy>Wiraszka-Bereza Beata  (DPK)</cp:lastModifiedBy>
  <cp:revision>2</cp:revision>
  <dcterms:created xsi:type="dcterms:W3CDTF">2025-05-19T09:57:00Z</dcterms:created>
  <dcterms:modified xsi:type="dcterms:W3CDTF">2025-05-19T09:57:00Z</dcterms:modified>
</cp:coreProperties>
</file>