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C8100" w14:textId="77777777" w:rsidR="001041EF" w:rsidRDefault="001041EF" w:rsidP="001041EF">
      <w:pPr>
        <w:pStyle w:val="Tytu"/>
        <w:jc w:val="center"/>
        <w:rPr>
          <w:rFonts w:asciiTheme="minorHAnsi" w:hAnsiTheme="minorHAnsi" w:cstheme="minorHAnsi"/>
          <w:b/>
        </w:rPr>
      </w:pPr>
    </w:p>
    <w:p w14:paraId="0CDDCEAB" w14:textId="77777777" w:rsidR="001041EF" w:rsidRDefault="001041EF" w:rsidP="001041EF">
      <w:pPr>
        <w:pStyle w:val="Tytu"/>
        <w:jc w:val="center"/>
        <w:rPr>
          <w:rFonts w:asciiTheme="minorHAnsi" w:hAnsiTheme="minorHAnsi" w:cstheme="minorHAnsi"/>
          <w:b/>
        </w:rPr>
      </w:pPr>
    </w:p>
    <w:p w14:paraId="344E3EBA" w14:textId="77777777" w:rsidR="001041EF" w:rsidRDefault="001041EF" w:rsidP="001041EF">
      <w:pPr>
        <w:pStyle w:val="Tytu"/>
        <w:jc w:val="center"/>
        <w:rPr>
          <w:rFonts w:asciiTheme="minorHAnsi" w:hAnsiTheme="minorHAnsi" w:cstheme="minorHAnsi"/>
          <w:b/>
        </w:rPr>
      </w:pPr>
    </w:p>
    <w:p w14:paraId="38C93FC9" w14:textId="77777777" w:rsidR="001041EF" w:rsidRDefault="001041EF" w:rsidP="001041EF">
      <w:pPr>
        <w:pStyle w:val="Tytu"/>
        <w:jc w:val="center"/>
        <w:rPr>
          <w:rFonts w:asciiTheme="minorHAnsi" w:hAnsiTheme="minorHAnsi" w:cstheme="minorHAnsi"/>
          <w:b/>
        </w:rPr>
      </w:pPr>
    </w:p>
    <w:p w14:paraId="20F6C064" w14:textId="77777777" w:rsidR="000371FB" w:rsidRPr="001041EF" w:rsidRDefault="00034182" w:rsidP="001041EF">
      <w:pPr>
        <w:pStyle w:val="Tytu"/>
        <w:jc w:val="center"/>
        <w:rPr>
          <w:rFonts w:asciiTheme="minorHAnsi" w:hAnsiTheme="minorHAnsi" w:cstheme="minorHAnsi"/>
          <w:b/>
        </w:rPr>
      </w:pPr>
      <w:r w:rsidRPr="001041EF">
        <w:rPr>
          <w:rFonts w:asciiTheme="minorHAnsi" w:hAnsiTheme="minorHAnsi" w:cstheme="minorHAnsi"/>
          <w:b/>
        </w:rPr>
        <w:t>MINISTERSTWO SPRAW WEWNĘTRZNYCH I ADMINISTRACJI</w:t>
      </w:r>
    </w:p>
    <w:p w14:paraId="689C303B" w14:textId="77777777" w:rsidR="00034182" w:rsidRDefault="00034182" w:rsidP="001041EF">
      <w:pPr>
        <w:spacing w:line="276" w:lineRule="auto"/>
        <w:rPr>
          <w:b/>
          <w:sz w:val="52"/>
          <w:szCs w:val="52"/>
        </w:rPr>
      </w:pPr>
    </w:p>
    <w:p w14:paraId="4AF32ADD" w14:textId="77777777" w:rsidR="00034182" w:rsidRPr="00034182" w:rsidRDefault="00034182" w:rsidP="00F54DE7">
      <w:pPr>
        <w:spacing w:line="276" w:lineRule="auto"/>
        <w:jc w:val="center"/>
        <w:rPr>
          <w:sz w:val="36"/>
          <w:szCs w:val="36"/>
        </w:rPr>
      </w:pPr>
    </w:p>
    <w:p w14:paraId="6DC03B8C" w14:textId="77777777" w:rsidR="00034182" w:rsidRDefault="00034182" w:rsidP="00F54DE7">
      <w:pPr>
        <w:spacing w:line="276" w:lineRule="auto"/>
        <w:jc w:val="center"/>
        <w:rPr>
          <w:sz w:val="36"/>
          <w:szCs w:val="36"/>
        </w:rPr>
      </w:pPr>
      <w:r w:rsidRPr="00034182">
        <w:rPr>
          <w:sz w:val="36"/>
          <w:szCs w:val="36"/>
        </w:rPr>
        <w:t>Plan działania na rzecz poprawy zapewnienia dostępności osobom ze szczególnymi potrzebami</w:t>
      </w:r>
    </w:p>
    <w:p w14:paraId="5B23C96E" w14:textId="06F37A20" w:rsidR="00980C9D" w:rsidRDefault="00980C9D" w:rsidP="00F54DE7">
      <w:pPr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2021-2025</w:t>
      </w:r>
    </w:p>
    <w:p w14:paraId="02B94CD8" w14:textId="77777777" w:rsidR="00034182" w:rsidRDefault="00034182" w:rsidP="00F54DE7">
      <w:pPr>
        <w:spacing w:line="276" w:lineRule="auto"/>
        <w:jc w:val="center"/>
        <w:rPr>
          <w:sz w:val="36"/>
          <w:szCs w:val="36"/>
        </w:rPr>
      </w:pPr>
    </w:p>
    <w:p w14:paraId="19C5AC00" w14:textId="77777777" w:rsidR="00034182" w:rsidRDefault="00034182" w:rsidP="00F54DE7">
      <w:pPr>
        <w:spacing w:line="276" w:lineRule="auto"/>
        <w:jc w:val="center"/>
        <w:rPr>
          <w:sz w:val="36"/>
          <w:szCs w:val="36"/>
        </w:rPr>
      </w:pPr>
    </w:p>
    <w:p w14:paraId="2BB918BA" w14:textId="77777777" w:rsidR="00034182" w:rsidRDefault="00034182" w:rsidP="00F54DE7">
      <w:pPr>
        <w:spacing w:line="276" w:lineRule="auto"/>
        <w:jc w:val="center"/>
        <w:rPr>
          <w:sz w:val="36"/>
          <w:szCs w:val="36"/>
        </w:rPr>
      </w:pPr>
    </w:p>
    <w:p w14:paraId="76F66724" w14:textId="77777777" w:rsidR="00034182" w:rsidRDefault="00034182" w:rsidP="00F54DE7">
      <w:pPr>
        <w:spacing w:line="276" w:lineRule="auto"/>
        <w:jc w:val="center"/>
        <w:rPr>
          <w:sz w:val="36"/>
          <w:szCs w:val="36"/>
        </w:rPr>
      </w:pPr>
    </w:p>
    <w:p w14:paraId="65DFCC88" w14:textId="77777777" w:rsidR="00034182" w:rsidRDefault="00034182" w:rsidP="00F54DE7">
      <w:pPr>
        <w:spacing w:line="276" w:lineRule="auto"/>
        <w:jc w:val="center"/>
        <w:rPr>
          <w:sz w:val="36"/>
          <w:szCs w:val="36"/>
        </w:rPr>
      </w:pPr>
    </w:p>
    <w:p w14:paraId="534E6EBE" w14:textId="77777777" w:rsidR="00034182" w:rsidRDefault="00034182" w:rsidP="001041EF">
      <w:pPr>
        <w:spacing w:line="276" w:lineRule="auto"/>
        <w:rPr>
          <w:sz w:val="36"/>
          <w:szCs w:val="36"/>
        </w:rPr>
      </w:pPr>
    </w:p>
    <w:p w14:paraId="6BAE11AA" w14:textId="77777777" w:rsidR="001041EF" w:rsidRDefault="001041EF" w:rsidP="001041EF">
      <w:pPr>
        <w:spacing w:line="276" w:lineRule="auto"/>
        <w:rPr>
          <w:sz w:val="36"/>
          <w:szCs w:val="36"/>
        </w:rPr>
      </w:pPr>
    </w:p>
    <w:p w14:paraId="0FE88745" w14:textId="77777777" w:rsidR="001041EF" w:rsidRDefault="001041EF" w:rsidP="001041EF">
      <w:pPr>
        <w:spacing w:line="276" w:lineRule="auto"/>
        <w:rPr>
          <w:sz w:val="36"/>
          <w:szCs w:val="36"/>
        </w:rPr>
      </w:pPr>
    </w:p>
    <w:p w14:paraId="3FF44A46" w14:textId="77777777" w:rsidR="001041EF" w:rsidRDefault="001041EF" w:rsidP="001041EF">
      <w:pPr>
        <w:spacing w:line="276" w:lineRule="auto"/>
        <w:rPr>
          <w:sz w:val="36"/>
          <w:szCs w:val="36"/>
        </w:rPr>
      </w:pPr>
    </w:p>
    <w:p w14:paraId="02FB4CC3" w14:textId="035EECC6" w:rsidR="00034182" w:rsidRDefault="001041EF" w:rsidP="00F54DE7">
      <w:pPr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c</w:t>
      </w:r>
      <w:r w:rsidR="00034182">
        <w:rPr>
          <w:sz w:val="36"/>
          <w:szCs w:val="36"/>
        </w:rPr>
        <w:t>zerwiec 2021</w:t>
      </w:r>
    </w:p>
    <w:p w14:paraId="54506831" w14:textId="77777777" w:rsidR="00786A6D" w:rsidRDefault="00786A6D" w:rsidP="00F54DE7">
      <w:pPr>
        <w:spacing w:line="276" w:lineRule="auto"/>
        <w:rPr>
          <w:rFonts w:cstheme="minorHAnsi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625061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476E36" w14:textId="7EFF4920" w:rsidR="001041EF" w:rsidRPr="001041EF" w:rsidRDefault="001041EF">
          <w:pPr>
            <w:pStyle w:val="Nagwekspisutreci"/>
            <w:rPr>
              <w:rFonts w:asciiTheme="minorHAnsi" w:hAnsiTheme="minorHAnsi" w:cstheme="minorHAnsi"/>
              <w:b/>
              <w:color w:val="auto"/>
            </w:rPr>
          </w:pPr>
          <w:r w:rsidRPr="001041EF">
            <w:rPr>
              <w:rFonts w:asciiTheme="minorHAnsi" w:hAnsiTheme="minorHAnsi" w:cstheme="minorHAnsi"/>
              <w:b/>
              <w:color w:val="auto"/>
            </w:rPr>
            <w:t>Spis tr</w:t>
          </w:r>
          <w:bookmarkStart w:id="0" w:name="_GoBack"/>
          <w:bookmarkEnd w:id="0"/>
          <w:r w:rsidRPr="001041EF">
            <w:rPr>
              <w:rFonts w:asciiTheme="minorHAnsi" w:hAnsiTheme="minorHAnsi" w:cstheme="minorHAnsi"/>
              <w:b/>
              <w:color w:val="auto"/>
            </w:rPr>
            <w:t>eści</w:t>
          </w:r>
        </w:p>
        <w:p w14:paraId="2E6F2925" w14:textId="77777777" w:rsidR="001041EF" w:rsidRPr="001041EF" w:rsidRDefault="001041EF" w:rsidP="001041EF">
          <w:pPr>
            <w:rPr>
              <w:lang w:eastAsia="pl-PL"/>
            </w:rPr>
          </w:pPr>
        </w:p>
        <w:p w14:paraId="7FC13BA1" w14:textId="77777777" w:rsidR="003A3A4A" w:rsidRDefault="001041E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8374188" w:history="1">
            <w:r w:rsidR="003A3A4A" w:rsidRPr="00FE2CE0">
              <w:rPr>
                <w:rStyle w:val="Hipercze"/>
                <w:rFonts w:cstheme="minorHAnsi"/>
                <w:b/>
                <w:noProof/>
              </w:rPr>
              <w:t>1.</w:t>
            </w:r>
            <w:r w:rsidR="003A3A4A">
              <w:rPr>
                <w:rFonts w:eastAsiaTheme="minorEastAsia"/>
                <w:noProof/>
                <w:lang w:eastAsia="pl-PL"/>
              </w:rPr>
              <w:tab/>
            </w:r>
            <w:r w:rsidR="003A3A4A" w:rsidRPr="00FE2CE0">
              <w:rPr>
                <w:rStyle w:val="Hipercze"/>
                <w:rFonts w:cstheme="minorHAnsi"/>
                <w:b/>
                <w:noProof/>
              </w:rPr>
              <w:t>Podstawa prawna</w:t>
            </w:r>
            <w:r w:rsidR="003A3A4A">
              <w:rPr>
                <w:noProof/>
                <w:webHidden/>
              </w:rPr>
              <w:tab/>
            </w:r>
            <w:r w:rsidR="003A3A4A">
              <w:rPr>
                <w:noProof/>
                <w:webHidden/>
              </w:rPr>
              <w:fldChar w:fldCharType="begin"/>
            </w:r>
            <w:r w:rsidR="003A3A4A">
              <w:rPr>
                <w:noProof/>
                <w:webHidden/>
              </w:rPr>
              <w:instrText xml:space="preserve"> PAGEREF _Toc78374188 \h </w:instrText>
            </w:r>
            <w:r w:rsidR="003A3A4A">
              <w:rPr>
                <w:noProof/>
                <w:webHidden/>
              </w:rPr>
            </w:r>
            <w:r w:rsidR="003A3A4A">
              <w:rPr>
                <w:noProof/>
                <w:webHidden/>
              </w:rPr>
              <w:fldChar w:fldCharType="separate"/>
            </w:r>
            <w:r w:rsidR="003A3A4A">
              <w:rPr>
                <w:noProof/>
                <w:webHidden/>
              </w:rPr>
              <w:t>2</w:t>
            </w:r>
            <w:r w:rsidR="003A3A4A">
              <w:rPr>
                <w:noProof/>
                <w:webHidden/>
              </w:rPr>
              <w:fldChar w:fldCharType="end"/>
            </w:r>
          </w:hyperlink>
        </w:p>
        <w:p w14:paraId="33198E7E" w14:textId="77777777" w:rsidR="003A3A4A" w:rsidRDefault="003A3A4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374189" w:history="1">
            <w:r w:rsidRPr="00FE2CE0">
              <w:rPr>
                <w:rStyle w:val="Hipercze"/>
                <w:rFonts w:cstheme="minorHAnsi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FE2CE0">
              <w:rPr>
                <w:rStyle w:val="Hipercze"/>
                <w:rFonts w:cstheme="minorHAnsi"/>
                <w:b/>
                <w:noProof/>
              </w:rPr>
              <w:t>Okres realizacji Planu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_Toc78374189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C4D1D" w14:textId="77777777" w:rsidR="003A3A4A" w:rsidRDefault="003A3A4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374190" w:history="1">
            <w:r w:rsidRPr="00FE2CE0">
              <w:rPr>
                <w:rStyle w:val="Hipercze"/>
                <w:rFonts w:cstheme="minorHAnsi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FE2CE0">
              <w:rPr>
                <w:rStyle w:val="Hipercze"/>
                <w:rFonts w:cstheme="minorHAnsi"/>
                <w:b/>
                <w:noProof/>
              </w:rPr>
              <w:t>Dotychczasowe działania podjęte przez MSWiA na rzecz zapewnienia dostępności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_Toc78374190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74D78" w14:textId="77777777" w:rsidR="003A3A4A" w:rsidRDefault="003A3A4A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374191" w:history="1">
            <w:r w:rsidRPr="00FE2CE0">
              <w:rPr>
                <w:rStyle w:val="Hipercze"/>
                <w:rFonts w:cstheme="minorHAnsi"/>
                <w:b/>
                <w:noProof/>
              </w:rPr>
              <w:t>I.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FE2CE0">
              <w:rPr>
                <w:rStyle w:val="Hipercze"/>
                <w:rFonts w:cstheme="minorHAnsi"/>
                <w:b/>
                <w:noProof/>
              </w:rPr>
              <w:t>Dostępność architektoniczna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_Toc78374191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3B8DB" w14:textId="77777777" w:rsidR="003A3A4A" w:rsidRDefault="003A3A4A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374192" w:history="1">
            <w:r w:rsidRPr="00FE2CE0">
              <w:rPr>
                <w:rStyle w:val="Hipercze"/>
                <w:rFonts w:cstheme="minorHAnsi"/>
                <w:b/>
                <w:noProof/>
              </w:rPr>
              <w:t>II.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FE2CE0">
              <w:rPr>
                <w:rStyle w:val="Hipercze"/>
                <w:rFonts w:cstheme="minorHAnsi"/>
                <w:b/>
                <w:noProof/>
              </w:rPr>
              <w:t>Dostępność cyfrowa oraz informacyjno-komunikacyjna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_Toc78374192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76F3E" w14:textId="77777777" w:rsidR="003A3A4A" w:rsidRDefault="003A3A4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374193" w:history="1">
            <w:r w:rsidRPr="00FE2CE0">
              <w:rPr>
                <w:rStyle w:val="Hipercze"/>
                <w:rFonts w:cstheme="minorHAnsi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FE2CE0">
              <w:rPr>
                <w:rStyle w:val="Hipercze"/>
                <w:rFonts w:cstheme="minorHAnsi"/>
                <w:b/>
                <w:noProof/>
              </w:rPr>
              <w:t>Zadania – dostępność architektoniczna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_Toc78374193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37483" w14:textId="77777777" w:rsidR="003A3A4A" w:rsidRDefault="003A3A4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374194" w:history="1">
            <w:r w:rsidRPr="00FE2CE0">
              <w:rPr>
                <w:rStyle w:val="Hipercze"/>
                <w:rFonts w:cstheme="minorHAnsi"/>
                <w:b/>
                <w:noProof/>
              </w:rPr>
              <w:t>5.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FE2CE0">
              <w:rPr>
                <w:rStyle w:val="Hipercze"/>
                <w:rFonts w:cstheme="minorHAnsi"/>
                <w:b/>
                <w:noProof/>
              </w:rPr>
              <w:t>Zadania – dostępność cyfrowa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_Toc78374194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9C15F" w14:textId="77777777" w:rsidR="003A3A4A" w:rsidRDefault="003A3A4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374195" w:history="1">
            <w:r w:rsidRPr="00FE2CE0">
              <w:rPr>
                <w:rStyle w:val="Hipercze"/>
                <w:rFonts w:cstheme="minorHAnsi"/>
                <w:b/>
                <w:noProof/>
              </w:rPr>
              <w:t>6.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FE2CE0">
              <w:rPr>
                <w:rStyle w:val="Hipercze"/>
                <w:rFonts w:cstheme="minorHAnsi"/>
                <w:b/>
                <w:noProof/>
              </w:rPr>
              <w:t>Zadania – dostępność informacyjno-komunikacyjna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_Toc78374195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95A3B" w14:textId="19D228A3" w:rsidR="001041EF" w:rsidRPr="001041EF" w:rsidRDefault="001041EF" w:rsidP="001041EF">
          <w:r>
            <w:rPr>
              <w:b/>
              <w:bCs/>
            </w:rPr>
            <w:fldChar w:fldCharType="end"/>
          </w:r>
        </w:p>
      </w:sdtContent>
    </w:sdt>
    <w:p w14:paraId="641EA22D" w14:textId="03F13D9C" w:rsidR="00B32D31" w:rsidRPr="00DB2FBD" w:rsidRDefault="00034182" w:rsidP="001041EF">
      <w:pPr>
        <w:pStyle w:val="Nagwek1"/>
        <w:numPr>
          <w:ilvl w:val="0"/>
          <w:numId w:val="20"/>
        </w:numPr>
        <w:rPr>
          <w:rFonts w:asciiTheme="minorHAnsi" w:hAnsiTheme="minorHAnsi" w:cstheme="minorHAnsi"/>
          <w:b/>
          <w:color w:val="auto"/>
        </w:rPr>
      </w:pPr>
      <w:bookmarkStart w:id="1" w:name="_Toc78374188"/>
      <w:r w:rsidRPr="00DB2FBD">
        <w:rPr>
          <w:rFonts w:asciiTheme="minorHAnsi" w:hAnsiTheme="minorHAnsi" w:cstheme="minorHAnsi"/>
          <w:b/>
          <w:color w:val="auto"/>
        </w:rPr>
        <w:t>Podstawa prawna</w:t>
      </w:r>
      <w:bookmarkEnd w:id="1"/>
      <w:r w:rsidRPr="00DB2FBD">
        <w:rPr>
          <w:rFonts w:asciiTheme="minorHAnsi" w:hAnsiTheme="minorHAnsi" w:cstheme="minorHAnsi"/>
          <w:b/>
          <w:color w:val="auto"/>
        </w:rPr>
        <w:t xml:space="preserve"> </w:t>
      </w:r>
    </w:p>
    <w:p w14:paraId="086ACAC3" w14:textId="77777777" w:rsidR="001041EF" w:rsidRPr="001041EF" w:rsidRDefault="001041EF" w:rsidP="001041EF"/>
    <w:p w14:paraId="1B3A3CC4" w14:textId="3A3B24AB" w:rsidR="0077478A" w:rsidRPr="00F54DE7" w:rsidRDefault="0077478A" w:rsidP="00700B7F">
      <w:pPr>
        <w:shd w:val="clear" w:color="auto" w:fill="FFFFFF"/>
        <w:spacing w:after="300" w:line="276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  <w:r w:rsidRPr="00F54DE7">
        <w:rPr>
          <w:rFonts w:eastAsia="Times New Roman" w:cs="Calibri"/>
          <w:bCs/>
          <w:color w:val="000000"/>
          <w:sz w:val="24"/>
          <w:szCs w:val="24"/>
          <w:lang w:eastAsia="pl-PL"/>
        </w:rPr>
        <w:t>Jednym z priorytetów obecnego rządu jest m.in. podejmowanie działań na rzecz osób ze szczególnymi potrzebami i tym samym zapewnienie im równego dostępu do usług, w tym korzystania z usług podmiotu publicznego, do dóbr oraz możliwości swobodnego udziału w</w:t>
      </w:r>
      <w:r w:rsidR="00700B7F">
        <w:rPr>
          <w:rFonts w:eastAsia="Times New Roman" w:cs="Calibri"/>
          <w:bCs/>
          <w:color w:val="000000"/>
          <w:sz w:val="24"/>
          <w:szCs w:val="24"/>
          <w:lang w:eastAsia="pl-PL"/>
        </w:rPr>
        <w:t> </w:t>
      </w:r>
      <w:r w:rsidRPr="00F54DE7">
        <w:rPr>
          <w:rFonts w:eastAsia="Times New Roman" w:cs="Calibri"/>
          <w:bCs/>
          <w:color w:val="000000"/>
          <w:sz w:val="24"/>
          <w:szCs w:val="24"/>
          <w:lang w:eastAsia="pl-PL"/>
        </w:rPr>
        <w:t>życiu publicznym i społecznym.</w:t>
      </w:r>
    </w:p>
    <w:p w14:paraId="2439F1B6" w14:textId="1E8517F1" w:rsidR="0077478A" w:rsidRPr="00F54DE7" w:rsidRDefault="0077478A" w:rsidP="00700B7F">
      <w:p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0F54DE7">
        <w:rPr>
          <w:rFonts w:eastAsia="Times New Roman" w:cs="Calibri"/>
          <w:sz w:val="24"/>
          <w:szCs w:val="24"/>
          <w:lang w:eastAsia="pl-PL"/>
        </w:rPr>
        <w:t xml:space="preserve">W tym celu 17 lipca 2018 r., uchwałą Rady Ministrów nr 102/2018, został ustanowiony </w:t>
      </w:r>
      <w:r w:rsidRPr="00F54DE7">
        <w:rPr>
          <w:rFonts w:eastAsia="Times New Roman" w:cs="Calibri"/>
          <w:b/>
          <w:sz w:val="24"/>
          <w:szCs w:val="24"/>
          <w:lang w:eastAsia="pl-PL"/>
        </w:rPr>
        <w:t>rządowy Program Dostępność Plus</w:t>
      </w:r>
      <w:r w:rsidRPr="00F54DE7">
        <w:rPr>
          <w:rFonts w:eastAsia="Times New Roman" w:cs="Calibri"/>
          <w:sz w:val="24"/>
          <w:szCs w:val="24"/>
          <w:lang w:eastAsia="pl-PL"/>
        </w:rPr>
        <w:t xml:space="preserve">, będący </w:t>
      </w:r>
      <w:r w:rsidRPr="00F54DE7">
        <w:rPr>
          <w:rFonts w:eastAsia="Times New Roman" w:cs="Calibri"/>
          <w:i/>
          <w:sz w:val="24"/>
          <w:szCs w:val="24"/>
          <w:lang w:eastAsia="pl-PL"/>
        </w:rPr>
        <w:t>de facto</w:t>
      </w:r>
      <w:r w:rsidRPr="00F54DE7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F54DE7">
        <w:rPr>
          <w:rFonts w:eastAsia="Times New Roman" w:cs="Calibri"/>
          <w:bCs/>
          <w:color w:val="000000"/>
          <w:sz w:val="24"/>
          <w:szCs w:val="24"/>
          <w:lang w:eastAsia="pl-PL"/>
        </w:rPr>
        <w:t>pierwszym, kompleksowym ujęciem tematyki dostępności w Polsce. Celem Programu jest zwiększenie dostępności architektonicznej, cyfrowej, informacyjno-komunikacyjnej, zapewnienie dostępności konkretnych usług i usuwanie barier w urzędach, szkołach, szpitalach, miejscach kultury, środkach komunikacji</w:t>
      </w:r>
      <w:r w:rsidR="00700B7F"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 </w:t>
      </w:r>
      <w:r w:rsidRPr="00F54DE7">
        <w:rPr>
          <w:rFonts w:eastAsia="Times New Roman" w:cs="Calibri"/>
          <w:bCs/>
          <w:color w:val="000000"/>
          <w:sz w:val="24"/>
          <w:szCs w:val="24"/>
          <w:lang w:eastAsia="pl-PL"/>
        </w:rPr>
        <w:t>i tym samym dostosowanie przestrzeni publicznej, architektury, transportu i produktów do wymagań wszystkich obywateli.</w:t>
      </w:r>
    </w:p>
    <w:p w14:paraId="5DFAAA08" w14:textId="77777777" w:rsidR="0077478A" w:rsidRPr="00F54DE7" w:rsidRDefault="0077478A" w:rsidP="00700B7F">
      <w:pPr>
        <w:suppressAutoHyphens/>
        <w:autoSpaceDE w:val="0"/>
        <w:autoSpaceDN w:val="0"/>
        <w:adjustRightInd w:val="0"/>
        <w:spacing w:after="0" w:line="276" w:lineRule="auto"/>
        <w:rPr>
          <w:rFonts w:eastAsia="Times New Roman" w:cs="Calibri"/>
          <w:bCs/>
          <w:sz w:val="24"/>
          <w:szCs w:val="24"/>
          <w:lang w:eastAsia="pl-PL"/>
        </w:rPr>
      </w:pPr>
    </w:p>
    <w:p w14:paraId="7459E9B7" w14:textId="7803EDE7" w:rsidR="0077478A" w:rsidRPr="00F54DE7" w:rsidRDefault="0077478A" w:rsidP="00700B7F">
      <w:pPr>
        <w:suppressAutoHyphens/>
        <w:autoSpaceDE w:val="0"/>
        <w:autoSpaceDN w:val="0"/>
        <w:adjustRightInd w:val="0"/>
        <w:spacing w:after="0" w:line="276" w:lineRule="auto"/>
        <w:rPr>
          <w:rFonts w:eastAsia="Times New Roman" w:cs="Calibri"/>
          <w:bCs/>
          <w:color w:val="000000"/>
          <w:sz w:val="24"/>
          <w:szCs w:val="24"/>
          <w:shd w:val="clear" w:color="auto" w:fill="FFFFFF"/>
          <w:lang w:eastAsia="pl-PL"/>
        </w:rPr>
      </w:pPr>
      <w:r w:rsidRPr="00F54DE7">
        <w:rPr>
          <w:rFonts w:eastAsia="Times New Roman" w:cs="Calibri"/>
          <w:bCs/>
          <w:color w:val="000000"/>
          <w:sz w:val="24"/>
          <w:szCs w:val="24"/>
          <w:shd w:val="clear" w:color="auto" w:fill="FFFFFF"/>
          <w:lang w:eastAsia="pl-PL"/>
        </w:rPr>
        <w:t>Dostrzegając potrzebę eliminacji występujących „barier” i w efekcie poprawienia sytuacji osób z</w:t>
      </w:r>
      <w:r w:rsidR="00F54DE7" w:rsidRPr="00F54DE7">
        <w:rPr>
          <w:rFonts w:eastAsia="Times New Roman" w:cs="Calibri"/>
          <w:bCs/>
          <w:color w:val="000000"/>
          <w:sz w:val="24"/>
          <w:szCs w:val="24"/>
          <w:shd w:val="clear" w:color="auto" w:fill="FFFFFF"/>
          <w:lang w:eastAsia="pl-PL"/>
        </w:rPr>
        <w:t> </w:t>
      </w:r>
      <w:r w:rsidRPr="00F54DE7">
        <w:rPr>
          <w:rFonts w:eastAsia="Times New Roman" w:cs="Calibri"/>
          <w:bCs/>
          <w:color w:val="000000"/>
          <w:sz w:val="24"/>
          <w:szCs w:val="24"/>
          <w:shd w:val="clear" w:color="auto" w:fill="FFFFFF"/>
          <w:lang w:eastAsia="pl-PL"/>
        </w:rPr>
        <w:t>niepełnosprawnościami, rodzin z małymi dziećmi czy seniorów, korzystających codziennie z</w:t>
      </w:r>
      <w:r w:rsidR="00F54DE7" w:rsidRPr="00F54DE7">
        <w:rPr>
          <w:rFonts w:eastAsia="Times New Roman" w:cs="Calibri"/>
          <w:bCs/>
          <w:color w:val="000000"/>
          <w:sz w:val="24"/>
          <w:szCs w:val="24"/>
          <w:shd w:val="clear" w:color="auto" w:fill="FFFFFF"/>
          <w:lang w:eastAsia="pl-PL"/>
        </w:rPr>
        <w:t> </w:t>
      </w:r>
      <w:r w:rsidRPr="00F54DE7">
        <w:rPr>
          <w:rFonts w:eastAsia="Times New Roman" w:cs="Calibri"/>
          <w:bCs/>
          <w:color w:val="000000"/>
          <w:sz w:val="24"/>
          <w:szCs w:val="24"/>
          <w:shd w:val="clear" w:color="auto" w:fill="FFFFFF"/>
          <w:lang w:eastAsia="pl-PL"/>
        </w:rPr>
        <w:t xml:space="preserve">przestrzeni publicznej, w której napotykają na liczne ograniczenia oraz uwzględniając fakt, że dostępność jest dla wielu z nich warunkiem prowadzenia niezależnego życia </w:t>
      </w:r>
      <w:r w:rsidR="00E957EA">
        <w:rPr>
          <w:rFonts w:eastAsia="Times New Roman" w:cs="Calibri"/>
          <w:bCs/>
          <w:color w:val="000000"/>
          <w:sz w:val="24"/>
          <w:szCs w:val="24"/>
          <w:shd w:val="clear" w:color="auto" w:fill="FFFFFF"/>
          <w:lang w:eastAsia="pl-PL"/>
        </w:rPr>
        <w:t>–</w:t>
      </w:r>
      <w:r w:rsidRPr="00F54DE7">
        <w:rPr>
          <w:rFonts w:eastAsia="Times New Roman" w:cs="Calibri"/>
          <w:bCs/>
          <w:color w:val="000000"/>
          <w:sz w:val="24"/>
          <w:szCs w:val="24"/>
          <w:shd w:val="clear" w:color="auto" w:fill="FFFFFF"/>
          <w:lang w:eastAsia="pl-PL"/>
        </w:rPr>
        <w:t xml:space="preserve"> w 2</w:t>
      </w:r>
      <w:r w:rsidR="00E957EA">
        <w:rPr>
          <w:rFonts w:eastAsia="Times New Roman" w:cs="Calibri"/>
          <w:bCs/>
          <w:color w:val="000000"/>
          <w:sz w:val="24"/>
          <w:szCs w:val="24"/>
          <w:shd w:val="clear" w:color="auto" w:fill="FFFFFF"/>
          <w:lang w:eastAsia="pl-PL"/>
        </w:rPr>
        <w:t>019 r. rząd przyjął dwie ustawy</w:t>
      </w:r>
      <w:r w:rsidRPr="00F54DE7">
        <w:rPr>
          <w:rFonts w:eastAsia="Times New Roman" w:cs="Calibri"/>
          <w:bCs/>
          <w:color w:val="000000"/>
          <w:sz w:val="24"/>
          <w:szCs w:val="24"/>
          <w:shd w:val="clear" w:color="auto" w:fill="FFFFFF"/>
          <w:lang w:eastAsia="pl-PL"/>
        </w:rPr>
        <w:t>:</w:t>
      </w:r>
    </w:p>
    <w:p w14:paraId="38681881" w14:textId="77777777" w:rsidR="0077478A" w:rsidRPr="00F54DE7" w:rsidRDefault="0077478A" w:rsidP="00700B7F">
      <w:pPr>
        <w:suppressAutoHyphens/>
        <w:autoSpaceDE w:val="0"/>
        <w:autoSpaceDN w:val="0"/>
        <w:adjustRightInd w:val="0"/>
        <w:spacing w:after="0" w:line="276" w:lineRule="auto"/>
        <w:rPr>
          <w:rFonts w:eastAsia="Times New Roman" w:cs="Calibri"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0C80CCA1" w14:textId="49CAB71F" w:rsidR="0077478A" w:rsidRPr="00F54DE7" w:rsidRDefault="0077478A" w:rsidP="00F54DE7">
      <w:pPr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0F54DE7">
        <w:rPr>
          <w:rFonts w:eastAsia="Times New Roman" w:cs="Calibri"/>
          <w:sz w:val="24"/>
          <w:szCs w:val="24"/>
          <w:lang w:eastAsia="pl-PL"/>
        </w:rPr>
        <w:t>u</w:t>
      </w:r>
      <w:r w:rsidRPr="00F54DE7">
        <w:rPr>
          <w:rFonts w:eastAsia="Times New Roman" w:cs="Calibri"/>
          <w:color w:val="000000"/>
          <w:sz w:val="24"/>
          <w:szCs w:val="24"/>
          <w:lang w:eastAsia="pl-PL"/>
        </w:rPr>
        <w:t xml:space="preserve">stawę z dnia 4 kwietnia 2019 r. </w:t>
      </w:r>
      <w:r w:rsidRPr="00F54DE7">
        <w:rPr>
          <w:rFonts w:eastAsia="Times New Roman" w:cs="Calibri"/>
          <w:i/>
          <w:color w:val="000000"/>
          <w:sz w:val="24"/>
          <w:szCs w:val="24"/>
          <w:lang w:eastAsia="pl-PL"/>
        </w:rPr>
        <w:t>o dostępności cyfrowej stron internetowych i</w:t>
      </w:r>
      <w:r w:rsidR="00F54DE7">
        <w:rPr>
          <w:rFonts w:eastAsia="Times New Roman" w:cs="Calibri"/>
          <w:i/>
          <w:color w:val="000000"/>
          <w:sz w:val="24"/>
          <w:szCs w:val="24"/>
          <w:lang w:eastAsia="pl-PL"/>
        </w:rPr>
        <w:t> </w:t>
      </w:r>
      <w:r w:rsidRPr="00F54DE7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aplikacji mobilnych podmiotów publicznych </w:t>
      </w:r>
      <w:r w:rsidRPr="00F54DE7">
        <w:rPr>
          <w:rFonts w:eastAsia="Times New Roman" w:cs="Calibri"/>
          <w:color w:val="000000"/>
          <w:sz w:val="24"/>
          <w:szCs w:val="24"/>
          <w:lang w:eastAsia="pl-PL"/>
        </w:rPr>
        <w:t>(</w:t>
      </w:r>
      <w:r w:rsidRPr="00F54DE7">
        <w:rPr>
          <w:rFonts w:eastAsia="Times New Roman" w:cs="Calibri"/>
          <w:sz w:val="24"/>
          <w:szCs w:val="24"/>
          <w:lang w:eastAsia="pl-PL"/>
        </w:rPr>
        <w:t>Dz. U. z 2019 r. poz. 848)</w:t>
      </w:r>
      <w:r w:rsidR="00E957EA">
        <w:rPr>
          <w:rFonts w:eastAsia="Times New Roman" w:cs="Calibri"/>
          <w:sz w:val="24"/>
          <w:szCs w:val="24"/>
          <w:lang w:eastAsia="pl-PL"/>
        </w:rPr>
        <w:t>;</w:t>
      </w:r>
    </w:p>
    <w:p w14:paraId="44370611" w14:textId="00DFF203" w:rsidR="0077478A" w:rsidRPr="00F54DE7" w:rsidRDefault="0077478A" w:rsidP="00F54DE7">
      <w:pPr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0F54DE7">
        <w:rPr>
          <w:rFonts w:eastAsia="Times New Roman" w:cs="Calibri"/>
          <w:sz w:val="24"/>
          <w:szCs w:val="24"/>
          <w:lang w:eastAsia="pl-PL"/>
        </w:rPr>
        <w:t xml:space="preserve">ustawę z dnia 19 lipca 2019 r. </w:t>
      </w:r>
      <w:r w:rsidRPr="00F54DE7">
        <w:rPr>
          <w:rFonts w:eastAsia="Times New Roman" w:cs="Calibri"/>
          <w:i/>
          <w:sz w:val="24"/>
          <w:szCs w:val="24"/>
          <w:lang w:eastAsia="pl-PL"/>
        </w:rPr>
        <w:t>o zapewnianiu dostępności osobom ze szczególnymi potrzebami</w:t>
      </w:r>
      <w:r w:rsidRPr="00F54DE7">
        <w:rPr>
          <w:rFonts w:eastAsia="Times New Roman" w:cs="Calibri"/>
          <w:sz w:val="24"/>
          <w:szCs w:val="24"/>
          <w:lang w:eastAsia="pl-PL"/>
        </w:rPr>
        <w:t xml:space="preserve"> (t.j. Dz. U. z 2020 r. poz. 1062)</w:t>
      </w:r>
      <w:r w:rsidR="00E957EA">
        <w:rPr>
          <w:rFonts w:eastAsia="Times New Roman" w:cs="Calibri"/>
          <w:sz w:val="24"/>
          <w:szCs w:val="24"/>
          <w:lang w:eastAsia="pl-PL"/>
        </w:rPr>
        <w:t>.</w:t>
      </w:r>
    </w:p>
    <w:p w14:paraId="0DF0A241" w14:textId="77777777" w:rsidR="0077478A" w:rsidRPr="00F54DE7" w:rsidRDefault="0077478A" w:rsidP="00F54DE7">
      <w:p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</w:p>
    <w:p w14:paraId="638D568D" w14:textId="77777777" w:rsidR="0077478A" w:rsidRDefault="0077478A" w:rsidP="00700B7F">
      <w:pPr>
        <w:suppressAutoHyphens/>
        <w:autoSpaceDE w:val="0"/>
        <w:autoSpaceDN w:val="0"/>
        <w:adjustRightInd w:val="0"/>
        <w:spacing w:after="0" w:line="276" w:lineRule="auto"/>
        <w:ind w:right="-284"/>
        <w:rPr>
          <w:rFonts w:eastAsia="Times New Roman" w:cs="Calibri"/>
          <w:bCs/>
          <w:sz w:val="24"/>
          <w:szCs w:val="24"/>
          <w:lang w:eastAsia="pl-PL"/>
        </w:rPr>
      </w:pPr>
      <w:r w:rsidRPr="00F54DE7">
        <w:rPr>
          <w:rFonts w:eastAsia="Times New Roman" w:cs="Calibri"/>
          <w:bCs/>
          <w:sz w:val="24"/>
          <w:szCs w:val="24"/>
          <w:lang w:eastAsia="pl-PL"/>
        </w:rPr>
        <w:lastRenderedPageBreak/>
        <w:t xml:space="preserve">Ustawa </w:t>
      </w:r>
      <w:r w:rsidRPr="00F54DE7">
        <w:rPr>
          <w:rFonts w:eastAsia="Times New Roman" w:cs="Calibri"/>
          <w:bCs/>
          <w:i/>
          <w:sz w:val="24"/>
          <w:szCs w:val="24"/>
          <w:lang w:eastAsia="pl-PL"/>
        </w:rPr>
        <w:t>o zapewnianiu dostępności osobom ze szczególnymi potrzebami</w:t>
      </w:r>
      <w:r w:rsidRPr="00F54DE7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 </w:t>
      </w:r>
      <w:r w:rsidRPr="00F54DE7">
        <w:rPr>
          <w:rFonts w:eastAsia="Times New Roman" w:cs="Calibri"/>
          <w:bCs/>
          <w:sz w:val="24"/>
          <w:szCs w:val="24"/>
          <w:lang w:eastAsia="pl-PL"/>
        </w:rPr>
        <w:t xml:space="preserve">jest elementem realizacji rządowego Programu Dostępność Plus (PD+), ujętego w </w:t>
      </w:r>
      <w:r w:rsidRPr="00F54DE7">
        <w:rPr>
          <w:sz w:val="24"/>
          <w:szCs w:val="24"/>
        </w:rPr>
        <w:t xml:space="preserve">Strategii na </w:t>
      </w:r>
      <w:r w:rsidR="00F54DE7" w:rsidRPr="00DF3C3B">
        <w:rPr>
          <w:sz w:val="24"/>
          <w:szCs w:val="24"/>
        </w:rPr>
        <w:t>rz</w:t>
      </w:r>
      <w:r w:rsidRPr="00DF3C3B">
        <w:rPr>
          <w:sz w:val="24"/>
          <w:szCs w:val="24"/>
        </w:rPr>
        <w:t>ec</w:t>
      </w:r>
      <w:r w:rsidRPr="00F54DE7">
        <w:rPr>
          <w:sz w:val="24"/>
          <w:szCs w:val="24"/>
        </w:rPr>
        <w:t>z Odpowiedzialnego Rozwoju</w:t>
      </w:r>
      <w:r w:rsidRPr="00F54DE7">
        <w:rPr>
          <w:rFonts w:eastAsia="Times New Roman" w:cs="Calibri"/>
          <w:bCs/>
          <w:sz w:val="24"/>
          <w:szCs w:val="24"/>
          <w:lang w:eastAsia="pl-PL"/>
        </w:rPr>
        <w:t xml:space="preserve"> oraz elementem Strategii na rzecz Osób z</w:t>
      </w:r>
      <w:r w:rsidR="00F54DE7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F54DE7">
        <w:rPr>
          <w:rFonts w:eastAsia="Times New Roman" w:cs="Calibri"/>
          <w:bCs/>
          <w:sz w:val="24"/>
          <w:szCs w:val="24"/>
          <w:lang w:eastAsia="pl-PL"/>
        </w:rPr>
        <w:t xml:space="preserve">Niepełnosprawnościami. </w:t>
      </w:r>
    </w:p>
    <w:p w14:paraId="3CCB9076" w14:textId="6AEE5442" w:rsidR="00DF3C3B" w:rsidRDefault="00E957EA" w:rsidP="00F54DE7">
      <w:pPr>
        <w:suppressAutoHyphens/>
        <w:autoSpaceDE w:val="0"/>
        <w:autoSpaceDN w:val="0"/>
        <w:adjustRightInd w:val="0"/>
        <w:spacing w:after="0" w:line="276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Rozwiązania wskazane w </w:t>
      </w:r>
      <w:r w:rsidR="00DF3C3B" w:rsidRPr="001F19DE">
        <w:rPr>
          <w:sz w:val="24"/>
          <w:szCs w:val="24"/>
        </w:rPr>
        <w:t xml:space="preserve">w/w Ustawie konsumują zapisy </w:t>
      </w:r>
      <w:r w:rsidR="00DF3C3B" w:rsidRPr="001F19DE">
        <w:rPr>
          <w:i/>
          <w:sz w:val="24"/>
          <w:szCs w:val="24"/>
        </w:rPr>
        <w:t>„Konwencji o prawach osób niepełnosprawnych”</w:t>
      </w:r>
      <w:r w:rsidR="00DF3C3B" w:rsidRPr="001F19DE">
        <w:rPr>
          <w:sz w:val="24"/>
          <w:szCs w:val="24"/>
        </w:rPr>
        <w:t>, sporządzonej w Nowym Jorku dnia 13 grudnia 2006 r. (Dz. U. z 2012 r. poz. 1169). Zobowiązują one do zapewnienia osobom z niepełnosprawnościami, czy nawet szerzej - ze szczególnymi potrzebami - możliwości dostępu do budynków w sposób identyczny z innymi użytkownikami. Oprócz tego</w:t>
      </w:r>
      <w:r w:rsidR="00370666" w:rsidRPr="001F19DE">
        <w:rPr>
          <w:sz w:val="24"/>
          <w:szCs w:val="24"/>
        </w:rPr>
        <w:t xml:space="preserve"> </w:t>
      </w:r>
      <w:r w:rsidR="00370666" w:rsidRPr="001F19DE">
        <w:rPr>
          <w:rFonts w:eastAsia="Times New Roman" w:cs="Calibri"/>
          <w:bCs/>
          <w:sz w:val="24"/>
          <w:szCs w:val="24"/>
          <w:lang w:eastAsia="pl-PL"/>
        </w:rPr>
        <w:t xml:space="preserve">Ustawa </w:t>
      </w:r>
      <w:r w:rsidR="00370666" w:rsidRPr="001F19DE">
        <w:rPr>
          <w:rFonts w:eastAsia="Times New Roman" w:cs="Calibri"/>
          <w:bCs/>
          <w:i/>
          <w:sz w:val="24"/>
          <w:szCs w:val="24"/>
          <w:lang w:eastAsia="pl-PL"/>
        </w:rPr>
        <w:t xml:space="preserve">o zapewnianiu dostępności osobom ze szczególnymi potrzebami </w:t>
      </w:r>
      <w:r w:rsidR="00DF3C3B" w:rsidRPr="001F19DE">
        <w:rPr>
          <w:sz w:val="24"/>
          <w:szCs w:val="24"/>
        </w:rPr>
        <w:t>zobowiązuj</w:t>
      </w:r>
      <w:r w:rsidR="00370666" w:rsidRPr="001F19DE">
        <w:rPr>
          <w:sz w:val="24"/>
          <w:szCs w:val="24"/>
        </w:rPr>
        <w:t>e</w:t>
      </w:r>
      <w:r w:rsidR="00DF3C3B" w:rsidRPr="001F19DE">
        <w:rPr>
          <w:sz w:val="24"/>
          <w:szCs w:val="24"/>
        </w:rPr>
        <w:t xml:space="preserve"> podmioty publiczne do zapewnienia dostępności w zakresie</w:t>
      </w:r>
      <w:r w:rsidR="00370666" w:rsidRPr="001F19DE">
        <w:rPr>
          <w:sz w:val="24"/>
          <w:szCs w:val="24"/>
        </w:rPr>
        <w:t xml:space="preserve"> informacyjno-komunikacyjnym oraz</w:t>
      </w:r>
      <w:r w:rsidR="00DF3C3B" w:rsidRPr="001F19DE">
        <w:rPr>
          <w:sz w:val="24"/>
          <w:szCs w:val="24"/>
        </w:rPr>
        <w:t xml:space="preserve"> cyfrowym</w:t>
      </w:r>
      <w:r w:rsidR="00370666" w:rsidRPr="001F19DE">
        <w:rPr>
          <w:sz w:val="24"/>
          <w:szCs w:val="24"/>
        </w:rPr>
        <w:t>.</w:t>
      </w:r>
    </w:p>
    <w:p w14:paraId="7D8E608C" w14:textId="77777777" w:rsidR="00D90938" w:rsidRDefault="00D90938" w:rsidP="00F54DE7">
      <w:pPr>
        <w:suppressAutoHyphens/>
        <w:autoSpaceDE w:val="0"/>
        <w:autoSpaceDN w:val="0"/>
        <w:adjustRightInd w:val="0"/>
        <w:spacing w:after="0" w:line="276" w:lineRule="auto"/>
        <w:ind w:right="-142"/>
        <w:jc w:val="both"/>
        <w:rPr>
          <w:sz w:val="24"/>
          <w:szCs w:val="24"/>
        </w:rPr>
      </w:pPr>
    </w:p>
    <w:p w14:paraId="3172C635" w14:textId="54234B55" w:rsidR="0077478A" w:rsidRPr="00F54DE7" w:rsidRDefault="0077478A" w:rsidP="00F54DE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F54DE7">
        <w:rPr>
          <w:rFonts w:eastAsia="Times New Roman" w:cs="Calibri"/>
          <w:bCs/>
          <w:sz w:val="24"/>
          <w:szCs w:val="24"/>
          <w:lang w:eastAsia="pl-PL"/>
        </w:rPr>
        <w:t xml:space="preserve">Stosownie do postanowień art. 14 ust. 1 </w:t>
      </w:r>
      <w:r w:rsidRPr="00F54DE7">
        <w:rPr>
          <w:rFonts w:eastAsia="Times New Roman" w:cs="Calibri"/>
          <w:sz w:val="24"/>
          <w:szCs w:val="24"/>
          <w:lang w:eastAsia="pl-PL"/>
        </w:rPr>
        <w:t xml:space="preserve">ustawy z dnia 19 lipca 2019 r. </w:t>
      </w:r>
      <w:r w:rsidRPr="00F54DE7">
        <w:rPr>
          <w:rFonts w:eastAsia="Times New Roman" w:cs="Calibri"/>
          <w:i/>
          <w:sz w:val="24"/>
          <w:szCs w:val="24"/>
          <w:lang w:eastAsia="pl-PL"/>
        </w:rPr>
        <w:t>o zapewnianiu dostępności osobom ze szczególnymi potrzebami</w:t>
      </w:r>
      <w:r w:rsidR="00BE5DC7" w:rsidRPr="00F54DE7">
        <w:rPr>
          <w:rFonts w:eastAsia="Times New Roman" w:cs="Calibri"/>
          <w:sz w:val="24"/>
          <w:szCs w:val="24"/>
          <w:lang w:eastAsia="pl-PL"/>
        </w:rPr>
        <w:t xml:space="preserve"> każdy organ władzy publicznej ma obowiązek wyznaczenia koordynatora ds. dostępności, którego jednym z zadań jest – zgodnie z art. 14 ust. 2 pkt. 2 ustawy –</w:t>
      </w:r>
      <w:r w:rsidR="00E957EA">
        <w:rPr>
          <w:rFonts w:eastAsia="Times New Roman" w:cs="Calibri"/>
          <w:sz w:val="24"/>
          <w:szCs w:val="24"/>
          <w:lang w:eastAsia="pl-PL"/>
        </w:rPr>
        <w:t xml:space="preserve"> </w:t>
      </w:r>
      <w:r w:rsidR="00BE5DC7" w:rsidRPr="00F54DE7">
        <w:rPr>
          <w:rFonts w:eastAsia="Times New Roman" w:cs="Calibri"/>
          <w:sz w:val="24"/>
          <w:szCs w:val="24"/>
          <w:lang w:eastAsia="pl-PL"/>
        </w:rPr>
        <w:t xml:space="preserve">przygotowanie i koordynacja wdrożenia planu działania na rzecz poprawy zapewnienia dostępności osobom ze szczególnymi potrzebami. </w:t>
      </w:r>
    </w:p>
    <w:p w14:paraId="700F59FB" w14:textId="690DD052" w:rsidR="00786A6D" w:rsidRPr="00E957EA" w:rsidRDefault="00786A6D" w:rsidP="00F54DE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F54DE7">
        <w:rPr>
          <w:sz w:val="24"/>
          <w:szCs w:val="24"/>
        </w:rPr>
        <w:t xml:space="preserve">Plan ma za zadanie określenie kierunków niezbędnych zmian i wdrażanie rozwiązań, służących poprawie funkcjonowania podmiotu publicznego i zwiększania jego dostępności. </w:t>
      </w:r>
    </w:p>
    <w:p w14:paraId="34CC7CB3" w14:textId="24C25FFE" w:rsidR="00786A6D" w:rsidRPr="00E957EA" w:rsidRDefault="00786A6D" w:rsidP="001041EF">
      <w:pPr>
        <w:pStyle w:val="Nagwek1"/>
        <w:numPr>
          <w:ilvl w:val="0"/>
          <w:numId w:val="20"/>
        </w:numPr>
        <w:rPr>
          <w:rFonts w:asciiTheme="minorHAnsi" w:hAnsiTheme="minorHAnsi" w:cstheme="minorHAnsi"/>
          <w:b/>
          <w:color w:val="auto"/>
        </w:rPr>
      </w:pPr>
      <w:bookmarkStart w:id="2" w:name="_Toc78374189"/>
      <w:r w:rsidRPr="00E957EA">
        <w:rPr>
          <w:rFonts w:asciiTheme="minorHAnsi" w:hAnsiTheme="minorHAnsi" w:cstheme="minorHAnsi"/>
          <w:b/>
          <w:color w:val="auto"/>
        </w:rPr>
        <w:t>Okres realizacji Planu</w:t>
      </w:r>
      <w:bookmarkEnd w:id="2"/>
      <w:r w:rsidRPr="00E957EA">
        <w:rPr>
          <w:rFonts w:asciiTheme="minorHAnsi" w:hAnsiTheme="minorHAnsi" w:cstheme="minorHAnsi"/>
          <w:b/>
          <w:color w:val="auto"/>
        </w:rPr>
        <w:t xml:space="preserve"> </w:t>
      </w:r>
    </w:p>
    <w:p w14:paraId="5323F031" w14:textId="77777777" w:rsidR="001041EF" w:rsidRPr="001041EF" w:rsidRDefault="001041EF" w:rsidP="001041EF">
      <w:pPr>
        <w:pStyle w:val="Akapitzlist"/>
      </w:pPr>
    </w:p>
    <w:p w14:paraId="54A59E18" w14:textId="66C353C7" w:rsidR="00DF3C3B" w:rsidRDefault="008B23DE" w:rsidP="00700B7F">
      <w:pPr>
        <w:pStyle w:val="Default"/>
        <w:spacing w:line="276" w:lineRule="auto"/>
        <w:rPr>
          <w:rFonts w:asciiTheme="minorHAnsi" w:hAnsiTheme="minorHAnsi" w:cstheme="minorHAnsi"/>
        </w:rPr>
      </w:pPr>
      <w:r w:rsidRPr="00F54DE7">
        <w:rPr>
          <w:rFonts w:asciiTheme="minorHAnsi" w:hAnsiTheme="minorHAnsi" w:cstheme="minorHAnsi"/>
        </w:rPr>
        <w:t xml:space="preserve">Dla porządku należy dodać, że część zadań wskazanych w Planie będzie kontynuacją działań podjętych już wcześniej. </w:t>
      </w:r>
      <w:r w:rsidRPr="001F19DE">
        <w:rPr>
          <w:rFonts w:asciiTheme="minorHAnsi" w:hAnsiTheme="minorHAnsi" w:cstheme="minorHAnsi"/>
        </w:rPr>
        <w:t>Plan zakłada ramy czasowe do 2025 roku,</w:t>
      </w:r>
      <w:r w:rsidR="004A748E" w:rsidRPr="001F19DE">
        <w:rPr>
          <w:rFonts w:asciiTheme="minorHAnsi" w:hAnsiTheme="minorHAnsi" w:cstheme="minorHAnsi"/>
        </w:rPr>
        <w:t xml:space="preserve"> bowiem </w:t>
      </w:r>
      <w:r w:rsidR="00D90938">
        <w:rPr>
          <w:rFonts w:asciiTheme="minorHAnsi" w:hAnsiTheme="minorHAnsi" w:cstheme="minorHAnsi"/>
        </w:rPr>
        <w:t>–</w:t>
      </w:r>
      <w:r w:rsidR="00700B7F">
        <w:rPr>
          <w:rFonts w:asciiTheme="minorHAnsi" w:hAnsiTheme="minorHAnsi" w:cstheme="minorHAnsi"/>
        </w:rPr>
        <w:t xml:space="preserve"> </w:t>
      </w:r>
      <w:r w:rsidR="004A748E" w:rsidRPr="001F19DE">
        <w:rPr>
          <w:rFonts w:asciiTheme="minorHAnsi" w:hAnsiTheme="minorHAnsi" w:cstheme="minorHAnsi"/>
        </w:rPr>
        <w:t>zgodnie z art.</w:t>
      </w:r>
      <w:r w:rsidR="00700B7F">
        <w:rPr>
          <w:rFonts w:asciiTheme="minorHAnsi" w:hAnsiTheme="minorHAnsi" w:cstheme="minorHAnsi"/>
        </w:rPr>
        <w:t xml:space="preserve"> </w:t>
      </w:r>
      <w:r w:rsidRPr="001F19DE">
        <w:rPr>
          <w:rFonts w:asciiTheme="minorHAnsi" w:hAnsiTheme="minorHAnsi" w:cstheme="minorHAnsi"/>
        </w:rPr>
        <w:t>11 ust. 1 ustawy o zapewnieniu dostępności osobom ze szczególnymi potrzebami</w:t>
      </w:r>
      <w:r w:rsidR="004A748E" w:rsidRPr="001F19DE">
        <w:rPr>
          <w:rFonts w:asciiTheme="minorHAnsi" w:hAnsiTheme="minorHAnsi" w:cstheme="minorHAnsi"/>
        </w:rPr>
        <w:t xml:space="preserve"> </w:t>
      </w:r>
      <w:r w:rsidR="00D90938">
        <w:rPr>
          <w:rFonts w:asciiTheme="minorHAnsi" w:hAnsiTheme="minorHAnsi" w:cstheme="minorHAnsi"/>
        </w:rPr>
        <w:t>–</w:t>
      </w:r>
      <w:r w:rsidR="00700B7F">
        <w:rPr>
          <w:rFonts w:asciiTheme="minorHAnsi" w:hAnsiTheme="minorHAnsi" w:cstheme="minorHAnsi"/>
        </w:rPr>
        <w:t xml:space="preserve"> </w:t>
      </w:r>
      <w:r w:rsidR="004A748E" w:rsidRPr="001F19DE">
        <w:rPr>
          <w:rFonts w:asciiTheme="minorHAnsi" w:hAnsiTheme="minorHAnsi" w:cstheme="minorHAnsi"/>
        </w:rPr>
        <w:t xml:space="preserve">najpóźniej do 31 marca tego roku należy przekazać kolejny Raport. </w:t>
      </w:r>
    </w:p>
    <w:p w14:paraId="53D18F29" w14:textId="77777777" w:rsidR="00D90938" w:rsidRPr="001F19DE" w:rsidRDefault="00D90938" w:rsidP="00700B7F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3D8AF6D" w14:textId="1E73996C" w:rsidR="008B23DE" w:rsidRDefault="004D2D25" w:rsidP="00700B7F">
      <w:pPr>
        <w:pStyle w:val="Default"/>
        <w:spacing w:line="276" w:lineRule="auto"/>
        <w:rPr>
          <w:rFonts w:asciiTheme="minorHAnsi" w:hAnsiTheme="minorHAnsi" w:cstheme="minorHAnsi"/>
        </w:rPr>
      </w:pPr>
      <w:r w:rsidRPr="001F19DE">
        <w:rPr>
          <w:rFonts w:asciiTheme="minorHAnsi" w:hAnsiTheme="minorHAnsi" w:cstheme="minorHAnsi"/>
        </w:rPr>
        <w:t>Założeniem jest s</w:t>
      </w:r>
      <w:r w:rsidR="008B23DE" w:rsidRPr="001F19DE">
        <w:rPr>
          <w:rFonts w:asciiTheme="minorHAnsi" w:hAnsiTheme="minorHAnsi" w:cstheme="minorHAnsi"/>
        </w:rPr>
        <w:t>ukcesywne wprowadzanie zmian</w:t>
      </w:r>
      <w:r w:rsidR="00F54DE7" w:rsidRPr="001F19DE">
        <w:rPr>
          <w:rFonts w:asciiTheme="minorHAnsi" w:hAnsiTheme="minorHAnsi" w:cstheme="minorHAnsi"/>
        </w:rPr>
        <w:t xml:space="preserve"> </w:t>
      </w:r>
      <w:r w:rsidR="00F54DE7" w:rsidRPr="001F19DE">
        <w:rPr>
          <w:rFonts w:asciiTheme="minorHAnsi" w:hAnsiTheme="minorHAnsi" w:cstheme="minorHAnsi"/>
          <w:color w:val="auto"/>
        </w:rPr>
        <w:t>oraz dostosowań</w:t>
      </w:r>
      <w:r w:rsidR="008B23DE" w:rsidRPr="001F19DE">
        <w:rPr>
          <w:rFonts w:asciiTheme="minorHAnsi" w:hAnsiTheme="minorHAnsi" w:cstheme="minorHAnsi"/>
          <w:color w:val="auto"/>
        </w:rPr>
        <w:t>,</w:t>
      </w:r>
      <w:r w:rsidR="008B23DE" w:rsidRPr="001F19DE">
        <w:rPr>
          <w:rFonts w:asciiTheme="minorHAnsi" w:hAnsiTheme="minorHAnsi" w:cstheme="minorHAnsi"/>
        </w:rPr>
        <w:t xml:space="preserve"> poprzez realizację za</w:t>
      </w:r>
      <w:r w:rsidRPr="001F19DE">
        <w:rPr>
          <w:rFonts w:asciiTheme="minorHAnsi" w:hAnsiTheme="minorHAnsi" w:cstheme="minorHAnsi"/>
        </w:rPr>
        <w:t>dań</w:t>
      </w:r>
      <w:r w:rsidR="008B23DE" w:rsidRPr="001F19DE">
        <w:rPr>
          <w:rFonts w:asciiTheme="minorHAnsi" w:hAnsiTheme="minorHAnsi" w:cstheme="minorHAnsi"/>
        </w:rPr>
        <w:t xml:space="preserve"> ujętych w Planie, </w:t>
      </w:r>
      <w:r w:rsidRPr="001F19DE">
        <w:rPr>
          <w:rFonts w:asciiTheme="minorHAnsi" w:hAnsiTheme="minorHAnsi" w:cstheme="minorHAnsi"/>
        </w:rPr>
        <w:t xml:space="preserve">by </w:t>
      </w:r>
      <w:r w:rsidR="004A748E" w:rsidRPr="001F19DE">
        <w:rPr>
          <w:rFonts w:asciiTheme="minorHAnsi" w:hAnsiTheme="minorHAnsi" w:cstheme="minorHAnsi"/>
        </w:rPr>
        <w:t>po upływie 4 lat</w:t>
      </w:r>
      <w:r w:rsidR="00700B7F">
        <w:rPr>
          <w:rFonts w:asciiTheme="minorHAnsi" w:hAnsiTheme="minorHAnsi" w:cstheme="minorHAnsi"/>
        </w:rPr>
        <w:t xml:space="preserve"> </w:t>
      </w:r>
      <w:r w:rsidR="00D90938">
        <w:rPr>
          <w:rFonts w:asciiTheme="minorHAnsi" w:hAnsiTheme="minorHAnsi" w:cstheme="minorHAnsi"/>
        </w:rPr>
        <w:t>(</w:t>
      </w:r>
      <w:r w:rsidR="004A748E" w:rsidRPr="001F19DE">
        <w:rPr>
          <w:rFonts w:asciiTheme="minorHAnsi" w:hAnsiTheme="minorHAnsi" w:cstheme="minorHAnsi"/>
        </w:rPr>
        <w:t>marzec</w:t>
      </w:r>
      <w:r w:rsidR="00700B7F">
        <w:rPr>
          <w:rFonts w:asciiTheme="minorHAnsi" w:hAnsiTheme="minorHAnsi" w:cstheme="minorHAnsi"/>
        </w:rPr>
        <w:t xml:space="preserve"> </w:t>
      </w:r>
      <w:r w:rsidR="004A748E" w:rsidRPr="001F19DE">
        <w:rPr>
          <w:rFonts w:asciiTheme="minorHAnsi" w:hAnsiTheme="minorHAnsi" w:cstheme="minorHAnsi"/>
        </w:rPr>
        <w:t>2025</w:t>
      </w:r>
      <w:r w:rsidR="00D90938">
        <w:rPr>
          <w:rFonts w:asciiTheme="minorHAnsi" w:hAnsiTheme="minorHAnsi" w:cstheme="minorHAnsi"/>
        </w:rPr>
        <w:t xml:space="preserve"> r.</w:t>
      </w:r>
      <w:r w:rsidR="004A748E" w:rsidRPr="001F19DE">
        <w:rPr>
          <w:rFonts w:asciiTheme="minorHAnsi" w:hAnsiTheme="minorHAnsi" w:cstheme="minorHAnsi"/>
        </w:rPr>
        <w:t>) m</w:t>
      </w:r>
      <w:r w:rsidRPr="001F19DE">
        <w:rPr>
          <w:rFonts w:asciiTheme="minorHAnsi" w:hAnsiTheme="minorHAnsi" w:cstheme="minorHAnsi"/>
        </w:rPr>
        <w:t xml:space="preserve">ożna było dokonać </w:t>
      </w:r>
      <w:r w:rsidR="004A748E" w:rsidRPr="001F19DE">
        <w:rPr>
          <w:rFonts w:asciiTheme="minorHAnsi" w:hAnsiTheme="minorHAnsi" w:cstheme="minorHAnsi"/>
        </w:rPr>
        <w:t>porównania</w:t>
      </w:r>
      <w:r w:rsidRPr="001F19DE">
        <w:rPr>
          <w:rFonts w:asciiTheme="minorHAnsi" w:hAnsiTheme="minorHAnsi" w:cstheme="minorHAnsi"/>
        </w:rPr>
        <w:t xml:space="preserve"> do tzw. momentu wyjściowego (</w:t>
      </w:r>
      <w:r w:rsidR="004A748E" w:rsidRPr="001F19DE">
        <w:rPr>
          <w:rFonts w:asciiTheme="minorHAnsi" w:hAnsiTheme="minorHAnsi" w:cstheme="minorHAnsi"/>
        </w:rPr>
        <w:t xml:space="preserve">marzec </w:t>
      </w:r>
      <w:r w:rsidRPr="001F19DE">
        <w:rPr>
          <w:rFonts w:asciiTheme="minorHAnsi" w:hAnsiTheme="minorHAnsi" w:cstheme="minorHAnsi"/>
        </w:rPr>
        <w:t>2021</w:t>
      </w:r>
      <w:r w:rsidR="00D90938">
        <w:rPr>
          <w:rFonts w:asciiTheme="minorHAnsi" w:hAnsiTheme="minorHAnsi" w:cstheme="minorHAnsi"/>
        </w:rPr>
        <w:t xml:space="preserve"> </w:t>
      </w:r>
      <w:r w:rsidRPr="001F19DE">
        <w:rPr>
          <w:rFonts w:asciiTheme="minorHAnsi" w:hAnsiTheme="minorHAnsi" w:cstheme="minorHAnsi"/>
        </w:rPr>
        <w:t xml:space="preserve">r.). </w:t>
      </w:r>
    </w:p>
    <w:p w14:paraId="296E0A50" w14:textId="77777777" w:rsidR="00D90938" w:rsidRPr="001F19DE" w:rsidRDefault="00D90938" w:rsidP="00700B7F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D9F4734" w14:textId="6C1E1C28" w:rsidR="00345ABD" w:rsidRPr="001F19DE" w:rsidRDefault="00345ABD" w:rsidP="00700B7F">
      <w:pPr>
        <w:pStyle w:val="Default"/>
        <w:spacing w:line="276" w:lineRule="auto"/>
        <w:rPr>
          <w:rFonts w:asciiTheme="minorHAnsi" w:hAnsiTheme="minorHAnsi" w:cstheme="minorHAnsi"/>
        </w:rPr>
      </w:pPr>
      <w:r w:rsidRPr="001F19DE">
        <w:rPr>
          <w:rFonts w:asciiTheme="minorHAnsi" w:hAnsiTheme="minorHAnsi" w:cstheme="minorHAnsi"/>
        </w:rPr>
        <w:t>Do 31</w:t>
      </w:r>
      <w:r w:rsidR="00D90938">
        <w:rPr>
          <w:rFonts w:asciiTheme="minorHAnsi" w:hAnsiTheme="minorHAnsi" w:cstheme="minorHAnsi"/>
        </w:rPr>
        <w:t xml:space="preserve"> marca </w:t>
      </w:r>
      <w:r w:rsidRPr="001F19DE">
        <w:rPr>
          <w:rFonts w:asciiTheme="minorHAnsi" w:hAnsiTheme="minorHAnsi" w:cstheme="minorHAnsi"/>
        </w:rPr>
        <w:t>2025 r. koordynatorzy</w:t>
      </w:r>
      <w:r w:rsidR="00D90938">
        <w:rPr>
          <w:rFonts w:asciiTheme="minorHAnsi" w:hAnsiTheme="minorHAnsi" w:cstheme="minorHAnsi"/>
        </w:rPr>
        <w:t xml:space="preserve"> do spraw dostępności opracują „</w:t>
      </w:r>
      <w:r w:rsidRPr="001F19DE">
        <w:rPr>
          <w:rFonts w:asciiTheme="minorHAnsi" w:hAnsiTheme="minorHAnsi" w:cstheme="minorHAnsi"/>
        </w:rPr>
        <w:t>II Raport o stanie zapewniania dostępności osobom ze szczególnymi potrzebami”. Raport, po zatwierdzeniu przez Dyrektora Generalnego MSWiA, zostanie przekazany</w:t>
      </w:r>
      <w:r w:rsidR="00700B7F">
        <w:rPr>
          <w:rFonts w:asciiTheme="minorHAnsi" w:hAnsiTheme="minorHAnsi" w:cstheme="minorHAnsi"/>
        </w:rPr>
        <w:t xml:space="preserve"> </w:t>
      </w:r>
      <w:r w:rsidRPr="001F19DE">
        <w:rPr>
          <w:rFonts w:asciiTheme="minorHAnsi" w:hAnsiTheme="minorHAnsi" w:cstheme="minorHAnsi"/>
        </w:rPr>
        <w:t xml:space="preserve">ministrowi właściwemu </w:t>
      </w:r>
      <w:r w:rsidR="001E4A9A">
        <w:rPr>
          <w:rFonts w:asciiTheme="minorHAnsi" w:hAnsiTheme="minorHAnsi" w:cstheme="minorHAnsi"/>
        </w:rPr>
        <w:t>do spraw rozwoju regionalnego (</w:t>
      </w:r>
      <w:r w:rsidRPr="001F19DE">
        <w:rPr>
          <w:rFonts w:asciiTheme="minorHAnsi" w:hAnsiTheme="minorHAnsi" w:cstheme="minorHAnsi"/>
        </w:rPr>
        <w:t>via PS GUS) oraz zamieszczony na stronie podmiotowej BIP.</w:t>
      </w:r>
    </w:p>
    <w:p w14:paraId="2715C68E" w14:textId="27111D75" w:rsidR="00DF3C3B" w:rsidRPr="00EE7432" w:rsidRDefault="00441AB1" w:rsidP="00EE7432">
      <w:pPr>
        <w:pStyle w:val="Default"/>
        <w:spacing w:line="276" w:lineRule="auto"/>
        <w:rPr>
          <w:rFonts w:asciiTheme="minorHAnsi" w:hAnsiTheme="minorHAnsi" w:cstheme="minorHAnsi"/>
        </w:rPr>
      </w:pPr>
      <w:r w:rsidRPr="001F19DE">
        <w:rPr>
          <w:rFonts w:asciiTheme="minorHAnsi" w:hAnsiTheme="minorHAnsi" w:cstheme="minorHAnsi"/>
        </w:rPr>
        <w:t xml:space="preserve">Ponadto koordynatorzy będą prowadzili monitorowanie realizacji Planu oraz – w razie potrzeby </w:t>
      </w:r>
      <w:r w:rsidR="00EE7432">
        <w:rPr>
          <w:rFonts w:asciiTheme="minorHAnsi" w:hAnsiTheme="minorHAnsi" w:cstheme="minorHAnsi"/>
        </w:rPr>
        <w:t>–</w:t>
      </w:r>
      <w:r w:rsidRPr="001F19DE">
        <w:rPr>
          <w:rFonts w:asciiTheme="minorHAnsi" w:hAnsiTheme="minorHAnsi" w:cstheme="minorHAnsi"/>
        </w:rPr>
        <w:t xml:space="preserve"> dokonają jego ewentualnej aktualizacji. W ramach procesu monitoringu, koordynatorzy do spraw dostępności, do 30 listopada każdego roku,</w:t>
      </w:r>
      <w:r w:rsidR="006425AA" w:rsidRPr="001F19DE">
        <w:rPr>
          <w:rFonts w:asciiTheme="minorHAnsi" w:hAnsiTheme="minorHAnsi" w:cstheme="minorHAnsi"/>
        </w:rPr>
        <w:t xml:space="preserve"> następującego po sporządzeniu Raportu – przygotują </w:t>
      </w:r>
      <w:r w:rsidR="00370666" w:rsidRPr="001F19DE">
        <w:rPr>
          <w:rFonts w:asciiTheme="minorHAnsi" w:hAnsiTheme="minorHAnsi" w:cstheme="minorHAnsi"/>
        </w:rPr>
        <w:t xml:space="preserve">dla Dyrektora Generalnego MSWiA </w:t>
      </w:r>
      <w:r w:rsidR="006425AA" w:rsidRPr="001F19DE">
        <w:rPr>
          <w:rFonts w:asciiTheme="minorHAnsi" w:hAnsiTheme="minorHAnsi" w:cstheme="minorHAnsi"/>
        </w:rPr>
        <w:t>cykliczną informację</w:t>
      </w:r>
      <w:r w:rsidR="00700B7F">
        <w:rPr>
          <w:rFonts w:asciiTheme="minorHAnsi" w:hAnsiTheme="minorHAnsi" w:cstheme="minorHAnsi"/>
        </w:rPr>
        <w:t xml:space="preserve"> </w:t>
      </w:r>
      <w:r w:rsidR="006425AA" w:rsidRPr="001F19DE">
        <w:rPr>
          <w:rFonts w:asciiTheme="minorHAnsi" w:hAnsiTheme="minorHAnsi" w:cstheme="minorHAnsi"/>
        </w:rPr>
        <w:t>dot. zakresu realizowanych zadań</w:t>
      </w:r>
      <w:r w:rsidRPr="001F19DE">
        <w:rPr>
          <w:rFonts w:asciiTheme="minorHAnsi" w:hAnsiTheme="minorHAnsi" w:cstheme="minorHAnsi"/>
        </w:rPr>
        <w:t>.</w:t>
      </w:r>
    </w:p>
    <w:p w14:paraId="2E3A8D99" w14:textId="4A601E2F" w:rsidR="00416F5F" w:rsidRDefault="00416F5F" w:rsidP="001041EF">
      <w:pPr>
        <w:pStyle w:val="Nagwek1"/>
        <w:numPr>
          <w:ilvl w:val="0"/>
          <w:numId w:val="20"/>
        </w:numPr>
        <w:rPr>
          <w:rFonts w:asciiTheme="minorHAnsi" w:hAnsiTheme="minorHAnsi" w:cstheme="minorHAnsi"/>
          <w:b/>
          <w:color w:val="auto"/>
        </w:rPr>
      </w:pPr>
      <w:bookmarkStart w:id="3" w:name="_Toc78374190"/>
      <w:r w:rsidRPr="00EE7432">
        <w:rPr>
          <w:rFonts w:asciiTheme="minorHAnsi" w:hAnsiTheme="minorHAnsi" w:cstheme="minorHAnsi"/>
          <w:b/>
          <w:color w:val="auto"/>
        </w:rPr>
        <w:lastRenderedPageBreak/>
        <w:t>Dotychczasowe działania podjęte przez MSWiA na rzecz zapewnienia dostępności</w:t>
      </w:r>
      <w:bookmarkEnd w:id="3"/>
    </w:p>
    <w:p w14:paraId="149D7981" w14:textId="77777777" w:rsidR="00EE7432" w:rsidRPr="00EE7432" w:rsidRDefault="00EE7432" w:rsidP="00EE7432"/>
    <w:p w14:paraId="1756F410" w14:textId="45CF6D1E" w:rsidR="00416F5F" w:rsidRPr="00EE7432" w:rsidRDefault="003A3A4A" w:rsidP="00EE7432">
      <w:pPr>
        <w:pStyle w:val="Nagwek2"/>
        <w:numPr>
          <w:ilvl w:val="0"/>
          <w:numId w:val="21"/>
        </w:numPr>
        <w:rPr>
          <w:rFonts w:asciiTheme="minorHAnsi" w:hAnsiTheme="minorHAnsi" w:cstheme="minorHAnsi"/>
          <w:b/>
          <w:color w:val="auto"/>
        </w:rPr>
      </w:pPr>
      <w:bookmarkStart w:id="4" w:name="_Toc78374191"/>
      <w:r>
        <w:rPr>
          <w:rFonts w:asciiTheme="minorHAnsi" w:hAnsiTheme="minorHAnsi" w:cstheme="minorHAnsi"/>
          <w:b/>
          <w:color w:val="auto"/>
        </w:rPr>
        <w:t>Dostępność architektoniczna</w:t>
      </w:r>
      <w:bookmarkEnd w:id="4"/>
    </w:p>
    <w:p w14:paraId="7DDDC1BE" w14:textId="77777777" w:rsidR="00416F5F" w:rsidRPr="00565CF3" w:rsidRDefault="00416F5F" w:rsidP="00F54DE7">
      <w:pPr>
        <w:pStyle w:val="Default"/>
        <w:spacing w:line="276" w:lineRule="auto"/>
        <w:ind w:left="360"/>
        <w:rPr>
          <w:rFonts w:asciiTheme="minorHAnsi" w:hAnsiTheme="minorHAnsi" w:cstheme="minorHAnsi"/>
          <w:u w:val="single"/>
        </w:rPr>
      </w:pPr>
    </w:p>
    <w:p w14:paraId="3F5E99DC" w14:textId="6B90974F" w:rsidR="00416F5F" w:rsidRPr="004A748E" w:rsidRDefault="00416F5F" w:rsidP="00700B7F">
      <w:p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65CF3">
        <w:rPr>
          <w:rFonts w:eastAsia="Times New Roman" w:cstheme="minorHAnsi"/>
          <w:color w:val="1B1B1B"/>
          <w:sz w:val="24"/>
          <w:szCs w:val="24"/>
          <w:lang w:eastAsia="pl-PL"/>
        </w:rPr>
        <w:t xml:space="preserve">Ministerstwo Spraw Wewnętrznych i Administracji na terenie m. st. Warszawy </w:t>
      </w:r>
      <w:r w:rsidR="00565CF3" w:rsidRPr="004A748E">
        <w:rPr>
          <w:rFonts w:eastAsia="Times New Roman" w:cstheme="minorHAnsi"/>
          <w:sz w:val="24"/>
          <w:szCs w:val="24"/>
          <w:lang w:eastAsia="pl-PL"/>
        </w:rPr>
        <w:t xml:space="preserve">posiada </w:t>
      </w:r>
      <w:r w:rsidRPr="004A748E">
        <w:rPr>
          <w:rFonts w:eastAsia="Times New Roman" w:cstheme="minorHAnsi"/>
          <w:sz w:val="24"/>
          <w:szCs w:val="24"/>
          <w:lang w:eastAsia="pl-PL"/>
        </w:rPr>
        <w:t xml:space="preserve">kilka budynków, w których </w:t>
      </w:r>
      <w:r w:rsidR="00565CF3" w:rsidRPr="004A748E">
        <w:rPr>
          <w:rFonts w:eastAsia="Times New Roman" w:cstheme="minorHAnsi"/>
          <w:sz w:val="24"/>
          <w:szCs w:val="24"/>
          <w:lang w:eastAsia="pl-PL"/>
        </w:rPr>
        <w:t>prowadzona jest działalność podstawowa Ministerstwa, w tym obsługa klientów</w:t>
      </w:r>
      <w:r w:rsidRPr="004A748E">
        <w:rPr>
          <w:rFonts w:eastAsia="Times New Roman" w:cstheme="minorHAnsi"/>
          <w:sz w:val="24"/>
          <w:szCs w:val="24"/>
          <w:lang w:eastAsia="pl-PL"/>
        </w:rPr>
        <w:t>:</w:t>
      </w:r>
    </w:p>
    <w:p w14:paraId="2B416A82" w14:textId="77777777" w:rsidR="00416F5F" w:rsidRPr="00565CF3" w:rsidRDefault="00416F5F" w:rsidP="00F54DE7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851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565CF3">
        <w:rPr>
          <w:rFonts w:eastAsia="Times New Roman" w:cstheme="minorHAnsi"/>
          <w:color w:val="1B1B1B"/>
          <w:sz w:val="24"/>
          <w:szCs w:val="24"/>
          <w:lang w:eastAsia="pl-PL"/>
        </w:rPr>
        <w:t>przy ul. Batorego 5 w Warszawie,</w:t>
      </w:r>
    </w:p>
    <w:p w14:paraId="079FD20D" w14:textId="77777777" w:rsidR="00416F5F" w:rsidRPr="00565CF3" w:rsidRDefault="00416F5F" w:rsidP="00F54DE7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851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565CF3">
        <w:rPr>
          <w:rFonts w:eastAsia="Times New Roman" w:cstheme="minorHAnsi"/>
          <w:color w:val="1B1B1B"/>
          <w:sz w:val="24"/>
          <w:szCs w:val="24"/>
          <w:lang w:eastAsia="pl-PL"/>
        </w:rPr>
        <w:t>przy ul. Rakowieckiej 2a w Warszawie,</w:t>
      </w:r>
    </w:p>
    <w:p w14:paraId="1949E184" w14:textId="77777777" w:rsidR="00416F5F" w:rsidRPr="00565CF3" w:rsidRDefault="00416F5F" w:rsidP="00F54DE7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565CF3">
        <w:rPr>
          <w:rFonts w:eastAsia="Times New Roman" w:cstheme="minorHAnsi"/>
          <w:color w:val="1B1B1B"/>
          <w:sz w:val="24"/>
          <w:szCs w:val="24"/>
          <w:lang w:eastAsia="pl-PL"/>
        </w:rPr>
        <w:t>przy ul. Domaniewskiej 36/38 w Warszawie.</w:t>
      </w:r>
    </w:p>
    <w:p w14:paraId="425D3F8C" w14:textId="77777777" w:rsidR="00416F5F" w:rsidRPr="00565CF3" w:rsidRDefault="00416F5F" w:rsidP="00F54DE7">
      <w:pPr>
        <w:shd w:val="clear" w:color="auto" w:fill="FFFFFF"/>
        <w:spacing w:after="0" w:line="276" w:lineRule="auto"/>
        <w:ind w:left="851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3E8C81A8" w14:textId="77777777" w:rsidR="00EE7432" w:rsidRDefault="00416F5F" w:rsidP="00700B7F">
      <w:pPr>
        <w:shd w:val="clear" w:color="auto" w:fill="FFFFFF"/>
        <w:spacing w:after="0" w:line="276" w:lineRule="auto"/>
        <w:textAlignment w:val="baseline"/>
        <w:rPr>
          <w:rFonts w:cstheme="minorHAnsi"/>
          <w:sz w:val="24"/>
          <w:szCs w:val="24"/>
        </w:rPr>
      </w:pPr>
      <w:r w:rsidRPr="00565CF3">
        <w:rPr>
          <w:rFonts w:cstheme="minorHAnsi"/>
          <w:sz w:val="24"/>
          <w:szCs w:val="24"/>
        </w:rPr>
        <w:t xml:space="preserve">Obiekty te </w:t>
      </w:r>
      <w:r w:rsidRPr="001F19DE">
        <w:rPr>
          <w:rFonts w:cstheme="minorHAnsi"/>
          <w:sz w:val="24"/>
          <w:szCs w:val="24"/>
        </w:rPr>
        <w:t xml:space="preserve">wybudowano kilkadziesiąt lat temu i z tego względu posiadają różne ograniczenia funkcjonalno-użytkowe. Niemniej jednak </w:t>
      </w:r>
      <w:r w:rsidR="00565CF3" w:rsidRPr="001F19DE">
        <w:rPr>
          <w:rFonts w:cstheme="minorHAnsi"/>
          <w:sz w:val="24"/>
          <w:szCs w:val="24"/>
        </w:rPr>
        <w:t xml:space="preserve">we </w:t>
      </w:r>
      <w:r w:rsidRPr="001F19DE">
        <w:rPr>
          <w:rFonts w:cstheme="minorHAnsi"/>
          <w:sz w:val="24"/>
          <w:szCs w:val="24"/>
        </w:rPr>
        <w:t>wszystki</w:t>
      </w:r>
      <w:r w:rsidR="00565CF3" w:rsidRPr="001F19DE">
        <w:rPr>
          <w:rFonts w:cstheme="minorHAnsi"/>
          <w:sz w:val="24"/>
          <w:szCs w:val="24"/>
        </w:rPr>
        <w:t>ch</w:t>
      </w:r>
      <w:r w:rsidRPr="001F19DE">
        <w:rPr>
          <w:rFonts w:cstheme="minorHAnsi"/>
          <w:sz w:val="24"/>
          <w:szCs w:val="24"/>
        </w:rPr>
        <w:t xml:space="preserve"> budynk</w:t>
      </w:r>
      <w:r w:rsidR="00565CF3" w:rsidRPr="001F19DE">
        <w:rPr>
          <w:rFonts w:cstheme="minorHAnsi"/>
          <w:sz w:val="24"/>
          <w:szCs w:val="24"/>
        </w:rPr>
        <w:t>ach</w:t>
      </w:r>
      <w:r w:rsidRPr="001F19DE">
        <w:rPr>
          <w:rFonts w:cstheme="minorHAnsi"/>
          <w:sz w:val="24"/>
          <w:szCs w:val="24"/>
        </w:rPr>
        <w:t xml:space="preserve"> zapewni</w:t>
      </w:r>
      <w:r w:rsidR="00565CF3" w:rsidRPr="001F19DE">
        <w:rPr>
          <w:rFonts w:cstheme="minorHAnsi"/>
          <w:sz w:val="24"/>
          <w:szCs w:val="24"/>
        </w:rPr>
        <w:t>ono, w mniejszym lub większym stopniu,</w:t>
      </w:r>
      <w:r w:rsidRPr="001F19DE">
        <w:rPr>
          <w:rFonts w:cstheme="minorHAnsi"/>
          <w:color w:val="FF0000"/>
          <w:sz w:val="24"/>
          <w:szCs w:val="24"/>
        </w:rPr>
        <w:t xml:space="preserve"> </w:t>
      </w:r>
      <w:r w:rsidRPr="001F19DE">
        <w:rPr>
          <w:rFonts w:cstheme="minorHAnsi"/>
          <w:sz w:val="24"/>
          <w:szCs w:val="24"/>
        </w:rPr>
        <w:t>dostęp dla osób z</w:t>
      </w:r>
      <w:r w:rsidR="00565CF3" w:rsidRPr="001F19DE">
        <w:rPr>
          <w:rFonts w:cstheme="minorHAnsi"/>
          <w:sz w:val="24"/>
          <w:szCs w:val="24"/>
        </w:rPr>
        <w:t> </w:t>
      </w:r>
      <w:r w:rsidRPr="001F19DE">
        <w:rPr>
          <w:rFonts w:cstheme="minorHAnsi"/>
          <w:sz w:val="24"/>
          <w:szCs w:val="24"/>
        </w:rPr>
        <w:t>niepełnosprawnościami lub szczególnymi potrzebami. Na parter budynków MSWiA można się dostać bezpośrednio z poziomu terenu lub z użyciem urządzenia dźwigowego albo pochylni. We wszystkich budynkach znajduje się co najmniej jedna łazienka dla osób z niepełnosprawnościami ruchu, a w gmachu głównym znajduje się 6 takich łazienek. Tylko w jednym budynku nie ma zainstalowanych wewnętrznych wind dostosowanych do korzystania przez os</w:t>
      </w:r>
      <w:r w:rsidR="00EE7432">
        <w:rPr>
          <w:rFonts w:cstheme="minorHAnsi"/>
          <w:sz w:val="24"/>
          <w:szCs w:val="24"/>
        </w:rPr>
        <w:t>oby ze szczególnymi potrzebami.</w:t>
      </w:r>
    </w:p>
    <w:p w14:paraId="343FAA60" w14:textId="77777777" w:rsidR="00EE7432" w:rsidRDefault="00EE7432" w:rsidP="00700B7F">
      <w:pPr>
        <w:shd w:val="clear" w:color="auto" w:fill="FFFFFF"/>
        <w:spacing w:after="0" w:line="276" w:lineRule="auto"/>
        <w:textAlignment w:val="baseline"/>
        <w:rPr>
          <w:rFonts w:cstheme="minorHAnsi"/>
          <w:sz w:val="24"/>
          <w:szCs w:val="24"/>
        </w:rPr>
      </w:pPr>
    </w:p>
    <w:p w14:paraId="0E5BB95A" w14:textId="2F56E944" w:rsidR="00565CF3" w:rsidRDefault="00416F5F" w:rsidP="00700B7F">
      <w:pPr>
        <w:shd w:val="clear" w:color="auto" w:fill="FFFFFF"/>
        <w:spacing w:after="0" w:line="276" w:lineRule="auto"/>
        <w:textAlignment w:val="baseline"/>
        <w:rPr>
          <w:rFonts w:eastAsia="Times New Roman"/>
          <w:sz w:val="24"/>
          <w:szCs w:val="24"/>
        </w:rPr>
      </w:pPr>
      <w:r w:rsidRPr="001F19DE">
        <w:rPr>
          <w:rFonts w:cstheme="minorHAnsi"/>
          <w:sz w:val="24"/>
          <w:szCs w:val="24"/>
        </w:rPr>
        <w:t>We wszystkich windach zainstalowano przyciski z alfabetem Braille'a oraz kontrastowe piętrowskazywacze, a</w:t>
      </w:r>
      <w:r w:rsidR="00565CF3" w:rsidRPr="001F19DE">
        <w:rPr>
          <w:rFonts w:cstheme="minorHAnsi"/>
          <w:sz w:val="24"/>
          <w:szCs w:val="24"/>
        </w:rPr>
        <w:t> </w:t>
      </w:r>
      <w:r w:rsidRPr="001F19DE">
        <w:rPr>
          <w:rFonts w:cstheme="minorHAnsi"/>
          <w:sz w:val="24"/>
          <w:szCs w:val="24"/>
        </w:rPr>
        <w:t xml:space="preserve">także wyposażono je w komunikaty głosowe. W lutym 2021 r. zakończono </w:t>
      </w:r>
      <w:r w:rsidRPr="001F19DE">
        <w:rPr>
          <w:rFonts w:eastAsia="Times New Roman"/>
          <w:sz w:val="24"/>
          <w:szCs w:val="24"/>
        </w:rPr>
        <w:t xml:space="preserve">przebudowę szybu windowego i wymianę windy w </w:t>
      </w:r>
      <w:r w:rsidR="00565CF3" w:rsidRPr="001F19DE">
        <w:rPr>
          <w:rFonts w:eastAsia="Times New Roman"/>
          <w:sz w:val="24"/>
          <w:szCs w:val="24"/>
        </w:rPr>
        <w:t>gmachu głównym, zapewniając tym samym możliwość dostania się osób ze szczególnymi potrzebami na wszystkie kondygnacje budynku (</w:t>
      </w:r>
      <w:r w:rsidRPr="001F19DE">
        <w:rPr>
          <w:rFonts w:eastAsia="Times New Roman"/>
          <w:sz w:val="24"/>
          <w:szCs w:val="24"/>
        </w:rPr>
        <w:t>od poziomu minus 1 do</w:t>
      </w:r>
      <w:r w:rsidR="00700B7F">
        <w:rPr>
          <w:rFonts w:eastAsia="Times New Roman"/>
          <w:sz w:val="24"/>
          <w:szCs w:val="24"/>
        </w:rPr>
        <w:t xml:space="preserve"> </w:t>
      </w:r>
      <w:r w:rsidRPr="001F19DE">
        <w:rPr>
          <w:rFonts w:eastAsia="Times New Roman"/>
          <w:sz w:val="24"/>
          <w:szCs w:val="24"/>
        </w:rPr>
        <w:t>5 piętra).</w:t>
      </w:r>
    </w:p>
    <w:p w14:paraId="0BC27027" w14:textId="77777777" w:rsidR="00EE7432" w:rsidRDefault="00EE7432" w:rsidP="00700B7F">
      <w:pPr>
        <w:shd w:val="clear" w:color="auto" w:fill="FFFFFF"/>
        <w:spacing w:after="0" w:line="276" w:lineRule="auto"/>
        <w:textAlignment w:val="baseline"/>
        <w:rPr>
          <w:rFonts w:eastAsia="Times New Roman"/>
          <w:sz w:val="24"/>
          <w:szCs w:val="24"/>
        </w:rPr>
      </w:pPr>
    </w:p>
    <w:p w14:paraId="6ED470D9" w14:textId="77777777" w:rsidR="00DB2FBD" w:rsidRDefault="00416F5F" w:rsidP="00EE7432">
      <w:pPr>
        <w:shd w:val="clear" w:color="auto" w:fill="FFFFFF"/>
        <w:spacing w:after="0" w:line="276" w:lineRule="auto"/>
        <w:textAlignment w:val="baseline"/>
        <w:rPr>
          <w:rFonts w:eastAsia="Times New Roman"/>
          <w:sz w:val="24"/>
          <w:szCs w:val="24"/>
        </w:rPr>
      </w:pPr>
      <w:r w:rsidRPr="00565CF3">
        <w:rPr>
          <w:rFonts w:eastAsia="Times New Roman"/>
          <w:sz w:val="24"/>
          <w:szCs w:val="24"/>
        </w:rPr>
        <w:t xml:space="preserve">Aktualnie trwa przebudowa części budynku przy Al. J. Ch. Szucha w Warszawie (wykonano dokumentację projektową wraz z uzyskaniem pozwolenia na budowę, która przewiduje dostosowanie każdego piętra – za wyjątkiem piwnic – do potrzeb osób niepełnosprawnych, poruszających się na wózkach </w:t>
      </w:r>
      <w:r w:rsidRPr="001F19DE">
        <w:rPr>
          <w:rFonts w:eastAsia="Times New Roman"/>
          <w:sz w:val="24"/>
          <w:szCs w:val="24"/>
        </w:rPr>
        <w:t xml:space="preserve">inwalidzkich; dodatkowo windy będą miały przyciski </w:t>
      </w:r>
      <w:r w:rsidR="00565CF3" w:rsidRPr="001F19DE">
        <w:rPr>
          <w:rFonts w:cstheme="minorHAnsi"/>
          <w:sz w:val="24"/>
          <w:szCs w:val="24"/>
        </w:rPr>
        <w:t>z</w:t>
      </w:r>
      <w:r w:rsidR="00700B7F">
        <w:rPr>
          <w:rFonts w:cstheme="minorHAnsi"/>
          <w:sz w:val="24"/>
          <w:szCs w:val="24"/>
        </w:rPr>
        <w:t> </w:t>
      </w:r>
      <w:r w:rsidR="00565CF3" w:rsidRPr="001F19DE">
        <w:rPr>
          <w:rFonts w:cstheme="minorHAnsi"/>
          <w:sz w:val="24"/>
          <w:szCs w:val="24"/>
        </w:rPr>
        <w:t>alfabetem Braille'a oraz kontrastowe piętrowskazywacze</w:t>
      </w:r>
      <w:r w:rsidR="00565CF3" w:rsidRPr="001F19DE">
        <w:rPr>
          <w:rFonts w:eastAsia="Times New Roman"/>
          <w:sz w:val="24"/>
          <w:szCs w:val="24"/>
        </w:rPr>
        <w:t xml:space="preserve"> </w:t>
      </w:r>
      <w:r w:rsidRPr="001F19DE">
        <w:rPr>
          <w:rFonts w:eastAsia="Times New Roman"/>
          <w:sz w:val="24"/>
          <w:szCs w:val="24"/>
        </w:rPr>
        <w:t xml:space="preserve">oraz komunikaty głosowe dla osób niewidomych i słabowidzących). </w:t>
      </w:r>
      <w:r w:rsidR="00565CF3" w:rsidRPr="001F19DE">
        <w:rPr>
          <w:rFonts w:eastAsia="Times New Roman"/>
          <w:sz w:val="24"/>
          <w:szCs w:val="24"/>
        </w:rPr>
        <w:t>Planuje się wyposażenie budynku w pętle indukcyjne wspomagających dostępność dla osób słabosłyszących</w:t>
      </w:r>
      <w:r w:rsidR="00F35540" w:rsidRPr="001F19DE">
        <w:rPr>
          <w:rFonts w:eastAsia="Times New Roman"/>
          <w:sz w:val="24"/>
          <w:szCs w:val="24"/>
        </w:rPr>
        <w:t>.</w:t>
      </w:r>
      <w:r w:rsidR="00565CF3" w:rsidRPr="001F19DE">
        <w:rPr>
          <w:rFonts w:eastAsia="Times New Roman"/>
          <w:sz w:val="24"/>
          <w:szCs w:val="24"/>
        </w:rPr>
        <w:t xml:space="preserve"> W budynku planuje się prowadzenie działalności podstawowej.</w:t>
      </w:r>
    </w:p>
    <w:p w14:paraId="24817218" w14:textId="77777777" w:rsidR="00DB2FBD" w:rsidRDefault="00DB2FBD" w:rsidP="00EE7432">
      <w:pPr>
        <w:shd w:val="clear" w:color="auto" w:fill="FFFFFF"/>
        <w:spacing w:after="0" w:line="276" w:lineRule="auto"/>
        <w:textAlignment w:val="baseline"/>
        <w:rPr>
          <w:rFonts w:eastAsia="Times New Roman"/>
          <w:sz w:val="24"/>
          <w:szCs w:val="24"/>
        </w:rPr>
      </w:pPr>
    </w:p>
    <w:p w14:paraId="04044C76" w14:textId="66FA1EEE" w:rsidR="00DF3C3B" w:rsidRPr="00DB2FBD" w:rsidRDefault="00416F5F" w:rsidP="00EE7432">
      <w:pPr>
        <w:shd w:val="clear" w:color="auto" w:fill="FFFFFF"/>
        <w:spacing w:after="0" w:line="276" w:lineRule="auto"/>
        <w:textAlignment w:val="baseline"/>
        <w:rPr>
          <w:rFonts w:eastAsia="Times New Roman"/>
          <w:sz w:val="24"/>
          <w:szCs w:val="24"/>
        </w:rPr>
      </w:pPr>
      <w:r w:rsidRPr="001F19DE">
        <w:rPr>
          <w:rFonts w:cstheme="minorHAnsi"/>
          <w:sz w:val="24"/>
          <w:szCs w:val="24"/>
        </w:rPr>
        <w:t>MSWiA</w:t>
      </w:r>
      <w:r w:rsidR="005B180A" w:rsidRPr="001F19DE">
        <w:rPr>
          <w:rFonts w:cstheme="minorHAnsi"/>
          <w:sz w:val="24"/>
          <w:szCs w:val="24"/>
        </w:rPr>
        <w:t>, w miarę posiadanych środków finansowych</w:t>
      </w:r>
      <w:r w:rsidR="001B4D00" w:rsidRPr="001F19DE">
        <w:rPr>
          <w:rFonts w:cstheme="minorHAnsi"/>
          <w:sz w:val="24"/>
          <w:szCs w:val="24"/>
        </w:rPr>
        <w:t xml:space="preserve"> i przy uwzględnieniu zasad racjonalnego planowania i wydatkowania tych środków</w:t>
      </w:r>
      <w:r w:rsidR="005B180A" w:rsidRPr="004A748E">
        <w:rPr>
          <w:rFonts w:cstheme="minorHAnsi"/>
          <w:sz w:val="24"/>
          <w:szCs w:val="24"/>
        </w:rPr>
        <w:t>,</w:t>
      </w:r>
      <w:r w:rsidRPr="004A748E">
        <w:rPr>
          <w:rFonts w:cstheme="minorHAnsi"/>
          <w:sz w:val="24"/>
          <w:szCs w:val="24"/>
        </w:rPr>
        <w:t xml:space="preserve"> planuje dalsze wykonywanie prac mających na celu </w:t>
      </w:r>
      <w:r w:rsidRPr="00565CF3">
        <w:rPr>
          <w:rFonts w:cstheme="minorHAnsi"/>
          <w:sz w:val="24"/>
          <w:szCs w:val="24"/>
        </w:rPr>
        <w:t>dostosowanie budynków do potrzeb osób ze szczególnymi potrzebami.</w:t>
      </w:r>
    </w:p>
    <w:p w14:paraId="5A938EA1" w14:textId="77777777" w:rsidR="009E23E5" w:rsidRPr="00565CF3" w:rsidRDefault="009E23E5" w:rsidP="00F54DE7">
      <w:pPr>
        <w:shd w:val="clear" w:color="auto" w:fill="FFFFFF"/>
        <w:spacing w:after="0" w:line="276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ABBEAAE" w14:textId="419A025F" w:rsidR="00B32D31" w:rsidRPr="00EE7432" w:rsidRDefault="003A3A4A" w:rsidP="00EE7432">
      <w:pPr>
        <w:pStyle w:val="Nagwek2"/>
        <w:numPr>
          <w:ilvl w:val="0"/>
          <w:numId w:val="21"/>
        </w:numPr>
        <w:rPr>
          <w:rFonts w:asciiTheme="minorHAnsi" w:hAnsiTheme="minorHAnsi" w:cstheme="minorHAnsi"/>
          <w:b/>
          <w:color w:val="auto"/>
        </w:rPr>
      </w:pPr>
      <w:bookmarkStart w:id="5" w:name="_Toc78374192"/>
      <w:r>
        <w:rPr>
          <w:rFonts w:asciiTheme="minorHAnsi" w:hAnsiTheme="minorHAnsi" w:cstheme="minorHAnsi"/>
          <w:b/>
          <w:color w:val="auto"/>
        </w:rPr>
        <w:lastRenderedPageBreak/>
        <w:t>Dostępność cyfrowa</w:t>
      </w:r>
      <w:r w:rsidR="00416F5F" w:rsidRPr="00EE7432">
        <w:rPr>
          <w:rFonts w:asciiTheme="minorHAnsi" w:hAnsiTheme="minorHAnsi" w:cstheme="minorHAnsi"/>
          <w:b/>
          <w:color w:val="auto"/>
        </w:rPr>
        <w:t xml:space="preserve"> oraz</w:t>
      </w:r>
      <w:r w:rsidR="00700B7F" w:rsidRPr="00EE7432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informacyjno-komunikacyjna</w:t>
      </w:r>
      <w:bookmarkEnd w:id="5"/>
    </w:p>
    <w:p w14:paraId="58172332" w14:textId="77777777" w:rsidR="00EE7432" w:rsidRPr="00EE7432" w:rsidRDefault="00EE7432" w:rsidP="00EE7432">
      <w:pPr>
        <w:pStyle w:val="Akapitzlist"/>
        <w:spacing w:line="276" w:lineRule="auto"/>
        <w:ind w:left="1080"/>
        <w:jc w:val="both"/>
        <w:rPr>
          <w:sz w:val="24"/>
          <w:szCs w:val="24"/>
        </w:rPr>
      </w:pPr>
    </w:p>
    <w:p w14:paraId="431D3C54" w14:textId="42F6219D" w:rsidR="00416F5F" w:rsidRPr="007005D7" w:rsidRDefault="00416F5F" w:rsidP="007005D7">
      <w:pPr>
        <w:pStyle w:val="Akapitzlist"/>
        <w:numPr>
          <w:ilvl w:val="0"/>
          <w:numId w:val="10"/>
        </w:numPr>
        <w:spacing w:after="0" w:line="276" w:lineRule="auto"/>
        <w:ind w:left="284"/>
        <w:contextualSpacing w:val="0"/>
        <w:rPr>
          <w:rFonts w:ascii="Calibri" w:hAnsi="Calibri" w:cs="Calibri"/>
          <w:sz w:val="24"/>
          <w:szCs w:val="24"/>
        </w:rPr>
      </w:pPr>
      <w:r w:rsidRPr="00565CF3">
        <w:rPr>
          <w:rFonts w:ascii="Calibri" w:hAnsi="Calibri" w:cs="Calibri"/>
          <w:sz w:val="24"/>
          <w:szCs w:val="24"/>
        </w:rPr>
        <w:t>w grudniu 2020</w:t>
      </w:r>
      <w:r w:rsidR="007005D7">
        <w:rPr>
          <w:rFonts w:ascii="Calibri" w:hAnsi="Calibri" w:cs="Calibri"/>
          <w:sz w:val="24"/>
          <w:szCs w:val="24"/>
        </w:rPr>
        <w:t xml:space="preserve"> </w:t>
      </w:r>
      <w:r w:rsidRPr="00565CF3">
        <w:rPr>
          <w:rFonts w:ascii="Calibri" w:hAnsi="Calibri" w:cs="Calibri"/>
          <w:sz w:val="24"/>
          <w:szCs w:val="24"/>
        </w:rPr>
        <w:t xml:space="preserve">r. </w:t>
      </w:r>
      <w:r w:rsidRPr="00700B7F">
        <w:rPr>
          <w:rFonts w:ascii="Calibri" w:hAnsi="Calibri" w:cs="Calibri"/>
          <w:sz w:val="24"/>
          <w:szCs w:val="24"/>
        </w:rPr>
        <w:t>przygotowa</w:t>
      </w:r>
      <w:r w:rsidR="009E23E5" w:rsidRPr="00700B7F">
        <w:rPr>
          <w:rFonts w:ascii="Calibri" w:hAnsi="Calibri" w:cs="Calibri"/>
          <w:sz w:val="24"/>
          <w:szCs w:val="24"/>
        </w:rPr>
        <w:t>no</w:t>
      </w:r>
      <w:r w:rsidRPr="00700B7F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Pr="007005D7">
          <w:rPr>
            <w:rStyle w:val="Hipercze"/>
            <w:rFonts w:ascii="Calibri" w:hAnsi="Calibri" w:cs="Calibri"/>
            <w:sz w:val="24"/>
            <w:szCs w:val="24"/>
          </w:rPr>
          <w:t>wideo</w:t>
        </w:r>
      </w:hyperlink>
      <w:r w:rsidRPr="00700B7F">
        <w:rPr>
          <w:rFonts w:ascii="Calibri" w:hAnsi="Calibri" w:cs="Calibri"/>
          <w:sz w:val="24"/>
          <w:szCs w:val="24"/>
        </w:rPr>
        <w:t xml:space="preserve"> z tłumaczem migowym, opatrzone tekstem łatwym do czytania i napisami</w:t>
      </w:r>
      <w:r w:rsidR="007005D7">
        <w:rPr>
          <w:rFonts w:ascii="Calibri" w:hAnsi="Calibri" w:cs="Calibri"/>
          <w:sz w:val="24"/>
          <w:szCs w:val="24"/>
        </w:rPr>
        <w:t xml:space="preserve">; </w:t>
      </w:r>
      <w:r w:rsidRPr="007005D7">
        <w:rPr>
          <w:rFonts w:ascii="Calibri" w:hAnsi="Calibri" w:cs="Calibri"/>
          <w:sz w:val="24"/>
          <w:szCs w:val="24"/>
        </w:rPr>
        <w:t xml:space="preserve">treść tego nagrania wraz z pomocnymi mapkami/zdjęciami </w:t>
      </w:r>
      <w:r w:rsidR="007005D7">
        <w:rPr>
          <w:rFonts w:ascii="Calibri" w:hAnsi="Calibri" w:cs="Calibri"/>
          <w:sz w:val="24"/>
          <w:szCs w:val="24"/>
        </w:rPr>
        <w:t xml:space="preserve">oraz tekstem łatwym do czytania </w:t>
      </w:r>
      <w:r w:rsidRPr="007005D7">
        <w:rPr>
          <w:rFonts w:ascii="Calibri" w:hAnsi="Calibri" w:cs="Calibri"/>
          <w:sz w:val="24"/>
          <w:szCs w:val="24"/>
        </w:rPr>
        <w:t>jest również zamieszczona w</w:t>
      </w:r>
      <w:r w:rsidR="00565CF3" w:rsidRPr="007005D7">
        <w:rPr>
          <w:rFonts w:ascii="Calibri" w:hAnsi="Calibri" w:cs="Calibri"/>
          <w:sz w:val="24"/>
          <w:szCs w:val="24"/>
        </w:rPr>
        <w:t> </w:t>
      </w:r>
      <w:r w:rsidRPr="007005D7">
        <w:rPr>
          <w:rFonts w:ascii="Calibri" w:hAnsi="Calibri" w:cs="Calibri"/>
          <w:sz w:val="24"/>
          <w:szCs w:val="24"/>
        </w:rPr>
        <w:t>tej samej zakładce</w:t>
      </w:r>
      <w:r w:rsidR="007005D7">
        <w:rPr>
          <w:rFonts w:ascii="Calibri" w:hAnsi="Calibri" w:cs="Calibri"/>
          <w:sz w:val="24"/>
          <w:szCs w:val="24"/>
        </w:rPr>
        <w:t>;</w:t>
      </w:r>
    </w:p>
    <w:p w14:paraId="53A02FC4" w14:textId="73B7CC2A" w:rsidR="00416F5F" w:rsidRPr="00700B7F" w:rsidRDefault="00416F5F" w:rsidP="00700B7F">
      <w:pPr>
        <w:pStyle w:val="Akapitzlist"/>
        <w:numPr>
          <w:ilvl w:val="0"/>
          <w:numId w:val="10"/>
        </w:numPr>
        <w:spacing w:after="0" w:line="276" w:lineRule="auto"/>
        <w:ind w:left="284"/>
        <w:contextualSpacing w:val="0"/>
        <w:rPr>
          <w:rFonts w:ascii="Calibri" w:eastAsia="Times New Roman" w:hAnsi="Calibri" w:cs="Calibri"/>
          <w:sz w:val="24"/>
          <w:szCs w:val="24"/>
        </w:rPr>
      </w:pPr>
      <w:r w:rsidRPr="00700B7F">
        <w:rPr>
          <w:rFonts w:ascii="Calibri" w:hAnsi="Calibri" w:cs="Calibri"/>
          <w:sz w:val="24"/>
          <w:szCs w:val="24"/>
        </w:rPr>
        <w:t>zmodyfikowano</w:t>
      </w:r>
      <w:r w:rsidRPr="00700B7F">
        <w:rPr>
          <w:rFonts w:eastAsia="Times New Roman"/>
          <w:sz w:val="24"/>
          <w:szCs w:val="24"/>
        </w:rPr>
        <w:t xml:space="preserve"> tekst główny w </w:t>
      </w:r>
      <w:hyperlink r:id="rId9" w:history="1">
        <w:r w:rsidRPr="007005D7">
          <w:rPr>
            <w:rStyle w:val="Hipercze"/>
            <w:rFonts w:eastAsia="Times New Roman"/>
            <w:sz w:val="24"/>
            <w:szCs w:val="24"/>
          </w:rPr>
          <w:t>zakładce</w:t>
        </w:r>
      </w:hyperlink>
      <w:r w:rsidRPr="00700B7F">
        <w:rPr>
          <w:rFonts w:eastAsia="Times New Roman"/>
          <w:sz w:val="24"/>
          <w:szCs w:val="24"/>
        </w:rPr>
        <w:t xml:space="preserve"> dot. możliwości kontaktu z naszym urzędem przez osoby z</w:t>
      </w:r>
      <w:r w:rsidR="007005D7">
        <w:rPr>
          <w:rFonts w:eastAsia="Times New Roman"/>
          <w:sz w:val="24"/>
          <w:szCs w:val="24"/>
        </w:rPr>
        <w:t xml:space="preserve"> różnymi niepełnosprawnościami;</w:t>
      </w:r>
    </w:p>
    <w:p w14:paraId="43555675" w14:textId="7032B83B" w:rsidR="00416F5F" w:rsidRPr="00700B7F" w:rsidRDefault="00416F5F" w:rsidP="00700B7F">
      <w:pPr>
        <w:pStyle w:val="Akapitzlist"/>
        <w:numPr>
          <w:ilvl w:val="0"/>
          <w:numId w:val="10"/>
        </w:numPr>
        <w:spacing w:after="0" w:line="276" w:lineRule="auto"/>
        <w:ind w:left="284"/>
        <w:contextualSpacing w:val="0"/>
        <w:rPr>
          <w:rFonts w:ascii="Calibri" w:hAnsi="Calibri" w:cs="Calibri"/>
          <w:sz w:val="24"/>
          <w:szCs w:val="24"/>
        </w:rPr>
      </w:pPr>
      <w:r w:rsidRPr="00700B7F">
        <w:rPr>
          <w:rFonts w:ascii="Calibri" w:hAnsi="Calibri" w:cs="Calibri"/>
          <w:sz w:val="24"/>
          <w:szCs w:val="24"/>
        </w:rPr>
        <w:t xml:space="preserve">stronie internetowej jest aktualna </w:t>
      </w:r>
      <w:r w:rsidRPr="00700B7F">
        <w:rPr>
          <w:rFonts w:ascii="Calibri" w:hAnsi="Calibri" w:cs="Calibri"/>
          <w:i/>
          <w:sz w:val="24"/>
          <w:szCs w:val="24"/>
        </w:rPr>
        <w:t>D</w:t>
      </w:r>
      <w:r w:rsidRPr="00700B7F">
        <w:rPr>
          <w:rFonts w:ascii="Calibri" w:hAnsi="Calibri" w:cs="Calibri"/>
          <w:i/>
          <w:iCs/>
          <w:sz w:val="24"/>
          <w:szCs w:val="24"/>
        </w:rPr>
        <w:t xml:space="preserve">eklaracja dostępności serwisu MSWiA w portalu gov.pl </w:t>
      </w:r>
      <w:r w:rsidRPr="00700B7F">
        <w:rPr>
          <w:rFonts w:ascii="Calibri" w:hAnsi="Calibri" w:cs="Calibri"/>
          <w:sz w:val="24"/>
          <w:szCs w:val="24"/>
        </w:rPr>
        <w:t>umie</w:t>
      </w:r>
      <w:r w:rsidR="007005D7">
        <w:rPr>
          <w:rFonts w:ascii="Calibri" w:hAnsi="Calibri" w:cs="Calibri"/>
          <w:sz w:val="24"/>
          <w:szCs w:val="24"/>
        </w:rPr>
        <w:t xml:space="preserve">szczona w </w:t>
      </w:r>
      <w:hyperlink r:id="rId10" w:history="1">
        <w:r w:rsidR="007005D7" w:rsidRPr="007005D7">
          <w:rPr>
            <w:rStyle w:val="Hipercze"/>
            <w:rFonts w:ascii="Calibri" w:hAnsi="Calibri" w:cs="Calibri"/>
            <w:sz w:val="24"/>
            <w:szCs w:val="24"/>
          </w:rPr>
          <w:t>stopce www</w:t>
        </w:r>
      </w:hyperlink>
      <w:r w:rsidR="007005D7">
        <w:rPr>
          <w:rFonts w:ascii="Calibri" w:hAnsi="Calibri" w:cs="Calibri"/>
          <w:sz w:val="24"/>
          <w:szCs w:val="24"/>
        </w:rPr>
        <w:t>;</w:t>
      </w:r>
    </w:p>
    <w:p w14:paraId="3BE2A1B1" w14:textId="7F6F5FB1" w:rsidR="00416F5F" w:rsidRPr="00565CF3" w:rsidRDefault="00416F5F" w:rsidP="00700B7F">
      <w:pPr>
        <w:pStyle w:val="Akapitzlist"/>
        <w:numPr>
          <w:ilvl w:val="0"/>
          <w:numId w:val="10"/>
        </w:numPr>
        <w:spacing w:after="0" w:line="276" w:lineRule="auto"/>
        <w:ind w:left="284"/>
        <w:contextualSpacing w:val="0"/>
        <w:rPr>
          <w:rFonts w:ascii="Calibri" w:hAnsi="Calibri" w:cs="Calibri"/>
          <w:sz w:val="24"/>
          <w:szCs w:val="24"/>
        </w:rPr>
      </w:pPr>
      <w:r w:rsidRPr="00700B7F">
        <w:rPr>
          <w:rFonts w:ascii="Calibri" w:hAnsi="Calibri" w:cs="Calibri"/>
          <w:sz w:val="24"/>
          <w:szCs w:val="24"/>
        </w:rPr>
        <w:t>zapewniamy dostępność wszystkim stronom internetowym departamentów MSWiA przenoszonym na Portal Gov.pl</w:t>
      </w:r>
      <w:r w:rsidR="00700B7F" w:rsidRPr="00700B7F">
        <w:rPr>
          <w:rFonts w:ascii="Calibri" w:hAnsi="Calibri" w:cs="Calibri"/>
          <w:sz w:val="24"/>
          <w:szCs w:val="24"/>
        </w:rPr>
        <w:t xml:space="preserve"> </w:t>
      </w:r>
      <w:r w:rsidRPr="00700B7F">
        <w:rPr>
          <w:rFonts w:ascii="Calibri" w:hAnsi="Calibri" w:cs="Calibri"/>
          <w:sz w:val="24"/>
          <w:szCs w:val="24"/>
        </w:rPr>
        <w:t xml:space="preserve">– stare strony mogą nie być w pełni dostępne, ponieważ funkcjonowały przed wejściem </w:t>
      </w:r>
      <w:r w:rsidRPr="00565CF3">
        <w:rPr>
          <w:rFonts w:ascii="Calibri" w:hAnsi="Calibri" w:cs="Calibri"/>
          <w:sz w:val="24"/>
          <w:szCs w:val="24"/>
        </w:rPr>
        <w:t>w życie ustawy o dostępności, a docelowo ich wyłączenie z</w:t>
      </w:r>
      <w:r w:rsidR="00700B7F">
        <w:rPr>
          <w:rFonts w:ascii="Calibri" w:hAnsi="Calibri" w:cs="Calibri"/>
          <w:sz w:val="24"/>
          <w:szCs w:val="24"/>
        </w:rPr>
        <w:t> </w:t>
      </w:r>
      <w:r w:rsidRPr="00565CF3">
        <w:rPr>
          <w:rFonts w:ascii="Calibri" w:hAnsi="Calibri" w:cs="Calibri"/>
          <w:sz w:val="24"/>
          <w:szCs w:val="24"/>
        </w:rPr>
        <w:t>przestrzeni publicznej jest planowane na 2021 rok;</w:t>
      </w:r>
    </w:p>
    <w:p w14:paraId="0061DF51" w14:textId="38B0A697" w:rsidR="00416F5F" w:rsidRPr="00565CF3" w:rsidRDefault="00416F5F" w:rsidP="00565CF3">
      <w:pPr>
        <w:pStyle w:val="Akapitzlist"/>
        <w:numPr>
          <w:ilvl w:val="0"/>
          <w:numId w:val="10"/>
        </w:numPr>
        <w:spacing w:after="0" w:line="276" w:lineRule="auto"/>
        <w:ind w:left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65CF3">
        <w:rPr>
          <w:rFonts w:ascii="Calibri" w:hAnsi="Calibri" w:cs="Calibri"/>
          <w:sz w:val="24"/>
          <w:szCs w:val="24"/>
        </w:rPr>
        <w:t>dbamy o pub</w:t>
      </w:r>
      <w:r w:rsidR="000F1128">
        <w:rPr>
          <w:rFonts w:ascii="Calibri" w:hAnsi="Calibri" w:cs="Calibri"/>
          <w:sz w:val="24"/>
          <w:szCs w:val="24"/>
        </w:rPr>
        <w:t>likację dostępnych dokumentów (</w:t>
      </w:r>
      <w:r w:rsidRPr="00565CF3">
        <w:rPr>
          <w:rFonts w:ascii="Calibri" w:hAnsi="Calibri" w:cs="Calibri"/>
          <w:sz w:val="24"/>
          <w:szCs w:val="24"/>
        </w:rPr>
        <w:t>dokumenty niedostępne są umieszczane tylko wtedy, gdy nie zostały wytworzone przez MSWiA i nie ma możliwości pozyskania plików dostępnych z innych instytucji lub zostały zamieszczone przed wejściem w życie ustawy o dostępności);</w:t>
      </w:r>
    </w:p>
    <w:p w14:paraId="45C0DC00" w14:textId="77777777" w:rsidR="00416F5F" w:rsidRPr="00565CF3" w:rsidRDefault="00416F5F" w:rsidP="00700B7F">
      <w:pPr>
        <w:pStyle w:val="Akapitzlist"/>
        <w:numPr>
          <w:ilvl w:val="0"/>
          <w:numId w:val="10"/>
        </w:numPr>
        <w:spacing w:after="0" w:line="276" w:lineRule="auto"/>
        <w:ind w:left="284"/>
        <w:contextualSpacing w:val="0"/>
        <w:rPr>
          <w:rFonts w:ascii="Calibri" w:hAnsi="Calibri" w:cs="Calibri"/>
          <w:sz w:val="24"/>
          <w:szCs w:val="24"/>
        </w:rPr>
      </w:pPr>
      <w:r w:rsidRPr="00565CF3">
        <w:rPr>
          <w:rFonts w:ascii="Calibri" w:hAnsi="Calibri" w:cs="Calibri"/>
          <w:sz w:val="24"/>
          <w:szCs w:val="24"/>
        </w:rPr>
        <w:t>stosujemy poprawne formatowanie tekstu (m.in. nagłówków, leadów, wypunktowań), by czytniki używane przez osoby niewidome lub słabowidzące mogły przeczytać go poprawnie;</w:t>
      </w:r>
    </w:p>
    <w:p w14:paraId="12C4C0F9" w14:textId="77777777" w:rsidR="00416F5F" w:rsidRPr="00565CF3" w:rsidRDefault="00416F5F" w:rsidP="00700B7F">
      <w:pPr>
        <w:pStyle w:val="Akapitzlist"/>
        <w:numPr>
          <w:ilvl w:val="0"/>
          <w:numId w:val="10"/>
        </w:numPr>
        <w:spacing w:after="0" w:line="276" w:lineRule="auto"/>
        <w:ind w:left="284"/>
        <w:contextualSpacing w:val="0"/>
        <w:rPr>
          <w:rFonts w:ascii="Calibri" w:hAnsi="Calibri" w:cs="Calibri"/>
          <w:sz w:val="24"/>
          <w:szCs w:val="24"/>
        </w:rPr>
      </w:pPr>
      <w:r w:rsidRPr="00565CF3">
        <w:rPr>
          <w:rFonts w:ascii="Calibri" w:hAnsi="Calibri" w:cs="Calibri"/>
          <w:sz w:val="24"/>
          <w:szCs w:val="24"/>
        </w:rPr>
        <w:t>stosujemy teksty alternatywne (tzw. ALT-y) do opisywania zdjęć i grafik opublikowanych na stronie internetowej i na oficjalnych kanałach mediów społecznościowych MSWiA – teksty alternatywne czyta czytnik, dzięki któremu osoby niewidome lub słabowidzące mogą dowiedzieć się, co znajduje się na wybranym zdjęciu/grafice;</w:t>
      </w:r>
    </w:p>
    <w:p w14:paraId="212BD192" w14:textId="0005C1C2" w:rsidR="00416F5F" w:rsidRPr="00565CF3" w:rsidRDefault="00416F5F" w:rsidP="00700B7F">
      <w:pPr>
        <w:pStyle w:val="Akapitzlist"/>
        <w:numPr>
          <w:ilvl w:val="0"/>
          <w:numId w:val="10"/>
        </w:numPr>
        <w:spacing w:after="0" w:line="276" w:lineRule="auto"/>
        <w:ind w:left="284"/>
        <w:contextualSpacing w:val="0"/>
        <w:rPr>
          <w:rFonts w:ascii="Calibri" w:hAnsi="Calibri" w:cs="Calibri"/>
          <w:sz w:val="24"/>
          <w:szCs w:val="24"/>
        </w:rPr>
      </w:pPr>
      <w:r w:rsidRPr="00565CF3">
        <w:rPr>
          <w:rFonts w:ascii="Calibri" w:hAnsi="Calibri" w:cs="Calibri"/>
          <w:sz w:val="24"/>
          <w:szCs w:val="24"/>
        </w:rPr>
        <w:t>zapewniamy napisy do wszystkich filmów wideo zamieszczanych na oficjalnym kanale YouTube MSWiA jak również do tych, które są linkowane na stronę internetową MSWiA – napisy służą dostępności dla osób niesłyszących lub słabosłyszących. Wyjątkiem mogą być filmy, które zostały opublikowane przed wejściem w życie ustawy o dostępności cyfrow</w:t>
      </w:r>
      <w:r w:rsidR="000F1128">
        <w:rPr>
          <w:rFonts w:ascii="Calibri" w:hAnsi="Calibri" w:cs="Calibri"/>
          <w:sz w:val="24"/>
          <w:szCs w:val="24"/>
        </w:rPr>
        <w:t>ej.</w:t>
      </w:r>
    </w:p>
    <w:p w14:paraId="2913A1F6" w14:textId="77777777" w:rsidR="00786A6D" w:rsidRDefault="00786A6D" w:rsidP="00F54DE7">
      <w:pPr>
        <w:pStyle w:val="Default"/>
        <w:spacing w:line="276" w:lineRule="auto"/>
        <w:rPr>
          <w:sz w:val="19"/>
          <w:szCs w:val="19"/>
        </w:rPr>
      </w:pPr>
    </w:p>
    <w:p w14:paraId="71391EA0" w14:textId="77777777" w:rsidR="00474F14" w:rsidRDefault="00474F14" w:rsidP="00F54D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sz w:val="36"/>
          <w:szCs w:val="36"/>
        </w:rPr>
        <w:sectPr w:rsidR="00474F14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58CC2C" w14:textId="095A275D" w:rsidR="009C16BF" w:rsidRPr="000F1128" w:rsidRDefault="009E23E5" w:rsidP="001041EF">
      <w:pPr>
        <w:pStyle w:val="Nagwek1"/>
        <w:numPr>
          <w:ilvl w:val="0"/>
          <w:numId w:val="3"/>
        </w:numPr>
        <w:rPr>
          <w:rFonts w:asciiTheme="minorHAnsi" w:hAnsiTheme="minorHAnsi" w:cstheme="minorHAnsi"/>
          <w:b/>
          <w:color w:val="auto"/>
        </w:rPr>
      </w:pPr>
      <w:bookmarkStart w:id="6" w:name="_Toc78374193"/>
      <w:r w:rsidRPr="000F1128">
        <w:rPr>
          <w:rFonts w:asciiTheme="minorHAnsi" w:hAnsiTheme="minorHAnsi" w:cstheme="minorHAnsi"/>
          <w:b/>
          <w:color w:val="auto"/>
        </w:rPr>
        <w:lastRenderedPageBreak/>
        <w:t xml:space="preserve">Zadania </w:t>
      </w:r>
      <w:r w:rsidR="00DB2FBD">
        <w:rPr>
          <w:rFonts w:asciiTheme="minorHAnsi" w:hAnsiTheme="minorHAnsi" w:cstheme="minorHAnsi"/>
          <w:b/>
          <w:color w:val="auto"/>
        </w:rPr>
        <w:t>–</w:t>
      </w:r>
      <w:r w:rsidR="000F1128">
        <w:rPr>
          <w:rFonts w:asciiTheme="minorHAnsi" w:hAnsiTheme="minorHAnsi" w:cstheme="minorHAnsi"/>
          <w:b/>
          <w:color w:val="auto"/>
        </w:rPr>
        <w:t xml:space="preserve"> d</w:t>
      </w:r>
      <w:r w:rsidR="009C16BF" w:rsidRPr="000F1128">
        <w:rPr>
          <w:rFonts w:asciiTheme="minorHAnsi" w:hAnsiTheme="minorHAnsi" w:cstheme="minorHAnsi"/>
          <w:b/>
          <w:color w:val="auto"/>
        </w:rPr>
        <w:t>ostępność architektoniczna</w:t>
      </w:r>
      <w:bookmarkEnd w:id="6"/>
    </w:p>
    <w:p w14:paraId="649D8B20" w14:textId="77777777" w:rsidR="002D2A38" w:rsidRDefault="002D2A38" w:rsidP="00F54DE7">
      <w:pPr>
        <w:pStyle w:val="Default"/>
        <w:spacing w:line="276" w:lineRule="auto"/>
        <w:rPr>
          <w:sz w:val="19"/>
          <w:szCs w:val="19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9072"/>
      </w:tblGrid>
      <w:tr w:rsidR="00BB2EC8" w14:paraId="2646B3AD" w14:textId="77777777" w:rsidTr="00BC263F">
        <w:tc>
          <w:tcPr>
            <w:tcW w:w="562" w:type="dxa"/>
          </w:tcPr>
          <w:p w14:paraId="0AEF2DFC" w14:textId="77777777" w:rsidR="002D2A38" w:rsidRPr="00565CF3" w:rsidRDefault="002D2A38" w:rsidP="00565CF3">
            <w:pPr>
              <w:pStyle w:val="Default"/>
              <w:spacing w:line="276" w:lineRule="auto"/>
              <w:ind w:left="-17"/>
              <w:rPr>
                <w:rFonts w:asciiTheme="minorHAnsi" w:hAnsiTheme="minorHAnsi" w:cstheme="minorHAnsi"/>
              </w:rPr>
            </w:pPr>
            <w:r w:rsidRPr="00565CF3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4111" w:type="dxa"/>
          </w:tcPr>
          <w:p w14:paraId="14C3CA7B" w14:textId="77777777" w:rsidR="002D2A38" w:rsidRPr="00565CF3" w:rsidRDefault="002D2A38" w:rsidP="00F54DE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65CF3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9072" w:type="dxa"/>
          </w:tcPr>
          <w:p w14:paraId="363B916C" w14:textId="77777777" w:rsidR="002D2A38" w:rsidRPr="00565CF3" w:rsidRDefault="002D2A38" w:rsidP="00700B7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65CF3">
              <w:rPr>
                <w:rFonts w:asciiTheme="minorHAnsi" w:hAnsiTheme="minorHAnsi" w:cstheme="minorHAnsi"/>
              </w:rPr>
              <w:t>Działanie</w:t>
            </w:r>
          </w:p>
        </w:tc>
      </w:tr>
      <w:tr w:rsidR="00BB2EC8" w14:paraId="76FAAFA0" w14:textId="77777777" w:rsidTr="00BC263F">
        <w:tc>
          <w:tcPr>
            <w:tcW w:w="562" w:type="dxa"/>
          </w:tcPr>
          <w:p w14:paraId="0167CCB7" w14:textId="77777777" w:rsidR="002D2A38" w:rsidRPr="00565CF3" w:rsidRDefault="002D2A38" w:rsidP="00565CF3">
            <w:pPr>
              <w:pStyle w:val="Default"/>
              <w:numPr>
                <w:ilvl w:val="0"/>
                <w:numId w:val="5"/>
              </w:numPr>
              <w:spacing w:line="276" w:lineRule="auto"/>
              <w:ind w:left="-1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69"/>
            </w:tblGrid>
            <w:tr w:rsidR="002D2A38" w:rsidRPr="00565CF3" w14:paraId="5FEC9B7B" w14:textId="77777777" w:rsidTr="00565CF3">
              <w:trPr>
                <w:trHeight w:val="482"/>
              </w:trPr>
              <w:tc>
                <w:tcPr>
                  <w:tcW w:w="3569" w:type="dxa"/>
                </w:tcPr>
                <w:p w14:paraId="06254C4B" w14:textId="77777777" w:rsidR="002D2A38" w:rsidRPr="00565CF3" w:rsidRDefault="002D2A38" w:rsidP="00F54DE7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565CF3">
                    <w:rPr>
                      <w:rFonts w:cstheme="minorHAnsi"/>
                      <w:color w:val="000000"/>
                      <w:sz w:val="24"/>
                      <w:szCs w:val="24"/>
                    </w:rPr>
                    <w:t>Dostępność architektoniczna budynków MSWi</w:t>
                  </w:r>
                  <w:r w:rsidR="00EA3C1E" w:rsidRPr="00565CF3">
                    <w:rPr>
                      <w:rFonts w:cstheme="minorHAnsi"/>
                      <w:color w:val="000000"/>
                      <w:sz w:val="24"/>
                      <w:szCs w:val="24"/>
                    </w:rPr>
                    <w:t>A</w:t>
                  </w:r>
                  <w:r w:rsidRPr="00565CF3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315B8E7" w14:textId="77777777" w:rsidR="002D2A38" w:rsidRPr="00565CF3" w:rsidRDefault="002D2A38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</w:tcPr>
          <w:p w14:paraId="436329C5" w14:textId="77777777" w:rsidR="002D2A38" w:rsidRPr="004A748E" w:rsidRDefault="002D2A38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565CF3">
              <w:rPr>
                <w:rFonts w:asciiTheme="minorHAnsi" w:hAnsiTheme="minorHAnsi" w:cstheme="minorHAnsi"/>
              </w:rPr>
              <w:t>Uwzględni</w:t>
            </w:r>
            <w:r w:rsidR="00EA3C1E" w:rsidRPr="00565CF3">
              <w:rPr>
                <w:rFonts w:asciiTheme="minorHAnsi" w:hAnsiTheme="minorHAnsi" w:cstheme="minorHAnsi"/>
              </w:rPr>
              <w:t>a</w:t>
            </w:r>
            <w:r w:rsidRPr="00565CF3">
              <w:rPr>
                <w:rFonts w:asciiTheme="minorHAnsi" w:hAnsiTheme="minorHAnsi" w:cstheme="minorHAnsi"/>
              </w:rPr>
              <w:t xml:space="preserve">nie zasad projektowania uniwersalnego </w:t>
            </w:r>
            <w:r w:rsidR="00565CF3" w:rsidRPr="004A748E">
              <w:rPr>
                <w:rFonts w:asciiTheme="minorHAnsi" w:hAnsiTheme="minorHAnsi" w:cstheme="minorHAnsi"/>
                <w:color w:val="auto"/>
              </w:rPr>
              <w:t xml:space="preserve">lub 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 xml:space="preserve">stosowanie </w:t>
            </w:r>
            <w:r w:rsidR="00565CF3" w:rsidRPr="004A748E">
              <w:rPr>
                <w:rFonts w:asciiTheme="minorHAnsi" w:hAnsiTheme="minorHAnsi" w:cstheme="minorHAnsi"/>
                <w:color w:val="auto"/>
              </w:rPr>
              <w:t xml:space="preserve">racjonalnych usprawnień </w:t>
            </w:r>
            <w:r w:rsidR="00EA3C1E" w:rsidRPr="004A748E">
              <w:rPr>
                <w:rFonts w:asciiTheme="minorHAnsi" w:hAnsiTheme="minorHAnsi" w:cstheme="minorHAnsi"/>
                <w:color w:val="auto"/>
              </w:rPr>
              <w:t>w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> </w:t>
            </w:r>
            <w:r w:rsidR="00EA3C1E" w:rsidRPr="004A748E">
              <w:rPr>
                <w:rFonts w:asciiTheme="minorHAnsi" w:hAnsiTheme="minorHAnsi" w:cstheme="minorHAnsi"/>
                <w:color w:val="auto"/>
              </w:rPr>
              <w:t xml:space="preserve">przypadku zlecania </w:t>
            </w:r>
            <w:r w:rsidR="00565CF3" w:rsidRPr="004A748E">
              <w:rPr>
                <w:rFonts w:asciiTheme="minorHAnsi" w:hAnsiTheme="minorHAnsi" w:cstheme="minorHAnsi"/>
                <w:color w:val="auto"/>
              </w:rPr>
              <w:t xml:space="preserve">remontów, przebudów, modernizacji 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 xml:space="preserve">budynków </w:t>
            </w:r>
            <w:r w:rsidR="00565CF3" w:rsidRPr="004A748E">
              <w:rPr>
                <w:rFonts w:asciiTheme="minorHAnsi" w:hAnsiTheme="minorHAnsi" w:cstheme="minorHAnsi"/>
                <w:color w:val="auto"/>
              </w:rPr>
              <w:t>itp.</w:t>
            </w:r>
          </w:p>
          <w:p w14:paraId="4E4638B7" w14:textId="19FB0AA5" w:rsidR="005B180A" w:rsidRPr="00565CF3" w:rsidRDefault="005B180A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A748E">
              <w:rPr>
                <w:rFonts w:asciiTheme="minorHAnsi" w:hAnsiTheme="minorHAnsi" w:cstheme="minorHAnsi"/>
                <w:color w:val="auto"/>
              </w:rPr>
              <w:t>Dostosowanie części biurowej budynku przy al. Szucha 2/4 do potrzeb osób ze szczególnymi potrzebami.</w:t>
            </w:r>
            <w:r w:rsidR="00F64246">
              <w:t xml:space="preserve"> </w:t>
            </w:r>
          </w:p>
        </w:tc>
      </w:tr>
      <w:tr w:rsidR="00BB2EC8" w14:paraId="1B2BCFB3" w14:textId="77777777" w:rsidTr="00BC263F">
        <w:tc>
          <w:tcPr>
            <w:tcW w:w="562" w:type="dxa"/>
          </w:tcPr>
          <w:p w14:paraId="0A308397" w14:textId="77777777" w:rsidR="002D2A38" w:rsidRPr="00565CF3" w:rsidRDefault="002D2A38" w:rsidP="00565CF3">
            <w:pPr>
              <w:pStyle w:val="Default"/>
              <w:numPr>
                <w:ilvl w:val="0"/>
                <w:numId w:val="5"/>
              </w:numPr>
              <w:spacing w:line="276" w:lineRule="auto"/>
              <w:ind w:left="-17" w:firstLine="0"/>
              <w:rPr>
                <w:rFonts w:asciiTheme="minorHAnsi" w:hAnsiTheme="minorHAnsi" w:cstheme="minorHAnsi"/>
              </w:rPr>
            </w:pPr>
          </w:p>
          <w:p w14:paraId="0234F214" w14:textId="77777777" w:rsidR="00CD4312" w:rsidRPr="00565CF3" w:rsidRDefault="00CD4312" w:rsidP="00565CF3">
            <w:pPr>
              <w:pStyle w:val="Default"/>
              <w:spacing w:line="276" w:lineRule="auto"/>
              <w:ind w:left="-17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4437A1E9" w14:textId="723EE8CF" w:rsidR="002D2A38" w:rsidRPr="004A748E" w:rsidRDefault="00BC263F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A748E">
              <w:rPr>
                <w:rFonts w:asciiTheme="minorHAnsi" w:hAnsiTheme="minorHAnsi" w:cstheme="minorHAnsi"/>
                <w:color w:val="auto"/>
              </w:rPr>
              <w:t xml:space="preserve">Zwiększenie dostępności budynków MSWiA dla osób z niepełnosprawnością ruchu </w:t>
            </w:r>
            <w:r w:rsidR="000F1128">
              <w:rPr>
                <w:rFonts w:asciiTheme="minorHAnsi" w:hAnsiTheme="minorHAnsi" w:cstheme="minorHAnsi"/>
                <w:color w:val="auto"/>
              </w:rPr>
              <w:t>–</w:t>
            </w:r>
            <w:r w:rsidRPr="004A748E">
              <w:rPr>
                <w:rFonts w:asciiTheme="minorHAnsi" w:hAnsiTheme="minorHAnsi" w:cstheme="minorHAnsi"/>
                <w:color w:val="auto"/>
              </w:rPr>
              <w:t xml:space="preserve"> p</w:t>
            </w:r>
            <w:r w:rsidR="00EA3C1E" w:rsidRPr="004A748E">
              <w:rPr>
                <w:rFonts w:asciiTheme="minorHAnsi" w:hAnsiTheme="minorHAnsi" w:cstheme="minorHAnsi"/>
                <w:color w:val="auto"/>
              </w:rPr>
              <w:t>arking</w:t>
            </w:r>
            <w:r w:rsidR="00474F14" w:rsidRPr="004A748E">
              <w:rPr>
                <w:rFonts w:asciiTheme="minorHAnsi" w:hAnsiTheme="minorHAnsi" w:cstheme="minorHAnsi"/>
                <w:color w:val="auto"/>
              </w:rPr>
              <w:t xml:space="preserve">i </w:t>
            </w:r>
          </w:p>
          <w:p w14:paraId="254B4DC7" w14:textId="77777777" w:rsidR="00EA3C1E" w:rsidRPr="00565CF3" w:rsidRDefault="00EA3C1E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</w:tcPr>
          <w:p w14:paraId="54F38583" w14:textId="3B65498E" w:rsidR="00474F14" w:rsidRPr="004A748E" w:rsidRDefault="00474F14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A748E">
              <w:rPr>
                <w:rFonts w:asciiTheme="minorHAnsi" w:hAnsiTheme="minorHAnsi" w:cstheme="minorHAnsi"/>
                <w:color w:val="auto"/>
              </w:rPr>
              <w:t>Zapewnienie prawidłowego o</w:t>
            </w:r>
            <w:r w:rsidR="00EA3C1E" w:rsidRPr="004A748E">
              <w:rPr>
                <w:rFonts w:asciiTheme="minorHAnsi" w:hAnsiTheme="minorHAnsi" w:cstheme="minorHAnsi"/>
                <w:color w:val="auto"/>
              </w:rPr>
              <w:t>znakowani</w:t>
            </w:r>
            <w:r w:rsidRPr="004A748E">
              <w:rPr>
                <w:rFonts w:asciiTheme="minorHAnsi" w:hAnsiTheme="minorHAnsi" w:cstheme="minorHAnsi"/>
                <w:color w:val="auto"/>
              </w:rPr>
              <w:t>a</w:t>
            </w:r>
            <w:r w:rsidR="00EA3C1E" w:rsidRPr="004A748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4A748E" w:rsidRPr="004A748E">
              <w:rPr>
                <w:rFonts w:asciiTheme="minorHAnsi" w:hAnsiTheme="minorHAnsi" w:cstheme="minorHAnsi"/>
                <w:color w:val="auto"/>
              </w:rPr>
              <w:t>m</w:t>
            </w:r>
            <w:r w:rsidR="00EA3C1E" w:rsidRPr="004A748E">
              <w:rPr>
                <w:rFonts w:asciiTheme="minorHAnsi" w:hAnsiTheme="minorHAnsi" w:cstheme="minorHAnsi"/>
                <w:color w:val="auto"/>
              </w:rPr>
              <w:t>iejsc</w:t>
            </w:r>
            <w:r w:rsidRPr="004A748E">
              <w:rPr>
                <w:rFonts w:asciiTheme="minorHAnsi" w:hAnsiTheme="minorHAnsi" w:cstheme="minorHAnsi"/>
                <w:color w:val="auto"/>
              </w:rPr>
              <w:t>a</w:t>
            </w:r>
            <w:r w:rsidR="00EA3C1E" w:rsidRPr="004A748E">
              <w:rPr>
                <w:rFonts w:asciiTheme="minorHAnsi" w:hAnsiTheme="minorHAnsi" w:cstheme="minorHAnsi"/>
                <w:color w:val="auto"/>
              </w:rPr>
              <w:t xml:space="preserve"> dla pojazdu osoby z</w:t>
            </w:r>
            <w:r w:rsidRPr="004A748E">
              <w:rPr>
                <w:rFonts w:asciiTheme="minorHAnsi" w:hAnsiTheme="minorHAnsi" w:cstheme="minorHAnsi"/>
                <w:color w:val="auto"/>
              </w:rPr>
              <w:t> </w:t>
            </w:r>
            <w:r w:rsidR="00EA3C1E" w:rsidRPr="004A748E">
              <w:rPr>
                <w:rFonts w:asciiTheme="minorHAnsi" w:hAnsiTheme="minorHAnsi" w:cstheme="minorHAnsi"/>
                <w:color w:val="auto"/>
              </w:rPr>
              <w:t>niepełno</w:t>
            </w:r>
            <w:r w:rsidR="000F1128">
              <w:rPr>
                <w:rFonts w:asciiTheme="minorHAnsi" w:hAnsiTheme="minorHAnsi" w:cstheme="minorHAnsi"/>
                <w:color w:val="auto"/>
              </w:rPr>
              <w:t>sprawnościami na dziedzińcu budynku</w:t>
            </w:r>
            <w:r w:rsidR="00EA3C1E" w:rsidRPr="004A748E">
              <w:rPr>
                <w:rFonts w:asciiTheme="minorHAnsi" w:hAnsiTheme="minorHAnsi" w:cstheme="minorHAnsi"/>
                <w:color w:val="auto"/>
              </w:rPr>
              <w:t xml:space="preserve"> przy ul. Batorego 5.</w:t>
            </w:r>
          </w:p>
          <w:p w14:paraId="1D55D19A" w14:textId="77777777" w:rsidR="00BC263F" w:rsidRPr="004A748E" w:rsidRDefault="00BC263F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A748E">
              <w:rPr>
                <w:rFonts w:asciiTheme="minorHAnsi" w:hAnsiTheme="minorHAnsi" w:cstheme="minorHAnsi"/>
                <w:color w:val="auto"/>
              </w:rPr>
              <w:t>Wdrożenie projektu nowej organizacji ruchu, uwzględniającej poruszanie się osób ze szczególnymi potrzebami po terenie MSWiA przy ul. Batorego 5.</w:t>
            </w:r>
          </w:p>
          <w:p w14:paraId="0056C0B7" w14:textId="37C38FF3" w:rsidR="002D2A38" w:rsidRPr="00565CF3" w:rsidRDefault="00474F14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A748E">
              <w:rPr>
                <w:rFonts w:asciiTheme="minorHAnsi" w:hAnsiTheme="minorHAnsi" w:cstheme="minorHAnsi"/>
                <w:color w:val="auto"/>
              </w:rPr>
              <w:t>Wystąpienie do zarzą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>dcy ulic</w:t>
            </w:r>
            <w:r w:rsidRPr="004A748E">
              <w:rPr>
                <w:rFonts w:asciiTheme="minorHAnsi" w:hAnsiTheme="minorHAnsi" w:cstheme="minorHAnsi"/>
                <w:color w:val="auto"/>
              </w:rPr>
              <w:t xml:space="preserve"> Samochodowej 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 xml:space="preserve">i Rakowieckiej </w:t>
            </w:r>
            <w:r w:rsidRPr="004A748E">
              <w:rPr>
                <w:rFonts w:asciiTheme="minorHAnsi" w:hAnsiTheme="minorHAnsi" w:cstheme="minorHAnsi"/>
                <w:color w:val="auto"/>
              </w:rPr>
              <w:t>o wyznaczenie miejsca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 xml:space="preserve"> postojowego na chodniku </w:t>
            </w:r>
            <w:r w:rsidRPr="004A748E">
              <w:rPr>
                <w:rFonts w:asciiTheme="minorHAnsi" w:hAnsiTheme="minorHAnsi" w:cstheme="minorHAnsi"/>
                <w:color w:val="auto"/>
              </w:rPr>
              <w:t>dla osoby z niepełnosprawnością przy budynk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>ach</w:t>
            </w:r>
            <w:r w:rsidRPr="004A748E">
              <w:rPr>
                <w:rFonts w:asciiTheme="minorHAnsi" w:hAnsiTheme="minorHAnsi" w:cstheme="minorHAnsi"/>
                <w:color w:val="auto"/>
              </w:rPr>
              <w:t xml:space="preserve"> przy ul.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> </w:t>
            </w:r>
            <w:r w:rsidRPr="004A748E">
              <w:rPr>
                <w:rFonts w:asciiTheme="minorHAnsi" w:hAnsiTheme="minorHAnsi" w:cstheme="minorHAnsi"/>
                <w:color w:val="auto"/>
              </w:rPr>
              <w:t>Domaniewskiej 36/38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 xml:space="preserve"> oraz</w:t>
            </w:r>
            <w:r w:rsidR="000F1128">
              <w:rPr>
                <w:rFonts w:asciiTheme="minorHAnsi" w:hAnsiTheme="minorHAnsi" w:cstheme="minorHAnsi"/>
                <w:color w:val="auto"/>
              </w:rPr>
              <w:t xml:space="preserve"> ul.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 xml:space="preserve"> Rakowieckiej 2a</w:t>
            </w:r>
            <w:r w:rsidR="004A748E"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  <w:tr w:rsidR="00BB2EC8" w14:paraId="45888700" w14:textId="77777777" w:rsidTr="00BC263F">
        <w:tc>
          <w:tcPr>
            <w:tcW w:w="562" w:type="dxa"/>
          </w:tcPr>
          <w:p w14:paraId="7ACBC7BD" w14:textId="77777777" w:rsidR="002D2A38" w:rsidRPr="00565CF3" w:rsidRDefault="002D2A38" w:rsidP="00565CF3">
            <w:pPr>
              <w:pStyle w:val="Default"/>
              <w:numPr>
                <w:ilvl w:val="0"/>
                <w:numId w:val="5"/>
              </w:numPr>
              <w:spacing w:line="276" w:lineRule="auto"/>
              <w:ind w:left="-1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76BA9159" w14:textId="0B92650B" w:rsidR="002D2A38" w:rsidRPr="00565CF3" w:rsidRDefault="00CD4312" w:rsidP="004A748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A748E">
              <w:rPr>
                <w:rFonts w:asciiTheme="minorHAnsi" w:hAnsiTheme="minorHAnsi" w:cstheme="minorHAnsi"/>
                <w:color w:val="auto"/>
              </w:rPr>
              <w:t>Zwiększenie dostępności bud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>ynków</w:t>
            </w:r>
            <w:r w:rsidRPr="004A748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 xml:space="preserve">MSWiA </w:t>
            </w:r>
            <w:r w:rsidRPr="00565CF3">
              <w:rPr>
                <w:rFonts w:asciiTheme="minorHAnsi" w:hAnsiTheme="minorHAnsi" w:cstheme="minorHAnsi"/>
              </w:rPr>
              <w:t xml:space="preserve">dla osób z niepełnosprawnością narządu słuchu </w:t>
            </w:r>
          </w:p>
        </w:tc>
        <w:tc>
          <w:tcPr>
            <w:tcW w:w="9072" w:type="dxa"/>
          </w:tcPr>
          <w:p w14:paraId="6E66EE8D" w14:textId="0E2C782E" w:rsidR="002D2A38" w:rsidRPr="004A748E" w:rsidRDefault="00CD4312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565CF3">
              <w:rPr>
                <w:rFonts w:asciiTheme="minorHAnsi" w:hAnsiTheme="minorHAnsi" w:cstheme="minorHAnsi"/>
              </w:rPr>
              <w:t>Zakup (przenośnej)</w:t>
            </w:r>
            <w:r w:rsidR="00F64246">
              <w:t xml:space="preserve"> </w:t>
            </w:r>
            <w:r w:rsidR="00F64246" w:rsidRPr="00F64246">
              <w:rPr>
                <w:rFonts w:asciiTheme="minorHAnsi" w:hAnsiTheme="minorHAnsi" w:cstheme="minorHAnsi"/>
              </w:rPr>
              <w:t>do obsługi osób głuchych, słabosłyszących i niedosłyszących</w:t>
            </w:r>
            <w:r w:rsidRPr="00565CF3">
              <w:rPr>
                <w:rFonts w:asciiTheme="minorHAnsi" w:hAnsiTheme="minorHAnsi" w:cstheme="minorHAnsi"/>
              </w:rPr>
              <w:t xml:space="preserve"> pętli indukcyjnej</w:t>
            </w:r>
            <w:r w:rsidR="006C4CF8" w:rsidRPr="00565CF3">
              <w:rPr>
                <w:rFonts w:asciiTheme="minorHAnsi" w:hAnsiTheme="minorHAnsi" w:cstheme="minorHAnsi"/>
              </w:rPr>
              <w:t xml:space="preserve">, zakup i </w:t>
            </w:r>
            <w:r w:rsidR="00F64246">
              <w:rPr>
                <w:rFonts w:asciiTheme="minorHAnsi" w:hAnsiTheme="minorHAnsi" w:cstheme="minorHAnsi"/>
              </w:rPr>
              <w:t>instalacja</w:t>
            </w:r>
            <w:r w:rsidR="006C4CF8" w:rsidRPr="00565CF3">
              <w:rPr>
                <w:rFonts w:asciiTheme="minorHAnsi" w:hAnsiTheme="minorHAnsi" w:cstheme="minorHAnsi"/>
              </w:rPr>
              <w:t xml:space="preserve"> 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 xml:space="preserve">stacjonarnych </w:t>
            </w:r>
            <w:r w:rsidR="006C4CF8" w:rsidRPr="004A748E">
              <w:rPr>
                <w:rFonts w:asciiTheme="minorHAnsi" w:hAnsiTheme="minorHAnsi" w:cstheme="minorHAnsi"/>
                <w:color w:val="auto"/>
              </w:rPr>
              <w:t xml:space="preserve">pętli 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 xml:space="preserve">indukcyjnych </w:t>
            </w:r>
            <w:r w:rsidR="006C4CF8" w:rsidRPr="004A748E">
              <w:rPr>
                <w:rFonts w:asciiTheme="minorHAnsi" w:hAnsiTheme="minorHAnsi" w:cstheme="minorHAnsi"/>
                <w:color w:val="auto"/>
              </w:rPr>
              <w:t>w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> </w:t>
            </w:r>
            <w:r w:rsidR="009950C0">
              <w:rPr>
                <w:rFonts w:asciiTheme="minorHAnsi" w:hAnsiTheme="minorHAnsi" w:cstheme="minorHAnsi"/>
                <w:color w:val="auto"/>
              </w:rPr>
              <w:t>Sali Konferencyjnej im. Władysława</w:t>
            </w:r>
            <w:r w:rsidR="006C4CF8" w:rsidRPr="004A748E">
              <w:rPr>
                <w:rFonts w:asciiTheme="minorHAnsi" w:hAnsiTheme="minorHAnsi" w:cstheme="minorHAnsi"/>
                <w:color w:val="auto"/>
              </w:rPr>
              <w:t xml:space="preserve"> Stasiaka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 xml:space="preserve">, biurze podawczym MSWiA i punktach wydawania przepustek </w:t>
            </w:r>
            <w:r w:rsidR="009E23E5" w:rsidRPr="004A748E">
              <w:rPr>
                <w:rFonts w:asciiTheme="minorHAnsi" w:hAnsiTheme="minorHAnsi" w:cstheme="minorHAnsi"/>
                <w:color w:val="auto"/>
              </w:rPr>
              <w:t>wraz z</w:t>
            </w:r>
            <w:r w:rsidR="00700B7F">
              <w:rPr>
                <w:rFonts w:asciiTheme="minorHAnsi" w:hAnsiTheme="minorHAnsi" w:cstheme="minorHAnsi"/>
                <w:color w:val="auto"/>
              </w:rPr>
              <w:t> </w:t>
            </w:r>
            <w:r w:rsidR="009E23E5" w:rsidRPr="004A748E">
              <w:rPr>
                <w:rFonts w:asciiTheme="minorHAnsi" w:hAnsiTheme="minorHAnsi" w:cstheme="minorHAnsi"/>
                <w:color w:val="auto"/>
              </w:rPr>
              <w:t>oz</w:t>
            </w:r>
            <w:r w:rsidR="00BC263F" w:rsidRPr="004A748E">
              <w:rPr>
                <w:rFonts w:asciiTheme="minorHAnsi" w:hAnsiTheme="minorHAnsi" w:cstheme="minorHAnsi"/>
                <w:color w:val="auto"/>
              </w:rPr>
              <w:t xml:space="preserve">naczeniem stosownym piktogramem. </w:t>
            </w:r>
          </w:p>
          <w:p w14:paraId="7DDA94B9" w14:textId="04B1D512" w:rsidR="005B180A" w:rsidRPr="00565CF3" w:rsidRDefault="005B180A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A748E">
              <w:rPr>
                <w:rFonts w:asciiTheme="minorHAnsi" w:hAnsiTheme="minorHAnsi" w:cstheme="minorHAnsi"/>
                <w:color w:val="auto"/>
              </w:rPr>
              <w:t>Instalacja interkomu w biurze podawczym MSWiA</w:t>
            </w:r>
            <w:r w:rsidR="004A748E"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  <w:tr w:rsidR="00BB2EC8" w14:paraId="18F4567A" w14:textId="77777777" w:rsidTr="00BC263F">
        <w:tc>
          <w:tcPr>
            <w:tcW w:w="562" w:type="dxa"/>
          </w:tcPr>
          <w:p w14:paraId="21AFE657" w14:textId="77777777" w:rsidR="002D2A38" w:rsidRPr="00565CF3" w:rsidRDefault="002D2A38" w:rsidP="00565CF3">
            <w:pPr>
              <w:pStyle w:val="Default"/>
              <w:numPr>
                <w:ilvl w:val="0"/>
                <w:numId w:val="5"/>
              </w:numPr>
              <w:spacing w:line="276" w:lineRule="auto"/>
              <w:ind w:left="-1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74245B30" w14:textId="77777777" w:rsidR="002D2A38" w:rsidRPr="00565CF3" w:rsidRDefault="00CD4312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65CF3">
              <w:rPr>
                <w:rFonts w:asciiTheme="minorHAnsi" w:hAnsiTheme="minorHAnsi" w:cstheme="minorHAnsi"/>
              </w:rPr>
              <w:t>Ewakuacja osób ze szczególnymi potrzebami</w:t>
            </w:r>
          </w:p>
        </w:tc>
        <w:tc>
          <w:tcPr>
            <w:tcW w:w="9072" w:type="dxa"/>
          </w:tcPr>
          <w:p w14:paraId="31CB3A7F" w14:textId="77777777" w:rsidR="002D2A38" w:rsidRPr="004A748E" w:rsidRDefault="00CD4312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565CF3">
              <w:rPr>
                <w:rFonts w:asciiTheme="minorHAnsi" w:hAnsiTheme="minorHAnsi" w:cstheme="minorHAnsi"/>
              </w:rPr>
              <w:t>Zakup fotelików do ewakuacji</w:t>
            </w:r>
            <w:r w:rsidR="005B180A">
              <w:rPr>
                <w:rFonts w:asciiTheme="minorHAnsi" w:hAnsiTheme="minorHAnsi" w:cstheme="minorHAnsi"/>
              </w:rPr>
              <w:t xml:space="preserve"> </w:t>
            </w:r>
            <w:r w:rsidR="005B180A" w:rsidRPr="004A748E">
              <w:rPr>
                <w:rFonts w:asciiTheme="minorHAnsi" w:hAnsiTheme="minorHAnsi" w:cstheme="minorHAnsi"/>
                <w:color w:val="auto"/>
              </w:rPr>
              <w:t>dla budynków, w których prowadzona jest podstawowa działalność Ministerstwa</w:t>
            </w:r>
          </w:p>
          <w:p w14:paraId="5C8FEFEE" w14:textId="77777777" w:rsidR="005B180A" w:rsidRPr="00565CF3" w:rsidRDefault="005B180A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A748E">
              <w:rPr>
                <w:rFonts w:asciiTheme="minorHAnsi" w:hAnsiTheme="minorHAnsi" w:cstheme="minorHAnsi"/>
                <w:color w:val="auto"/>
              </w:rPr>
              <w:t>Aktualizacja Instrukcji Bezpieczeństwa Pożarowego dla budynków MSWiA. Okresowe szkolenia teoretyczne dla pracowników MSWiA oraz ćwiczenia praktyczne w czasie próbnych ewakuacji.</w:t>
            </w:r>
          </w:p>
        </w:tc>
      </w:tr>
      <w:tr w:rsidR="00BB2EC8" w14:paraId="4E2C0E3E" w14:textId="77777777" w:rsidTr="00BC263F">
        <w:tc>
          <w:tcPr>
            <w:tcW w:w="562" w:type="dxa"/>
          </w:tcPr>
          <w:p w14:paraId="70A65810" w14:textId="77777777" w:rsidR="002D2A38" w:rsidRPr="00565CF3" w:rsidRDefault="002D2A38" w:rsidP="00565CF3">
            <w:pPr>
              <w:pStyle w:val="Default"/>
              <w:numPr>
                <w:ilvl w:val="0"/>
                <w:numId w:val="5"/>
              </w:numPr>
              <w:spacing w:line="276" w:lineRule="auto"/>
              <w:ind w:left="-1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388D6489" w14:textId="0256D2CF" w:rsidR="002D2A38" w:rsidRPr="00F64246" w:rsidRDefault="00F64246" w:rsidP="00F6424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1F19DE">
              <w:rPr>
                <w:rFonts w:asciiTheme="minorHAnsi" w:hAnsiTheme="minorHAnsi" w:cstheme="minorHAnsi"/>
              </w:rPr>
              <w:t xml:space="preserve">Zapewnienie wstępu do budynków MSWiA osobie korzystającej z psa </w:t>
            </w:r>
            <w:r w:rsidRPr="001F19DE">
              <w:rPr>
                <w:rFonts w:asciiTheme="minorHAnsi" w:hAnsiTheme="minorHAnsi" w:cstheme="minorHAnsi"/>
              </w:rPr>
              <w:lastRenderedPageBreak/>
              <w:t>asystującego, zgodnie z art. 2 pkt 11 ustawy z dnia 27 sierpnia 1997 r. o rehabilitacji zawodowej i społecznej oraz zatrudnieniu osób niepełnosprawnych (Dz. U. z 2019 r. poz. 1172 i 1495) oraz zapewnienie w</w:t>
            </w:r>
            <w:r w:rsidR="006C4CF8" w:rsidRPr="001F19DE">
              <w:rPr>
                <w:rFonts w:asciiTheme="minorHAnsi" w:hAnsiTheme="minorHAnsi" w:cstheme="minorHAnsi"/>
              </w:rPr>
              <w:t>arunk</w:t>
            </w:r>
            <w:r w:rsidRPr="001F19DE">
              <w:rPr>
                <w:rFonts w:asciiTheme="minorHAnsi" w:hAnsiTheme="minorHAnsi" w:cstheme="minorHAnsi"/>
              </w:rPr>
              <w:t>ów</w:t>
            </w:r>
            <w:r w:rsidR="006C4CF8" w:rsidRPr="001F19DE">
              <w:rPr>
                <w:rFonts w:asciiTheme="minorHAnsi" w:hAnsiTheme="minorHAnsi" w:cstheme="minorHAnsi"/>
              </w:rPr>
              <w:t xml:space="preserve"> dla psa asystującego w budynkach MSWiA</w:t>
            </w:r>
            <w:r w:rsidR="00BB2EC8" w:rsidRPr="001F19DE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9072" w:type="dxa"/>
          </w:tcPr>
          <w:p w14:paraId="2356A607" w14:textId="60B10698" w:rsidR="002D2A38" w:rsidRPr="00565CF3" w:rsidRDefault="006C4CF8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A748E">
              <w:rPr>
                <w:rFonts w:asciiTheme="minorHAnsi" w:hAnsiTheme="minorHAnsi" w:cstheme="minorHAnsi"/>
                <w:color w:val="auto"/>
              </w:rPr>
              <w:lastRenderedPageBreak/>
              <w:t>Zakup</w:t>
            </w:r>
            <w:r w:rsidR="005B180A" w:rsidRPr="004A748E">
              <w:rPr>
                <w:rFonts w:asciiTheme="minorHAnsi" w:hAnsiTheme="minorHAnsi" w:cstheme="minorHAnsi"/>
                <w:color w:val="auto"/>
              </w:rPr>
              <w:t xml:space="preserve"> 4 </w:t>
            </w:r>
            <w:r w:rsidR="00F8533C">
              <w:rPr>
                <w:rFonts w:asciiTheme="minorHAnsi" w:hAnsiTheme="minorHAnsi" w:cstheme="minorHAnsi"/>
                <w:color w:val="auto"/>
              </w:rPr>
              <w:t>sztuk</w:t>
            </w:r>
            <w:r w:rsidRPr="004A748E">
              <w:rPr>
                <w:rFonts w:asciiTheme="minorHAnsi" w:hAnsiTheme="minorHAnsi" w:cstheme="minorHAnsi"/>
                <w:color w:val="auto"/>
              </w:rPr>
              <w:t xml:space="preserve"> misek </w:t>
            </w:r>
            <w:r w:rsidR="005B180A" w:rsidRPr="004A748E">
              <w:rPr>
                <w:rFonts w:asciiTheme="minorHAnsi" w:hAnsiTheme="minorHAnsi" w:cstheme="minorHAnsi"/>
                <w:color w:val="auto"/>
              </w:rPr>
              <w:t xml:space="preserve">na wodę </w:t>
            </w:r>
            <w:r w:rsidR="00F8533C">
              <w:rPr>
                <w:rFonts w:asciiTheme="minorHAnsi" w:hAnsiTheme="minorHAnsi" w:cstheme="minorHAnsi"/>
                <w:color w:val="auto"/>
              </w:rPr>
              <w:t>dla psów-</w:t>
            </w:r>
            <w:r w:rsidRPr="004A748E">
              <w:rPr>
                <w:rFonts w:asciiTheme="minorHAnsi" w:hAnsiTheme="minorHAnsi" w:cstheme="minorHAnsi"/>
                <w:color w:val="auto"/>
              </w:rPr>
              <w:t>przewodników</w:t>
            </w:r>
            <w:r w:rsidR="005B180A" w:rsidRPr="004A748E">
              <w:rPr>
                <w:rFonts w:asciiTheme="minorHAnsi" w:hAnsiTheme="minorHAnsi" w:cstheme="minorHAnsi"/>
                <w:color w:val="auto"/>
              </w:rPr>
              <w:t xml:space="preserve"> wraz ze stojakami</w:t>
            </w:r>
            <w:r w:rsidR="004A748E" w:rsidRPr="004A748E"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  <w:tr w:rsidR="00BB2EC8" w14:paraId="75ADE8DA" w14:textId="77777777" w:rsidTr="00BC263F">
        <w:tc>
          <w:tcPr>
            <w:tcW w:w="562" w:type="dxa"/>
          </w:tcPr>
          <w:p w14:paraId="0B2B471B" w14:textId="77777777" w:rsidR="002D2A38" w:rsidRPr="00565CF3" w:rsidRDefault="002D2A38" w:rsidP="00565CF3">
            <w:pPr>
              <w:pStyle w:val="Default"/>
              <w:numPr>
                <w:ilvl w:val="0"/>
                <w:numId w:val="5"/>
              </w:numPr>
              <w:spacing w:line="276" w:lineRule="auto"/>
              <w:ind w:left="-1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16537D79" w14:textId="77777777" w:rsidR="002D2A38" w:rsidRPr="00565CF3" w:rsidRDefault="009E23E5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65CF3">
              <w:rPr>
                <w:rFonts w:asciiTheme="minorHAnsi" w:hAnsiTheme="minorHAnsi" w:cstheme="minorHAnsi"/>
              </w:rPr>
              <w:t>Wejście do budynku</w:t>
            </w:r>
          </w:p>
        </w:tc>
        <w:tc>
          <w:tcPr>
            <w:tcW w:w="9072" w:type="dxa"/>
          </w:tcPr>
          <w:p w14:paraId="1C015A4F" w14:textId="3A4654C3" w:rsidR="009E23E5" w:rsidRPr="00D80D5B" w:rsidRDefault="005B180A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  <w:strike/>
                <w:color w:val="auto"/>
              </w:rPr>
            </w:pPr>
            <w:r w:rsidRPr="00D80D5B">
              <w:rPr>
                <w:rFonts w:asciiTheme="minorHAnsi" w:hAnsiTheme="minorHAnsi" w:cstheme="minorHAnsi"/>
                <w:color w:val="auto"/>
              </w:rPr>
              <w:t>Poprawa oznakowania</w:t>
            </w:r>
            <w:r w:rsidR="009E23E5" w:rsidRPr="00D80D5B">
              <w:rPr>
                <w:rFonts w:asciiTheme="minorHAnsi" w:hAnsiTheme="minorHAnsi" w:cstheme="minorHAnsi"/>
                <w:color w:val="auto"/>
              </w:rPr>
              <w:t xml:space="preserve"> krawędzi stopni przy wejści</w:t>
            </w:r>
            <w:r w:rsidRPr="00D80D5B">
              <w:rPr>
                <w:rFonts w:asciiTheme="minorHAnsi" w:hAnsiTheme="minorHAnsi" w:cstheme="minorHAnsi"/>
                <w:color w:val="auto"/>
              </w:rPr>
              <w:t>ach</w:t>
            </w:r>
            <w:r w:rsidR="009E23E5" w:rsidRPr="00D80D5B">
              <w:rPr>
                <w:rFonts w:asciiTheme="minorHAnsi" w:hAnsiTheme="minorHAnsi" w:cstheme="minorHAnsi"/>
                <w:color w:val="auto"/>
              </w:rPr>
              <w:t xml:space="preserve"> do budynk</w:t>
            </w:r>
            <w:r w:rsidRPr="00D80D5B">
              <w:rPr>
                <w:rFonts w:asciiTheme="minorHAnsi" w:hAnsiTheme="minorHAnsi" w:cstheme="minorHAnsi"/>
                <w:color w:val="auto"/>
              </w:rPr>
              <w:t>ów MSWiA oraz na klatkach schodowych wewnątrz budynków.</w:t>
            </w:r>
            <w:r w:rsidR="009E23E5" w:rsidRPr="00D80D5B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3C09645A" w14:textId="12265993" w:rsidR="001B4D00" w:rsidRPr="00D80D5B" w:rsidRDefault="001B4D00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80D5B">
              <w:rPr>
                <w:rFonts w:asciiTheme="minorHAnsi" w:hAnsiTheme="minorHAnsi" w:cstheme="minorHAnsi"/>
                <w:color w:val="auto"/>
              </w:rPr>
              <w:t>Instalacja pochwytów i balustrad na schodach wejściowych</w:t>
            </w:r>
            <w:r w:rsidR="004657C1" w:rsidRPr="00D80D5B">
              <w:rPr>
                <w:rFonts w:asciiTheme="minorHAnsi" w:hAnsiTheme="minorHAnsi" w:cstheme="minorHAnsi"/>
                <w:color w:val="auto"/>
              </w:rPr>
              <w:t xml:space="preserve"> w budynkach</w:t>
            </w:r>
            <w:r w:rsidR="004A748E" w:rsidRPr="00D80D5B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4F5BB746" w14:textId="6447199E" w:rsidR="001B4D00" w:rsidRPr="00D80D5B" w:rsidRDefault="001B4D00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80D5B">
              <w:rPr>
                <w:rFonts w:asciiTheme="minorHAnsi" w:hAnsiTheme="minorHAnsi" w:cstheme="minorHAnsi"/>
                <w:color w:val="auto"/>
              </w:rPr>
              <w:t>Zapewnienie właściwego poziomu skontrastowania drzwi wejściowych oraz oznakowanie powierzchni przeziernych</w:t>
            </w:r>
            <w:r w:rsidR="004A748E" w:rsidRPr="00D80D5B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0C92C576" w14:textId="78F9B5E5" w:rsidR="005B180A" w:rsidRPr="005B180A" w:rsidRDefault="005B180A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D80D5B">
              <w:rPr>
                <w:rFonts w:asciiTheme="minorHAnsi" w:hAnsiTheme="minorHAnsi" w:cstheme="minorHAnsi"/>
                <w:color w:val="auto"/>
              </w:rPr>
              <w:t xml:space="preserve">Dostosowanie drzwi wejściowych do budynku Biura Przepustek do potrzeb osób </w:t>
            </w:r>
            <w:r w:rsidR="004A748E" w:rsidRPr="00D80D5B">
              <w:rPr>
                <w:rFonts w:asciiTheme="minorHAnsi" w:hAnsiTheme="minorHAnsi" w:cstheme="minorHAnsi"/>
                <w:color w:val="auto"/>
              </w:rPr>
              <w:t>z</w:t>
            </w:r>
            <w:r w:rsidR="00700B7F">
              <w:rPr>
                <w:rFonts w:asciiTheme="minorHAnsi" w:hAnsiTheme="minorHAnsi" w:cstheme="minorHAnsi"/>
                <w:color w:val="auto"/>
              </w:rPr>
              <w:t> </w:t>
            </w:r>
            <w:r w:rsidRPr="00D80D5B">
              <w:rPr>
                <w:rFonts w:asciiTheme="minorHAnsi" w:hAnsiTheme="minorHAnsi" w:cstheme="minorHAnsi"/>
                <w:color w:val="auto"/>
              </w:rPr>
              <w:t>niepełnosprawn</w:t>
            </w:r>
            <w:r w:rsidR="004A748E" w:rsidRPr="00D80D5B">
              <w:rPr>
                <w:rFonts w:asciiTheme="minorHAnsi" w:hAnsiTheme="minorHAnsi" w:cstheme="minorHAnsi"/>
                <w:color w:val="auto"/>
              </w:rPr>
              <w:t>ościami,</w:t>
            </w:r>
            <w:r w:rsidRPr="00D80D5B">
              <w:rPr>
                <w:rFonts w:asciiTheme="minorHAnsi" w:hAnsiTheme="minorHAnsi" w:cstheme="minorHAnsi"/>
                <w:color w:val="auto"/>
              </w:rPr>
              <w:t xml:space="preserve"> m.in. instalacja automatów otwierania drzwi wraz z</w:t>
            </w:r>
            <w:r w:rsidR="00700B7F">
              <w:rPr>
                <w:rFonts w:asciiTheme="minorHAnsi" w:hAnsiTheme="minorHAnsi" w:cstheme="minorHAnsi"/>
                <w:color w:val="auto"/>
              </w:rPr>
              <w:t> </w:t>
            </w:r>
            <w:r w:rsidRPr="00D80D5B">
              <w:rPr>
                <w:rFonts w:asciiTheme="minorHAnsi" w:hAnsiTheme="minorHAnsi" w:cstheme="minorHAnsi"/>
                <w:color w:val="auto"/>
              </w:rPr>
              <w:t>oznakowaniem i</w:t>
            </w:r>
            <w:r w:rsidR="001B4D00" w:rsidRPr="00D80D5B">
              <w:rPr>
                <w:rFonts w:asciiTheme="minorHAnsi" w:hAnsiTheme="minorHAnsi" w:cstheme="minorHAnsi"/>
                <w:color w:val="auto"/>
              </w:rPr>
              <w:t> </w:t>
            </w:r>
            <w:r w:rsidRPr="00D80D5B">
              <w:rPr>
                <w:rFonts w:asciiTheme="minorHAnsi" w:hAnsiTheme="minorHAnsi" w:cstheme="minorHAnsi"/>
                <w:color w:val="auto"/>
              </w:rPr>
              <w:t>zapewnieniem informacji dotykowej.</w:t>
            </w:r>
          </w:p>
        </w:tc>
      </w:tr>
      <w:tr w:rsidR="005B180A" w:rsidRPr="005B180A" w14:paraId="3A96E70E" w14:textId="77777777" w:rsidTr="00BC263F">
        <w:tc>
          <w:tcPr>
            <w:tcW w:w="562" w:type="dxa"/>
          </w:tcPr>
          <w:p w14:paraId="2BCADABF" w14:textId="77777777" w:rsidR="005B180A" w:rsidRPr="005B180A" w:rsidRDefault="005B180A" w:rsidP="00565CF3">
            <w:pPr>
              <w:pStyle w:val="Default"/>
              <w:numPr>
                <w:ilvl w:val="0"/>
                <w:numId w:val="5"/>
              </w:numPr>
              <w:spacing w:line="276" w:lineRule="auto"/>
              <w:ind w:left="-17" w:firstLine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4111" w:type="dxa"/>
          </w:tcPr>
          <w:p w14:paraId="2036AC6D" w14:textId="77777777" w:rsidR="005B180A" w:rsidRPr="00D80D5B" w:rsidRDefault="005B180A" w:rsidP="005B180A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80D5B">
              <w:rPr>
                <w:rFonts w:asciiTheme="minorHAnsi" w:hAnsiTheme="minorHAnsi" w:cstheme="minorHAnsi"/>
                <w:color w:val="auto"/>
              </w:rPr>
              <w:t>Informacja o rozkładzie budynków i pomieszczeń w budynkach</w:t>
            </w:r>
          </w:p>
        </w:tc>
        <w:tc>
          <w:tcPr>
            <w:tcW w:w="9072" w:type="dxa"/>
          </w:tcPr>
          <w:p w14:paraId="6C819FAC" w14:textId="02AC5284" w:rsidR="005B180A" w:rsidRPr="00D80D5B" w:rsidRDefault="005B180A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80D5B">
              <w:rPr>
                <w:rFonts w:asciiTheme="minorHAnsi" w:hAnsiTheme="minorHAnsi" w:cstheme="minorHAnsi"/>
                <w:color w:val="auto"/>
              </w:rPr>
              <w:t>Zapewnienie informacji wizualnej i głosowej o rozkładzie budynków w kompleksie przy ul. Batorego 5</w:t>
            </w:r>
            <w:r w:rsidR="00D80D5B" w:rsidRPr="00D80D5B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43D76DAA" w14:textId="27E63219" w:rsidR="005B180A" w:rsidRPr="00D80D5B" w:rsidRDefault="005B180A" w:rsidP="00700B7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80D5B">
              <w:rPr>
                <w:rFonts w:asciiTheme="minorHAnsi" w:hAnsiTheme="minorHAnsi" w:cstheme="minorHAnsi"/>
                <w:color w:val="auto"/>
              </w:rPr>
              <w:t>Zapewnienie informacji głosowej o rozkładzie pomieszczeń w budynkach MSWiA poprzez wyznaczenie i przeszkolenie osób odpowiedzialnych za udzielanie informacji</w:t>
            </w:r>
            <w:r w:rsidR="00D80D5B" w:rsidRPr="00D80D5B"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</w:tbl>
    <w:p w14:paraId="38D8A843" w14:textId="77777777" w:rsidR="00B32D31" w:rsidRDefault="00B32D31" w:rsidP="00F54DE7">
      <w:pPr>
        <w:pStyle w:val="Default"/>
        <w:spacing w:line="276" w:lineRule="auto"/>
        <w:rPr>
          <w:rFonts w:asciiTheme="minorHAnsi" w:hAnsiTheme="minorHAnsi" w:cstheme="minorHAnsi"/>
          <w:b/>
          <w:sz w:val="19"/>
          <w:szCs w:val="19"/>
        </w:rPr>
      </w:pPr>
    </w:p>
    <w:p w14:paraId="4A2AC4D3" w14:textId="1502D033" w:rsidR="00BB2EC8" w:rsidRDefault="00B32D31" w:rsidP="00F54DE7">
      <w:pPr>
        <w:pStyle w:val="Default"/>
        <w:spacing w:line="276" w:lineRule="auto"/>
        <w:rPr>
          <w:rFonts w:asciiTheme="minorHAnsi" w:hAnsiTheme="minorHAnsi" w:cstheme="minorHAnsi"/>
        </w:rPr>
      </w:pPr>
      <w:r w:rsidRPr="00370666">
        <w:rPr>
          <w:rFonts w:asciiTheme="minorHAnsi" w:hAnsiTheme="minorHAnsi" w:cstheme="minorHAnsi"/>
          <w:b/>
        </w:rPr>
        <w:t>*</w:t>
      </w:r>
      <w:r w:rsidR="00BB2EC8" w:rsidRPr="00370666">
        <w:rPr>
          <w:rFonts w:asciiTheme="minorHAnsi" w:hAnsiTheme="minorHAnsi" w:cstheme="minorHAnsi"/>
        </w:rPr>
        <w:t>Ze względu na pełnioną funkcję (pies przewodnik, pies asystent) jest zwolniony z obowiązku noszenia kagańca i smyczy. Musi być jednak wyposażony w specjalną uprząż, posiadać certyfikat poświadczający jego status oraz aktualne zaświadczenie wystawione przez lekarza weterynarii o wymaganych szczepieniach. W razie wyrządzenia szkody przez psa asystującego osoba z niepełnosprawnością ponosi za nią odpowiedzialność</w:t>
      </w:r>
      <w:r w:rsidR="00700B7F">
        <w:rPr>
          <w:rFonts w:asciiTheme="minorHAnsi" w:hAnsiTheme="minorHAnsi" w:cstheme="minorHAnsi"/>
        </w:rPr>
        <w:t>.</w:t>
      </w:r>
    </w:p>
    <w:p w14:paraId="041C96E8" w14:textId="77777777" w:rsidR="001F19DE" w:rsidRPr="00370666" w:rsidRDefault="001F19DE" w:rsidP="00F54DE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7BDEC54D" w14:textId="7391EF2F" w:rsidR="00792182" w:rsidRPr="00DB2FBD" w:rsidRDefault="009E23E5" w:rsidP="001041EF">
      <w:pPr>
        <w:pStyle w:val="Nagwek1"/>
        <w:numPr>
          <w:ilvl w:val="0"/>
          <w:numId w:val="3"/>
        </w:numPr>
        <w:rPr>
          <w:rFonts w:asciiTheme="minorHAnsi" w:hAnsiTheme="minorHAnsi" w:cstheme="minorHAnsi"/>
          <w:b/>
          <w:color w:val="auto"/>
        </w:rPr>
      </w:pPr>
      <w:bookmarkStart w:id="7" w:name="_Toc78374194"/>
      <w:r w:rsidRPr="00DB2FBD">
        <w:rPr>
          <w:rFonts w:asciiTheme="minorHAnsi" w:hAnsiTheme="minorHAnsi" w:cstheme="minorHAnsi"/>
          <w:b/>
          <w:color w:val="auto"/>
        </w:rPr>
        <w:lastRenderedPageBreak/>
        <w:t xml:space="preserve">Zadania </w:t>
      </w:r>
      <w:r w:rsidR="00DB2FBD">
        <w:rPr>
          <w:rFonts w:asciiTheme="minorHAnsi" w:hAnsiTheme="minorHAnsi" w:cstheme="minorHAnsi"/>
          <w:b/>
          <w:color w:val="auto"/>
        </w:rPr>
        <w:t>–</w:t>
      </w:r>
      <w:r w:rsidR="00601201" w:rsidRPr="00DB2FBD">
        <w:rPr>
          <w:rFonts w:asciiTheme="minorHAnsi" w:hAnsiTheme="minorHAnsi" w:cstheme="minorHAnsi"/>
          <w:b/>
          <w:color w:val="auto"/>
        </w:rPr>
        <w:t xml:space="preserve"> d</w:t>
      </w:r>
      <w:r w:rsidR="00792182" w:rsidRPr="00DB2FBD">
        <w:rPr>
          <w:rFonts w:asciiTheme="minorHAnsi" w:hAnsiTheme="minorHAnsi" w:cstheme="minorHAnsi"/>
          <w:b/>
          <w:color w:val="auto"/>
        </w:rPr>
        <w:t>ostępność cyfrowa</w:t>
      </w:r>
      <w:bookmarkEnd w:id="7"/>
    </w:p>
    <w:p w14:paraId="2C440393" w14:textId="77777777" w:rsidR="00792182" w:rsidRDefault="00792182" w:rsidP="00F54DE7">
      <w:pPr>
        <w:pStyle w:val="Default"/>
        <w:spacing w:line="276" w:lineRule="auto"/>
        <w:rPr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9072"/>
      </w:tblGrid>
      <w:tr w:rsidR="00792182" w14:paraId="37149834" w14:textId="77777777" w:rsidTr="001B4D00">
        <w:tc>
          <w:tcPr>
            <w:tcW w:w="562" w:type="dxa"/>
          </w:tcPr>
          <w:p w14:paraId="4849E7C2" w14:textId="1B41DFFF" w:rsidR="00792182" w:rsidRPr="00474F14" w:rsidRDefault="00792182" w:rsidP="0060120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74F14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111" w:type="dxa"/>
          </w:tcPr>
          <w:p w14:paraId="564CD0A5" w14:textId="493B0C22" w:rsidR="00792182" w:rsidRPr="00474F14" w:rsidRDefault="00792182" w:rsidP="0060120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74F14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9072" w:type="dxa"/>
          </w:tcPr>
          <w:p w14:paraId="5BED3B9B" w14:textId="77777777" w:rsidR="00792182" w:rsidRPr="00474F14" w:rsidRDefault="00792182" w:rsidP="0060120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74F14">
              <w:rPr>
                <w:rFonts w:asciiTheme="minorHAnsi" w:hAnsiTheme="minorHAnsi" w:cstheme="minorHAnsi"/>
              </w:rPr>
              <w:t>Działanie</w:t>
            </w:r>
          </w:p>
        </w:tc>
      </w:tr>
      <w:tr w:rsidR="00792182" w:rsidRPr="00B32D31" w14:paraId="27241169" w14:textId="77777777" w:rsidTr="001B4D00">
        <w:tc>
          <w:tcPr>
            <w:tcW w:w="562" w:type="dxa"/>
          </w:tcPr>
          <w:p w14:paraId="2C1FD623" w14:textId="0E871B1F" w:rsidR="00792182" w:rsidRPr="00B32D31" w:rsidRDefault="00B32D31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111" w:type="dxa"/>
          </w:tcPr>
          <w:p w14:paraId="63019380" w14:textId="77777777" w:rsidR="00B32D31" w:rsidRPr="00B32D31" w:rsidRDefault="00B32D31" w:rsidP="00B32D31">
            <w:pPr>
              <w:rPr>
                <w:rFonts w:cstheme="minorHAnsi"/>
                <w:sz w:val="24"/>
                <w:szCs w:val="24"/>
              </w:rPr>
            </w:pPr>
            <w:r w:rsidRPr="00B32D31">
              <w:rPr>
                <w:rFonts w:cstheme="minorHAnsi"/>
                <w:sz w:val="24"/>
                <w:szCs w:val="24"/>
              </w:rPr>
              <w:t>Dostosowanie dokumentów</w:t>
            </w:r>
          </w:p>
          <w:p w14:paraId="4E847C4D" w14:textId="77777777" w:rsidR="00B32D31" w:rsidRPr="00B32D31" w:rsidRDefault="00B32D31" w:rsidP="00B32D31">
            <w:pPr>
              <w:rPr>
                <w:rFonts w:cstheme="minorHAnsi"/>
                <w:sz w:val="24"/>
                <w:szCs w:val="24"/>
              </w:rPr>
            </w:pPr>
            <w:r w:rsidRPr="00B32D31">
              <w:rPr>
                <w:rFonts w:cstheme="minorHAnsi"/>
                <w:sz w:val="24"/>
                <w:szCs w:val="24"/>
              </w:rPr>
              <w:t>elektronicznych do wymagań ustawy z</w:t>
            </w:r>
          </w:p>
          <w:p w14:paraId="4BA177E7" w14:textId="77777777" w:rsidR="00B32D31" w:rsidRPr="00B32D31" w:rsidRDefault="00B32D31" w:rsidP="00B32D31">
            <w:pPr>
              <w:rPr>
                <w:rFonts w:cstheme="minorHAnsi"/>
                <w:sz w:val="24"/>
                <w:szCs w:val="24"/>
              </w:rPr>
            </w:pPr>
            <w:r w:rsidRPr="00B32D31">
              <w:rPr>
                <w:rFonts w:cstheme="minorHAnsi"/>
                <w:sz w:val="24"/>
                <w:szCs w:val="24"/>
              </w:rPr>
              <w:t>dnia 4 kwietnia 2019 r. o dostępności</w:t>
            </w:r>
          </w:p>
          <w:p w14:paraId="0C81C245" w14:textId="77777777" w:rsidR="00B32D31" w:rsidRPr="00B32D31" w:rsidRDefault="00B32D31" w:rsidP="00B32D31">
            <w:pPr>
              <w:rPr>
                <w:rFonts w:cstheme="minorHAnsi"/>
                <w:sz w:val="24"/>
                <w:szCs w:val="24"/>
              </w:rPr>
            </w:pPr>
            <w:r w:rsidRPr="00B32D31">
              <w:rPr>
                <w:rFonts w:cstheme="minorHAnsi"/>
                <w:sz w:val="24"/>
                <w:szCs w:val="24"/>
              </w:rPr>
              <w:t>cyfrowej stron internetowych i aplikacji</w:t>
            </w:r>
          </w:p>
          <w:p w14:paraId="7E2BD634" w14:textId="77777777" w:rsidR="00B32D31" w:rsidRDefault="00B32D31" w:rsidP="00B32D31">
            <w:pPr>
              <w:rPr>
                <w:rFonts w:cstheme="minorHAnsi"/>
                <w:sz w:val="24"/>
                <w:szCs w:val="24"/>
              </w:rPr>
            </w:pPr>
            <w:r w:rsidRPr="00B32D31">
              <w:rPr>
                <w:rFonts w:cstheme="minorHAnsi"/>
                <w:sz w:val="24"/>
                <w:szCs w:val="24"/>
              </w:rPr>
              <w:t>mobilnych podmiotów publicznych</w:t>
            </w:r>
          </w:p>
          <w:p w14:paraId="3C50C090" w14:textId="25A96061" w:rsidR="00B32D31" w:rsidRPr="00B32D31" w:rsidRDefault="00B32D31" w:rsidP="00B32D31">
            <w:pPr>
              <w:rPr>
                <w:rFonts w:cstheme="minorHAnsi"/>
                <w:sz w:val="24"/>
                <w:szCs w:val="24"/>
              </w:rPr>
            </w:pPr>
            <w:r w:rsidRPr="00B32D31">
              <w:rPr>
                <w:rFonts w:cstheme="minorHAnsi"/>
                <w:sz w:val="24"/>
                <w:szCs w:val="24"/>
              </w:rPr>
              <w:t>(Dz. U.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01201">
              <w:rPr>
                <w:rFonts w:cstheme="minorHAnsi"/>
                <w:sz w:val="24"/>
                <w:szCs w:val="24"/>
              </w:rPr>
              <w:t>poz. 848)</w:t>
            </w:r>
          </w:p>
          <w:p w14:paraId="5C66CEFC" w14:textId="77777777" w:rsidR="00792182" w:rsidRPr="00B32D31" w:rsidRDefault="00792182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</w:tcPr>
          <w:p w14:paraId="424C88A1" w14:textId="3B651082" w:rsidR="00B32D31" w:rsidRDefault="00B32D31" w:rsidP="00B32D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B32D31">
              <w:rPr>
                <w:rFonts w:cstheme="minorHAnsi"/>
                <w:sz w:val="24"/>
                <w:szCs w:val="24"/>
              </w:rPr>
              <w:t>rzypomnienie pracownikom komórek organizacyjnych MSWiA o obowiązku</w:t>
            </w:r>
            <w:r w:rsidR="00700B7F">
              <w:rPr>
                <w:rFonts w:cstheme="minorHAnsi"/>
                <w:sz w:val="24"/>
                <w:szCs w:val="24"/>
              </w:rPr>
              <w:t xml:space="preserve"> </w:t>
            </w:r>
            <w:r w:rsidRPr="00B32D31">
              <w:rPr>
                <w:rFonts w:cstheme="minorHAnsi"/>
                <w:sz w:val="24"/>
                <w:szCs w:val="24"/>
              </w:rPr>
              <w:t>dostosow</w:t>
            </w:r>
            <w:r w:rsidR="00F64246">
              <w:rPr>
                <w:rFonts w:cstheme="minorHAnsi"/>
                <w:sz w:val="24"/>
                <w:szCs w:val="24"/>
              </w:rPr>
              <w:t>ywania</w:t>
            </w:r>
            <w:r w:rsidRPr="00B32D31">
              <w:rPr>
                <w:rFonts w:cstheme="minorHAnsi"/>
                <w:sz w:val="24"/>
                <w:szCs w:val="24"/>
              </w:rPr>
              <w:t xml:space="preserve"> dokumentów elektronicznych </w:t>
            </w:r>
            <w:r w:rsidR="00F64246">
              <w:rPr>
                <w:rFonts w:cstheme="minorHAnsi"/>
                <w:sz w:val="24"/>
                <w:szCs w:val="24"/>
              </w:rPr>
              <w:t xml:space="preserve">tak, </w:t>
            </w:r>
            <w:r w:rsidRPr="00B32D31">
              <w:rPr>
                <w:rFonts w:cstheme="minorHAnsi"/>
                <w:sz w:val="24"/>
                <w:szCs w:val="24"/>
              </w:rPr>
              <w:t>aby zapewniały one wymagania dostępności cyfrowej – były odczytywane przez programy, czytniki, z których korzystają osoby z niepełnosprawnością wzroku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F911824" w14:textId="77777777" w:rsidR="00B32D31" w:rsidRPr="00B32D31" w:rsidRDefault="00B32D31" w:rsidP="00B32D31">
            <w:pPr>
              <w:rPr>
                <w:rFonts w:cstheme="minorHAnsi"/>
                <w:sz w:val="24"/>
                <w:szCs w:val="24"/>
              </w:rPr>
            </w:pPr>
          </w:p>
          <w:p w14:paraId="6F1F8451" w14:textId="6FB2E492" w:rsidR="00792182" w:rsidRPr="00B32D31" w:rsidRDefault="00B32D31" w:rsidP="00F642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Pr="00B32D31">
              <w:rPr>
                <w:rFonts w:cstheme="minorHAnsi"/>
                <w:sz w:val="24"/>
                <w:szCs w:val="24"/>
              </w:rPr>
              <w:t>ystosowanie pisma</w:t>
            </w:r>
            <w:r w:rsidR="00F64246">
              <w:rPr>
                <w:rFonts w:cstheme="minorHAnsi"/>
                <w:sz w:val="24"/>
                <w:szCs w:val="24"/>
              </w:rPr>
              <w:t xml:space="preserve"> </w:t>
            </w:r>
            <w:r w:rsidRPr="00B32D31">
              <w:rPr>
                <w:rFonts w:cstheme="minorHAnsi"/>
                <w:sz w:val="24"/>
                <w:szCs w:val="24"/>
              </w:rPr>
              <w:t xml:space="preserve">do wszystkich Biur/Departamentów MSWiA, w którym znajdą się uporządkowane </w:t>
            </w:r>
            <w:r w:rsidR="00F64246">
              <w:rPr>
                <w:rFonts w:cstheme="minorHAnsi"/>
                <w:sz w:val="24"/>
                <w:szCs w:val="24"/>
              </w:rPr>
              <w:t>tzw. „</w:t>
            </w:r>
            <w:r w:rsidRPr="00B32D31">
              <w:rPr>
                <w:rFonts w:cstheme="minorHAnsi"/>
                <w:sz w:val="24"/>
                <w:szCs w:val="24"/>
              </w:rPr>
              <w:t>dobre praktyki</w:t>
            </w:r>
            <w:r w:rsidR="00F64246">
              <w:rPr>
                <w:rFonts w:cstheme="minorHAnsi"/>
                <w:sz w:val="24"/>
                <w:szCs w:val="24"/>
              </w:rPr>
              <w:t>”</w:t>
            </w:r>
            <w:r w:rsidRPr="00B32D31">
              <w:rPr>
                <w:rFonts w:cstheme="minorHAnsi"/>
                <w:sz w:val="24"/>
                <w:szCs w:val="24"/>
              </w:rPr>
              <w:t xml:space="preserve"> </w:t>
            </w:r>
            <w:r w:rsidR="00F64246">
              <w:rPr>
                <w:rFonts w:cstheme="minorHAnsi"/>
                <w:sz w:val="24"/>
                <w:szCs w:val="24"/>
              </w:rPr>
              <w:t xml:space="preserve">(o </w:t>
            </w:r>
            <w:r w:rsidR="00F64246" w:rsidRPr="00B32D31">
              <w:rPr>
                <w:rFonts w:cstheme="minorHAnsi"/>
                <w:sz w:val="24"/>
                <w:szCs w:val="24"/>
              </w:rPr>
              <w:t>charakter</w:t>
            </w:r>
            <w:r w:rsidR="00F64246">
              <w:rPr>
                <w:rFonts w:cstheme="minorHAnsi"/>
                <w:sz w:val="24"/>
                <w:szCs w:val="24"/>
              </w:rPr>
              <w:t>ze</w:t>
            </w:r>
            <w:r w:rsidR="00F64246" w:rsidRPr="00B32D31">
              <w:rPr>
                <w:rFonts w:cstheme="minorHAnsi"/>
                <w:sz w:val="24"/>
                <w:szCs w:val="24"/>
              </w:rPr>
              <w:t xml:space="preserve"> mini-przewodnika</w:t>
            </w:r>
            <w:r w:rsidR="00F64246">
              <w:rPr>
                <w:rFonts w:cstheme="minorHAnsi"/>
                <w:sz w:val="24"/>
                <w:szCs w:val="24"/>
              </w:rPr>
              <w:t xml:space="preserve">) </w:t>
            </w:r>
            <w:r w:rsidRPr="00B32D31">
              <w:rPr>
                <w:rFonts w:cstheme="minorHAnsi"/>
                <w:sz w:val="24"/>
                <w:szCs w:val="24"/>
              </w:rPr>
              <w:t xml:space="preserve">tworzenia dostępnych dokumentów elektronicznych. Każdy pracownik MSWiA będzie zobligowany do zapoznania się z </w:t>
            </w:r>
            <w:r w:rsidR="00F64246">
              <w:rPr>
                <w:rFonts w:cstheme="minorHAnsi"/>
                <w:sz w:val="24"/>
                <w:szCs w:val="24"/>
              </w:rPr>
              <w:t>wytycznymi zawartymi w mini-przewodniku.</w:t>
            </w:r>
            <w:r w:rsidR="00700B7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92182" w:rsidRPr="00B32D31" w14:paraId="50C78C83" w14:textId="77777777" w:rsidTr="001B4D00">
        <w:tc>
          <w:tcPr>
            <w:tcW w:w="562" w:type="dxa"/>
          </w:tcPr>
          <w:p w14:paraId="2DBCB7E5" w14:textId="70282231" w:rsidR="00792182" w:rsidRPr="00B32D31" w:rsidRDefault="00B32D31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111" w:type="dxa"/>
          </w:tcPr>
          <w:p w14:paraId="3BE7A25C" w14:textId="79676228" w:rsidR="00792182" w:rsidRPr="00B32D31" w:rsidRDefault="00B32D31" w:rsidP="005650D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</w:rPr>
              <w:t xml:space="preserve">Dbałość o aktualną wersję deklaracji dostępności </w:t>
            </w:r>
            <w:r w:rsidR="00601201">
              <w:rPr>
                <w:rFonts w:asciiTheme="minorHAnsi" w:hAnsiTheme="minorHAnsi" w:cstheme="minorHAnsi"/>
              </w:rPr>
              <w:t>dotyczącej strony głównej MSWiA</w:t>
            </w:r>
          </w:p>
        </w:tc>
        <w:tc>
          <w:tcPr>
            <w:tcW w:w="9072" w:type="dxa"/>
          </w:tcPr>
          <w:p w14:paraId="3925EBC0" w14:textId="06249AF2" w:rsidR="00B32D31" w:rsidRPr="005650DA" w:rsidRDefault="00B32D31" w:rsidP="00B32D31">
            <w:pPr>
              <w:rPr>
                <w:rFonts w:cstheme="minorHAnsi"/>
                <w:sz w:val="24"/>
                <w:szCs w:val="24"/>
              </w:rPr>
            </w:pPr>
            <w:r w:rsidRPr="005650DA">
              <w:rPr>
                <w:rFonts w:cstheme="minorHAnsi"/>
                <w:sz w:val="24"/>
                <w:szCs w:val="24"/>
              </w:rPr>
              <w:t>Coroczna aktualizacja deklaracji dostępności strony głównej MSWiA</w:t>
            </w:r>
            <w:r w:rsidR="005650DA" w:rsidRPr="005650DA">
              <w:rPr>
                <w:rFonts w:cstheme="minorHAnsi"/>
                <w:sz w:val="24"/>
                <w:szCs w:val="24"/>
              </w:rPr>
              <w:t xml:space="preserve"> –</w:t>
            </w:r>
            <w:r w:rsidR="005650DA" w:rsidRPr="005650DA">
              <w:rPr>
                <w:sz w:val="24"/>
                <w:szCs w:val="24"/>
              </w:rPr>
              <w:t xml:space="preserve"> do dnia 31 marca każdego roku oraz</w:t>
            </w:r>
            <w:r w:rsidR="00700B7F">
              <w:rPr>
                <w:sz w:val="24"/>
                <w:szCs w:val="24"/>
              </w:rPr>
              <w:t xml:space="preserve"> </w:t>
            </w:r>
            <w:r w:rsidR="005650DA" w:rsidRPr="005650DA">
              <w:rPr>
                <w:sz w:val="24"/>
                <w:szCs w:val="24"/>
              </w:rPr>
              <w:t>niezwłocznie w każdym przypadku, mogącym mieć wpływ na dostępność cyfrową (art. 11 ustawy o dostępności cyfrowej</w:t>
            </w:r>
            <w:r w:rsidR="00700B7F">
              <w:rPr>
                <w:sz w:val="24"/>
                <w:szCs w:val="24"/>
              </w:rPr>
              <w:t>)</w:t>
            </w:r>
            <w:r w:rsidR="005650DA">
              <w:rPr>
                <w:sz w:val="24"/>
                <w:szCs w:val="24"/>
              </w:rPr>
              <w:t>.</w:t>
            </w:r>
          </w:p>
          <w:p w14:paraId="404C78EA" w14:textId="77777777" w:rsidR="00792182" w:rsidRPr="00B32D31" w:rsidRDefault="00792182" w:rsidP="00B32D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792182" w:rsidRPr="00B32D31" w14:paraId="4F87F788" w14:textId="77777777" w:rsidTr="001B4D00">
        <w:tc>
          <w:tcPr>
            <w:tcW w:w="562" w:type="dxa"/>
          </w:tcPr>
          <w:p w14:paraId="12665FD3" w14:textId="4EB498E7" w:rsidR="00792182" w:rsidRPr="00B32D31" w:rsidRDefault="00B32D31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111" w:type="dxa"/>
          </w:tcPr>
          <w:p w14:paraId="7C76DA25" w14:textId="04F8E541" w:rsidR="00792182" w:rsidRPr="005650DA" w:rsidRDefault="005650DA" w:rsidP="005650DA">
            <w:pPr>
              <w:rPr>
                <w:rFonts w:cstheme="minorHAnsi"/>
                <w:sz w:val="24"/>
                <w:szCs w:val="24"/>
              </w:rPr>
            </w:pPr>
            <w:r w:rsidRPr="005650DA">
              <w:rPr>
                <w:sz w:val="24"/>
                <w:szCs w:val="24"/>
              </w:rPr>
              <w:t>Przegląd i aktualizacja deklaracji dostępności cyfrowych dot.</w:t>
            </w:r>
            <w:r w:rsidR="00601201">
              <w:rPr>
                <w:rFonts w:cstheme="minorHAnsi"/>
                <w:sz w:val="24"/>
                <w:szCs w:val="24"/>
              </w:rPr>
              <w:t xml:space="preserve"> innych stron MSWiA</w:t>
            </w:r>
          </w:p>
        </w:tc>
        <w:tc>
          <w:tcPr>
            <w:tcW w:w="9072" w:type="dxa"/>
          </w:tcPr>
          <w:p w14:paraId="769BBBFE" w14:textId="0313DFE9" w:rsidR="00792182" w:rsidRPr="00B32D31" w:rsidRDefault="00B32D31" w:rsidP="00F3554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K</w:t>
            </w:r>
            <w:r w:rsidRPr="00B32D31">
              <w:rPr>
                <w:rFonts w:cstheme="minorHAnsi"/>
                <w:sz w:val="24"/>
                <w:szCs w:val="24"/>
              </w:rPr>
              <w:t>ontrola aktualności deklaracji dostępności innych stron MSWiA</w:t>
            </w:r>
            <w:r w:rsidR="00601201">
              <w:rPr>
                <w:rFonts w:cstheme="minorHAnsi"/>
                <w:sz w:val="24"/>
                <w:szCs w:val="24"/>
              </w:rPr>
              <w:t xml:space="preserve"> –</w:t>
            </w:r>
            <w:r w:rsidR="00700B7F">
              <w:rPr>
                <w:rFonts w:cstheme="minorHAnsi"/>
                <w:sz w:val="24"/>
                <w:szCs w:val="24"/>
              </w:rPr>
              <w:t xml:space="preserve"> </w:t>
            </w:r>
            <w:r w:rsidR="005650DA" w:rsidRPr="005650DA">
              <w:rPr>
                <w:sz w:val="24"/>
                <w:szCs w:val="24"/>
              </w:rPr>
              <w:t>do dnia 31 marca każdego roku oraz</w:t>
            </w:r>
            <w:r w:rsidR="00700B7F">
              <w:rPr>
                <w:sz w:val="24"/>
                <w:szCs w:val="24"/>
              </w:rPr>
              <w:t xml:space="preserve"> </w:t>
            </w:r>
            <w:r w:rsidR="005650DA" w:rsidRPr="005650DA">
              <w:rPr>
                <w:sz w:val="24"/>
                <w:szCs w:val="24"/>
              </w:rPr>
              <w:t>niezwłocznie w każdym przypadku, mogącym mieć wpływ na dostępność cyfrową (art. 11 ustawy o dostępności cyfrowej</w:t>
            </w:r>
            <w:r w:rsidR="00700B7F">
              <w:rPr>
                <w:sz w:val="24"/>
                <w:szCs w:val="24"/>
              </w:rPr>
              <w:t>)</w:t>
            </w:r>
            <w:r w:rsidR="005650DA">
              <w:rPr>
                <w:sz w:val="24"/>
                <w:szCs w:val="24"/>
              </w:rPr>
              <w:t>.</w:t>
            </w:r>
          </w:p>
        </w:tc>
      </w:tr>
      <w:tr w:rsidR="00792182" w:rsidRPr="00B32D31" w14:paraId="27191A64" w14:textId="77777777" w:rsidTr="001B4D00">
        <w:tc>
          <w:tcPr>
            <w:tcW w:w="562" w:type="dxa"/>
          </w:tcPr>
          <w:p w14:paraId="2E300AC7" w14:textId="015AAD5D" w:rsidR="00792182" w:rsidRPr="00B32D31" w:rsidRDefault="00B32D31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111" w:type="dxa"/>
          </w:tcPr>
          <w:p w14:paraId="041A3D21" w14:textId="4A044354" w:rsidR="00792182" w:rsidRPr="00B32D31" w:rsidRDefault="00B32D31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</w:rPr>
              <w:t>Popularyzacja wśród pr</w:t>
            </w:r>
            <w:r w:rsidR="00601201">
              <w:rPr>
                <w:rFonts w:asciiTheme="minorHAnsi" w:hAnsiTheme="minorHAnsi" w:cstheme="minorHAnsi"/>
              </w:rPr>
              <w:t>acowników MSWiA prostego języka</w:t>
            </w:r>
          </w:p>
        </w:tc>
        <w:tc>
          <w:tcPr>
            <w:tcW w:w="9072" w:type="dxa"/>
          </w:tcPr>
          <w:p w14:paraId="2A22B671" w14:textId="1EC3FE8A" w:rsidR="00B32D31" w:rsidRPr="00B32D31" w:rsidRDefault="00B32D31" w:rsidP="00B32D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B32D31">
              <w:rPr>
                <w:rFonts w:cstheme="minorHAnsi"/>
                <w:sz w:val="24"/>
                <w:szCs w:val="24"/>
              </w:rPr>
              <w:t>zkolenia i publikacje na stronie intranetowej MSWiA dotyczące używania prostego języka (</w:t>
            </w:r>
            <w:r w:rsidR="00F35540" w:rsidRPr="00F35540">
              <w:rPr>
                <w:rFonts w:cstheme="minorHAnsi"/>
                <w:i/>
                <w:sz w:val="24"/>
                <w:szCs w:val="24"/>
              </w:rPr>
              <w:t xml:space="preserve">plane language oraz zasad </w:t>
            </w:r>
            <w:r w:rsidRPr="00F35540">
              <w:rPr>
                <w:rFonts w:cstheme="minorHAnsi"/>
                <w:i/>
                <w:sz w:val="24"/>
                <w:szCs w:val="24"/>
              </w:rPr>
              <w:t>Easy to Read</w:t>
            </w:r>
            <w:r w:rsidRPr="00B32D31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B32D3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DA7BD60" w14:textId="77777777" w:rsidR="00792182" w:rsidRPr="00B32D31" w:rsidRDefault="00792182" w:rsidP="00B32D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792182" w:rsidRPr="00B32D31" w14:paraId="04BC86EA" w14:textId="77777777" w:rsidTr="001B4D00">
        <w:tc>
          <w:tcPr>
            <w:tcW w:w="562" w:type="dxa"/>
          </w:tcPr>
          <w:p w14:paraId="09163464" w14:textId="0EB97B4A" w:rsidR="00792182" w:rsidRPr="00B32D31" w:rsidRDefault="00B32D31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111" w:type="dxa"/>
          </w:tcPr>
          <w:p w14:paraId="33E48D70" w14:textId="7C0985BC" w:rsidR="00792182" w:rsidRPr="00B32D31" w:rsidRDefault="00B32D31" w:rsidP="00B32D31">
            <w:pPr>
              <w:rPr>
                <w:rFonts w:cstheme="minorHAnsi"/>
                <w:sz w:val="24"/>
                <w:szCs w:val="24"/>
              </w:rPr>
            </w:pPr>
            <w:r w:rsidRPr="00B32D31">
              <w:rPr>
                <w:rFonts w:cstheme="minorHAnsi"/>
                <w:sz w:val="24"/>
                <w:szCs w:val="24"/>
              </w:rPr>
              <w:t>Podnoszenie poziomu publikowanych treści na stronie głównej MSWiA oraz innych stronach MSWiA po</w:t>
            </w:r>
            <w:r w:rsidR="00601201">
              <w:rPr>
                <w:rFonts w:cstheme="minorHAnsi"/>
                <w:sz w:val="24"/>
                <w:szCs w:val="24"/>
              </w:rPr>
              <w:t>d względem dostępności cyfrowej</w:t>
            </w:r>
          </w:p>
        </w:tc>
        <w:tc>
          <w:tcPr>
            <w:tcW w:w="9072" w:type="dxa"/>
          </w:tcPr>
          <w:p w14:paraId="01DB3717" w14:textId="70BB65EF" w:rsidR="00B32D31" w:rsidRPr="00B32D31" w:rsidRDefault="00B32D31" w:rsidP="00B32D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B32D31">
              <w:rPr>
                <w:rFonts w:cstheme="minorHAnsi"/>
                <w:sz w:val="24"/>
                <w:szCs w:val="24"/>
              </w:rPr>
              <w:t>zkolenia dla redaktorów stron www MSWiA z zakresu publikacji treści w sposób dostępny cyfrowo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212C280" w14:textId="77777777" w:rsidR="00792182" w:rsidRPr="00B32D31" w:rsidRDefault="00792182" w:rsidP="00B32D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792182" w:rsidRPr="00B32D31" w14:paraId="095F0A50" w14:textId="77777777" w:rsidTr="001B4D00">
        <w:tc>
          <w:tcPr>
            <w:tcW w:w="562" w:type="dxa"/>
          </w:tcPr>
          <w:p w14:paraId="4F906D63" w14:textId="7CBB89B1" w:rsidR="00792182" w:rsidRPr="00B32D31" w:rsidRDefault="00B32D31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111" w:type="dxa"/>
          </w:tcPr>
          <w:p w14:paraId="72C15983" w14:textId="37CF3149" w:rsidR="00792182" w:rsidRPr="00B32D31" w:rsidRDefault="00B32D31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</w:rPr>
              <w:t>Zapewnienie dostępnych mu</w:t>
            </w:r>
            <w:r w:rsidR="00601201">
              <w:rPr>
                <w:rFonts w:asciiTheme="minorHAnsi" w:hAnsiTheme="minorHAnsi" w:cstheme="minorHAnsi"/>
              </w:rPr>
              <w:t>ltimediów na stronach www MSWiA</w:t>
            </w:r>
          </w:p>
        </w:tc>
        <w:tc>
          <w:tcPr>
            <w:tcW w:w="9072" w:type="dxa"/>
          </w:tcPr>
          <w:p w14:paraId="1BC618D8" w14:textId="734DEFE2" w:rsidR="00B32D31" w:rsidRPr="00B32D31" w:rsidRDefault="00B32D31" w:rsidP="00B32D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B32D31">
              <w:rPr>
                <w:rFonts w:cstheme="minorHAnsi"/>
                <w:sz w:val="24"/>
                <w:szCs w:val="24"/>
              </w:rPr>
              <w:t>zkolenia dla redaktorów stron www z tworzenia dostępnych multimediów tj. zdjęcia</w:t>
            </w:r>
            <w:r w:rsidR="00700B7F">
              <w:rPr>
                <w:rFonts w:cstheme="minorHAnsi"/>
                <w:sz w:val="24"/>
                <w:szCs w:val="24"/>
              </w:rPr>
              <w:t xml:space="preserve"> lub</w:t>
            </w:r>
            <w:r w:rsidRPr="00B32D31">
              <w:rPr>
                <w:rFonts w:cstheme="minorHAnsi"/>
                <w:sz w:val="24"/>
                <w:szCs w:val="24"/>
              </w:rPr>
              <w:t xml:space="preserve"> filmy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E93DBAA" w14:textId="77777777" w:rsidR="00792182" w:rsidRPr="00B32D31" w:rsidRDefault="00792182" w:rsidP="00B32D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2DBDEB05" w14:textId="64FB56F0" w:rsidR="00792182" w:rsidRPr="00601201" w:rsidRDefault="00601201" w:rsidP="001041EF">
      <w:pPr>
        <w:pStyle w:val="Nagwek1"/>
        <w:numPr>
          <w:ilvl w:val="0"/>
          <w:numId w:val="3"/>
        </w:numPr>
        <w:rPr>
          <w:rFonts w:asciiTheme="minorHAnsi" w:hAnsiTheme="minorHAnsi" w:cstheme="minorHAnsi"/>
          <w:b/>
        </w:rPr>
      </w:pPr>
      <w:bookmarkStart w:id="8" w:name="_Toc78374195"/>
      <w:r w:rsidRPr="00601201">
        <w:rPr>
          <w:rFonts w:asciiTheme="minorHAnsi" w:hAnsiTheme="minorHAnsi" w:cstheme="minorHAnsi"/>
          <w:b/>
          <w:color w:val="auto"/>
        </w:rPr>
        <w:lastRenderedPageBreak/>
        <w:t>Zadania – d</w:t>
      </w:r>
      <w:r w:rsidR="00792182" w:rsidRPr="00601201">
        <w:rPr>
          <w:rFonts w:asciiTheme="minorHAnsi" w:hAnsiTheme="minorHAnsi" w:cstheme="minorHAnsi"/>
          <w:b/>
          <w:color w:val="auto"/>
        </w:rPr>
        <w:t>ostępność informacyjno-komunikacyjna</w:t>
      </w:r>
      <w:bookmarkEnd w:id="8"/>
    </w:p>
    <w:p w14:paraId="6877A190" w14:textId="77777777" w:rsidR="00792182" w:rsidRPr="00B32D31" w:rsidRDefault="00792182" w:rsidP="00F54DE7">
      <w:pPr>
        <w:pStyle w:val="Default"/>
        <w:spacing w:line="276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9072"/>
      </w:tblGrid>
      <w:tr w:rsidR="00287C71" w:rsidRPr="00B32D31" w14:paraId="19E89466" w14:textId="77777777" w:rsidTr="001B4D00">
        <w:tc>
          <w:tcPr>
            <w:tcW w:w="562" w:type="dxa"/>
          </w:tcPr>
          <w:p w14:paraId="507E11F7" w14:textId="76328737" w:rsidR="00792182" w:rsidRPr="00B32D31" w:rsidRDefault="00792182" w:rsidP="0060120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111" w:type="dxa"/>
          </w:tcPr>
          <w:p w14:paraId="0F8405DA" w14:textId="0B7A3914" w:rsidR="00792182" w:rsidRPr="00B32D31" w:rsidRDefault="00792182" w:rsidP="0060120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9072" w:type="dxa"/>
          </w:tcPr>
          <w:p w14:paraId="56E13CDB" w14:textId="77777777" w:rsidR="00792182" w:rsidRPr="00B32D31" w:rsidRDefault="00792182" w:rsidP="0060120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</w:rPr>
              <w:t>Działanie</w:t>
            </w:r>
          </w:p>
        </w:tc>
      </w:tr>
      <w:tr w:rsidR="00287C71" w:rsidRPr="00B32D31" w14:paraId="388CDC04" w14:textId="77777777" w:rsidTr="001B4D00">
        <w:tc>
          <w:tcPr>
            <w:tcW w:w="562" w:type="dxa"/>
          </w:tcPr>
          <w:p w14:paraId="0A91C3AE" w14:textId="77777777" w:rsidR="00792182" w:rsidRPr="00B32D31" w:rsidRDefault="00792182" w:rsidP="00474F14">
            <w:pPr>
              <w:pStyle w:val="Defaul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95"/>
            </w:tblGrid>
            <w:tr w:rsidR="00792182" w:rsidRPr="00B32D31" w14:paraId="226E7F11" w14:textId="77777777">
              <w:trPr>
                <w:trHeight w:val="482"/>
              </w:trPr>
              <w:tc>
                <w:tcPr>
                  <w:tcW w:w="0" w:type="auto"/>
                </w:tcPr>
                <w:p w14:paraId="150CADA6" w14:textId="77777777" w:rsidR="00792182" w:rsidRPr="00B32D31" w:rsidRDefault="00792182" w:rsidP="00F54DE7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32D31">
                    <w:rPr>
                      <w:rFonts w:cstheme="minorHAnsi"/>
                      <w:color w:val="000000"/>
                      <w:sz w:val="24"/>
                      <w:szCs w:val="24"/>
                    </w:rPr>
                    <w:t>Obsługa interesant</w:t>
                  </w:r>
                  <w:r w:rsidR="006C4CF8" w:rsidRPr="00B32D31">
                    <w:rPr>
                      <w:rFonts w:cstheme="minorHAnsi"/>
                      <w:color w:val="000000"/>
                      <w:sz w:val="24"/>
                      <w:szCs w:val="24"/>
                    </w:rPr>
                    <w:t>ów</w:t>
                  </w:r>
                  <w:r w:rsidRPr="00B32D3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z wykorzystaniem tłumacza języka migowego </w:t>
                  </w:r>
                </w:p>
              </w:tc>
            </w:tr>
          </w:tbl>
          <w:p w14:paraId="040D66C7" w14:textId="77777777" w:rsidR="00792182" w:rsidRPr="00B32D31" w:rsidRDefault="00792182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</w:tcPr>
          <w:p w14:paraId="112C8B3B" w14:textId="472F24F2" w:rsidR="006C4CF8" w:rsidRPr="00B32D31" w:rsidRDefault="006C4CF8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</w:rPr>
              <w:t>Zapewnienie usługi tłumacza polskiego języka migowego na wniosek osoby z dysfunkcją słuchu</w:t>
            </w:r>
            <w:r w:rsidR="00441AB1" w:rsidRPr="00B32D31">
              <w:rPr>
                <w:rFonts w:asciiTheme="minorHAnsi" w:hAnsiTheme="minorHAnsi" w:cstheme="minorHAnsi"/>
              </w:rPr>
              <w:t>.</w:t>
            </w:r>
            <w:r w:rsidRPr="00B32D31">
              <w:rPr>
                <w:rFonts w:asciiTheme="minorHAnsi" w:hAnsiTheme="minorHAnsi" w:cstheme="minorHAnsi"/>
              </w:rPr>
              <w:t xml:space="preserve"> </w:t>
            </w:r>
          </w:p>
          <w:p w14:paraId="74E60CFA" w14:textId="77777777" w:rsidR="00792182" w:rsidRPr="00B32D31" w:rsidRDefault="00792182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87C71" w:rsidRPr="00B32D31" w14:paraId="19567608" w14:textId="77777777" w:rsidTr="001B4D00">
        <w:tc>
          <w:tcPr>
            <w:tcW w:w="562" w:type="dxa"/>
          </w:tcPr>
          <w:p w14:paraId="0EE14F69" w14:textId="77777777" w:rsidR="00792182" w:rsidRPr="00B32D31" w:rsidRDefault="00792182" w:rsidP="00474F14">
            <w:pPr>
              <w:pStyle w:val="Defaul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25C80CF1" w14:textId="4A8EF143" w:rsidR="00287C71" w:rsidRPr="00B32D31" w:rsidRDefault="006C4CF8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</w:rPr>
              <w:t>Interesanci głuchoniewidomi</w:t>
            </w:r>
            <w:r w:rsidR="00754BE2">
              <w:rPr>
                <w:rFonts w:asciiTheme="minorHAnsi" w:hAnsiTheme="minorHAnsi" w:cstheme="minorHAnsi"/>
              </w:rPr>
              <w:t xml:space="preserve"> – u</w:t>
            </w:r>
            <w:r w:rsidR="00287C71" w:rsidRPr="00B32D31">
              <w:rPr>
                <w:rFonts w:asciiTheme="minorHAnsi" w:hAnsiTheme="minorHAnsi" w:cstheme="minorHAnsi"/>
              </w:rPr>
              <w:t>możliwienie kontaktu osobie głuchoniewidomej z pracowni</w:t>
            </w:r>
            <w:r w:rsidR="00754BE2">
              <w:rPr>
                <w:rFonts w:asciiTheme="minorHAnsi" w:hAnsiTheme="minorHAnsi" w:cstheme="minorHAnsi"/>
              </w:rPr>
              <w:t>kami MSWiA za pomocą tłumacza-</w:t>
            </w:r>
            <w:r w:rsidR="00287C71" w:rsidRPr="00B32D31">
              <w:rPr>
                <w:rFonts w:asciiTheme="minorHAnsi" w:hAnsiTheme="minorHAnsi" w:cstheme="minorHAnsi"/>
              </w:rPr>
              <w:t>przewodnika (kontakt osobisty).</w:t>
            </w:r>
          </w:p>
          <w:p w14:paraId="06A54528" w14:textId="77777777" w:rsidR="00792182" w:rsidRPr="00B32D31" w:rsidRDefault="00792182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</w:tcPr>
          <w:p w14:paraId="0D5ACD93" w14:textId="65CD28FA" w:rsidR="00287C71" w:rsidRPr="00B32D31" w:rsidRDefault="006C4CF8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</w:rPr>
              <w:t xml:space="preserve">Zapewnienie dostępu do tłumacza-przewodnika dla osób głuchoniewidomych na wniosek osoby z niepełnosprawnością </w:t>
            </w:r>
            <w:r w:rsidR="00287C71" w:rsidRPr="00B32D31">
              <w:rPr>
                <w:rFonts w:asciiTheme="minorHAnsi" w:hAnsiTheme="minorHAnsi" w:cstheme="minorHAnsi"/>
              </w:rPr>
              <w:t>na podstawie ustawy z dnia 19 sierpnia 2011 r. o języku migowym i innych środkach komunikowania się (Dz. U. z 2017 r. poz. 1824), poprzez wpisywanie do formularza zgłas</w:t>
            </w:r>
            <w:r w:rsidR="00033319">
              <w:rPr>
                <w:rFonts w:asciiTheme="minorHAnsi" w:hAnsiTheme="minorHAnsi" w:cstheme="minorHAnsi"/>
              </w:rPr>
              <w:t>zanych potrzeb opcji tłumacza-</w:t>
            </w:r>
            <w:r w:rsidR="00287C71" w:rsidRPr="00B32D31">
              <w:rPr>
                <w:rFonts w:asciiTheme="minorHAnsi" w:hAnsiTheme="minorHAnsi" w:cstheme="minorHAnsi"/>
              </w:rPr>
              <w:t>przewodnika.</w:t>
            </w:r>
          </w:p>
          <w:p w14:paraId="6F8D4329" w14:textId="77777777" w:rsidR="00792182" w:rsidRPr="00B32D31" w:rsidRDefault="00792182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87C71" w:rsidRPr="00B32D31" w14:paraId="620ABBDD" w14:textId="77777777" w:rsidTr="001B4D00">
        <w:tc>
          <w:tcPr>
            <w:tcW w:w="562" w:type="dxa"/>
          </w:tcPr>
          <w:p w14:paraId="24FAC762" w14:textId="77777777" w:rsidR="00792182" w:rsidRPr="00B32D31" w:rsidRDefault="00792182" w:rsidP="00474F14">
            <w:pPr>
              <w:pStyle w:val="Defaul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2BD3A372" w14:textId="28759E3E" w:rsidR="0041114A" w:rsidRPr="00B32D31" w:rsidRDefault="0041114A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</w:rPr>
              <w:t xml:space="preserve"> </w:t>
            </w:r>
            <w:r w:rsidR="0082193E">
              <w:rPr>
                <w:rFonts w:asciiTheme="minorHAnsi" w:hAnsiTheme="minorHAnsi" w:cstheme="minorHAnsi"/>
              </w:rPr>
              <w:t>Zwiększenie dostępności budynku</w:t>
            </w:r>
            <w:r w:rsidR="006C4CF8" w:rsidRPr="00B32D31">
              <w:rPr>
                <w:rFonts w:asciiTheme="minorHAnsi" w:hAnsiTheme="minorHAnsi" w:cstheme="minorHAnsi"/>
              </w:rPr>
              <w:t xml:space="preserve"> przy ul.</w:t>
            </w:r>
            <w:r w:rsidR="00700B7F">
              <w:rPr>
                <w:rFonts w:asciiTheme="minorHAnsi" w:hAnsiTheme="minorHAnsi" w:cstheme="minorHAnsi"/>
              </w:rPr>
              <w:t xml:space="preserve"> </w:t>
            </w:r>
            <w:r w:rsidR="006C4CF8" w:rsidRPr="00B32D31">
              <w:rPr>
                <w:rFonts w:asciiTheme="minorHAnsi" w:hAnsiTheme="minorHAnsi" w:cstheme="minorHAnsi"/>
              </w:rPr>
              <w:t>Batorego 5 dla osób z</w:t>
            </w:r>
            <w:r w:rsidR="00700B7F">
              <w:rPr>
                <w:rFonts w:asciiTheme="minorHAnsi" w:hAnsiTheme="minorHAnsi" w:cstheme="minorHAnsi"/>
              </w:rPr>
              <w:t xml:space="preserve"> </w:t>
            </w:r>
          </w:p>
          <w:p w14:paraId="7132299F" w14:textId="77777777" w:rsidR="006C4CF8" w:rsidRPr="00B32D31" w:rsidRDefault="0041114A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</w:rPr>
              <w:t xml:space="preserve"> </w:t>
            </w:r>
            <w:r w:rsidR="006C4CF8" w:rsidRPr="00B32D31">
              <w:rPr>
                <w:rFonts w:asciiTheme="minorHAnsi" w:hAnsiTheme="minorHAnsi" w:cstheme="minorHAnsi"/>
              </w:rPr>
              <w:t xml:space="preserve">niepełnosprawnością narządu słuchu </w:t>
            </w:r>
          </w:p>
          <w:p w14:paraId="2C73B778" w14:textId="77777777" w:rsidR="00792182" w:rsidRPr="00B32D31" w:rsidRDefault="00792182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</w:tcPr>
          <w:p w14:paraId="2CA1BD97" w14:textId="6B6DA5E7" w:rsidR="00441AB1" w:rsidRPr="00B32D31" w:rsidRDefault="00441AB1" w:rsidP="00441AB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B32D31">
              <w:rPr>
                <w:rFonts w:asciiTheme="minorHAnsi" w:hAnsiTheme="minorHAnsi" w:cstheme="minorHAnsi"/>
              </w:rPr>
              <w:t xml:space="preserve">Zakup (przenośnej) pętli indukcyjnej, zakup i montaż </w:t>
            </w:r>
            <w:r w:rsidRPr="00B32D31">
              <w:rPr>
                <w:rFonts w:asciiTheme="minorHAnsi" w:hAnsiTheme="minorHAnsi" w:cstheme="minorHAnsi"/>
                <w:color w:val="auto"/>
              </w:rPr>
              <w:t>stacjonarnych pętli indukcyjnych w Sali Konferencyjnej im. Wł</w:t>
            </w:r>
            <w:r w:rsidR="0082193E">
              <w:rPr>
                <w:rFonts w:asciiTheme="minorHAnsi" w:hAnsiTheme="minorHAnsi" w:cstheme="minorHAnsi"/>
                <w:color w:val="auto"/>
              </w:rPr>
              <w:t>adysława</w:t>
            </w:r>
            <w:r w:rsidRPr="00B32D31">
              <w:rPr>
                <w:rFonts w:asciiTheme="minorHAnsi" w:hAnsiTheme="minorHAnsi" w:cstheme="minorHAnsi"/>
                <w:color w:val="auto"/>
              </w:rPr>
              <w:t xml:space="preserve"> Stasiaka, biurze podawczym MSWiA i punktach wydawania przepustek wraz z oznaczeniem stosownym piktogramem. </w:t>
            </w:r>
          </w:p>
          <w:p w14:paraId="6E523010" w14:textId="53F31F1F" w:rsidR="00792182" w:rsidRPr="00B32D31" w:rsidRDefault="00441AB1" w:rsidP="00441AB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  <w:color w:val="auto"/>
              </w:rPr>
              <w:t>Instalacja interkomu w biurze podawczym MSWiA.</w:t>
            </w:r>
          </w:p>
        </w:tc>
      </w:tr>
      <w:tr w:rsidR="00287C71" w:rsidRPr="00B32D31" w14:paraId="04A9BA09" w14:textId="77777777" w:rsidTr="001B4D00">
        <w:tc>
          <w:tcPr>
            <w:tcW w:w="562" w:type="dxa"/>
          </w:tcPr>
          <w:p w14:paraId="50D5F669" w14:textId="77777777" w:rsidR="00792182" w:rsidRPr="00B32D31" w:rsidRDefault="00792182" w:rsidP="00474F14">
            <w:pPr>
              <w:pStyle w:val="Defaul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95"/>
            </w:tblGrid>
            <w:tr w:rsidR="006C4CF8" w:rsidRPr="00B32D31" w14:paraId="2A6606B2" w14:textId="77777777">
              <w:trPr>
                <w:trHeight w:val="294"/>
              </w:trPr>
              <w:tc>
                <w:tcPr>
                  <w:tcW w:w="0" w:type="auto"/>
                </w:tcPr>
                <w:p w14:paraId="3B5AEDEA" w14:textId="77777777" w:rsidR="006C4CF8" w:rsidRPr="00B32D31" w:rsidRDefault="006C4CF8" w:rsidP="00F54DE7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32D3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Obsługa bezpośrednia osób słabosłyszących </w:t>
                  </w:r>
                </w:p>
              </w:tc>
            </w:tr>
          </w:tbl>
          <w:p w14:paraId="271BA897" w14:textId="77777777" w:rsidR="00792182" w:rsidRPr="00B32D31" w:rsidRDefault="00792182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</w:tcPr>
          <w:p w14:paraId="6B1F7F18" w14:textId="3E311524" w:rsidR="006C4CF8" w:rsidRPr="00B32D31" w:rsidRDefault="006C4CF8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</w:rPr>
              <w:t>Zakup pętli przenośnej do kontaktu/obsługi mniejszych spotkań</w:t>
            </w:r>
            <w:r w:rsidR="00700B7F">
              <w:rPr>
                <w:rFonts w:asciiTheme="minorHAnsi" w:hAnsiTheme="minorHAnsi" w:cstheme="minorHAnsi"/>
              </w:rPr>
              <w:t>.</w:t>
            </w:r>
          </w:p>
          <w:p w14:paraId="325BBE8B" w14:textId="77777777" w:rsidR="00792182" w:rsidRPr="00B32D31" w:rsidRDefault="00792182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87C71" w:rsidRPr="00B32D31" w14:paraId="490EE0A9" w14:textId="77777777" w:rsidTr="001B4D00">
        <w:tc>
          <w:tcPr>
            <w:tcW w:w="562" w:type="dxa"/>
          </w:tcPr>
          <w:p w14:paraId="7E528F15" w14:textId="77777777" w:rsidR="00792182" w:rsidRPr="00B32D31" w:rsidRDefault="00792182" w:rsidP="00474F14">
            <w:pPr>
              <w:pStyle w:val="Defaul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27EAC0C4" w14:textId="42B1BA44" w:rsidR="00792182" w:rsidRPr="00B32D31" w:rsidRDefault="006C4CF8" w:rsidP="00B32D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</w:rPr>
              <w:t xml:space="preserve">Zapewnienie usługi tłumacza języka migowego on-line w </w:t>
            </w:r>
            <w:r w:rsidR="0041114A" w:rsidRPr="00B32D31">
              <w:rPr>
                <w:rFonts w:asciiTheme="minorHAnsi" w:hAnsiTheme="minorHAnsi" w:cstheme="minorHAnsi"/>
              </w:rPr>
              <w:t>kontakcie z MSWiA</w:t>
            </w:r>
            <w:r w:rsidRPr="00B32D3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072" w:type="dxa"/>
          </w:tcPr>
          <w:p w14:paraId="73F1F2D2" w14:textId="04225A62" w:rsidR="0041114A" w:rsidRPr="00B32D31" w:rsidRDefault="0041114A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32D31">
              <w:rPr>
                <w:rFonts w:asciiTheme="minorHAnsi" w:hAnsiTheme="minorHAnsi" w:cstheme="minorHAnsi"/>
              </w:rPr>
              <w:t>Zapewnienie możliwości skorzystania z usługi tłumacza języka migowego on-line w</w:t>
            </w:r>
            <w:r w:rsidR="00700B7F">
              <w:rPr>
                <w:rFonts w:asciiTheme="minorHAnsi" w:hAnsiTheme="minorHAnsi" w:cstheme="minorHAnsi"/>
              </w:rPr>
              <w:t> </w:t>
            </w:r>
            <w:r w:rsidRPr="00B32D31">
              <w:rPr>
                <w:rFonts w:asciiTheme="minorHAnsi" w:hAnsiTheme="minorHAnsi" w:cstheme="minorHAnsi"/>
              </w:rPr>
              <w:t>kontakcie z MSWiA</w:t>
            </w:r>
            <w:r w:rsidR="00700B7F">
              <w:rPr>
                <w:rFonts w:asciiTheme="minorHAnsi" w:hAnsiTheme="minorHAnsi" w:cstheme="minorHAnsi"/>
              </w:rPr>
              <w:t>.</w:t>
            </w:r>
          </w:p>
          <w:p w14:paraId="23FD5767" w14:textId="77777777" w:rsidR="00792182" w:rsidRPr="00B32D31" w:rsidRDefault="00792182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87C71" w14:paraId="02230249" w14:textId="77777777" w:rsidTr="001B4D00">
        <w:tc>
          <w:tcPr>
            <w:tcW w:w="562" w:type="dxa"/>
          </w:tcPr>
          <w:p w14:paraId="5ACD8FDB" w14:textId="77777777" w:rsidR="00792182" w:rsidRPr="00474F14" w:rsidRDefault="00792182" w:rsidP="00474F14">
            <w:pPr>
              <w:pStyle w:val="Defaul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01E23729" w14:textId="3743ADED" w:rsidR="00792182" w:rsidRPr="00474F14" w:rsidRDefault="0041114A" w:rsidP="00B32D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74F14">
              <w:rPr>
                <w:rFonts w:asciiTheme="minorHAnsi" w:hAnsiTheme="minorHAnsi" w:cstheme="minorHAnsi"/>
              </w:rPr>
              <w:t xml:space="preserve">Obsługa osób ze szczególnymi potrzebami </w:t>
            </w:r>
          </w:p>
        </w:tc>
        <w:tc>
          <w:tcPr>
            <w:tcW w:w="9072" w:type="dxa"/>
          </w:tcPr>
          <w:p w14:paraId="5E6AD4DE" w14:textId="176F950B" w:rsidR="0041114A" w:rsidRPr="00474F14" w:rsidRDefault="0041114A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74F14">
              <w:rPr>
                <w:rFonts w:asciiTheme="minorHAnsi" w:hAnsiTheme="minorHAnsi" w:cstheme="minorHAnsi"/>
              </w:rPr>
              <w:t>Przekazanie pracownikom k</w:t>
            </w:r>
            <w:r w:rsidR="00700B7F">
              <w:rPr>
                <w:rFonts w:asciiTheme="minorHAnsi" w:hAnsiTheme="minorHAnsi" w:cstheme="minorHAnsi"/>
              </w:rPr>
              <w:t xml:space="preserve">omórek </w:t>
            </w:r>
            <w:r w:rsidRPr="00474F14">
              <w:rPr>
                <w:rFonts w:asciiTheme="minorHAnsi" w:hAnsiTheme="minorHAnsi" w:cstheme="minorHAnsi"/>
              </w:rPr>
              <w:t>o</w:t>
            </w:r>
            <w:r w:rsidR="00700B7F">
              <w:rPr>
                <w:rFonts w:asciiTheme="minorHAnsi" w:hAnsiTheme="minorHAnsi" w:cstheme="minorHAnsi"/>
              </w:rPr>
              <w:t>rganizacyjnych</w:t>
            </w:r>
            <w:r w:rsidRPr="00474F14">
              <w:rPr>
                <w:rFonts w:asciiTheme="minorHAnsi" w:hAnsiTheme="minorHAnsi" w:cstheme="minorHAnsi"/>
              </w:rPr>
              <w:t xml:space="preserve"> MSWiA do zapoznania się dostępnych materiałów w zakresie obsługi interesantów ze szczególnymi potrzebami</w:t>
            </w:r>
            <w:r w:rsidR="00700B7F">
              <w:rPr>
                <w:rFonts w:asciiTheme="minorHAnsi" w:hAnsiTheme="minorHAnsi" w:cstheme="minorHAnsi"/>
              </w:rPr>
              <w:t>.</w:t>
            </w:r>
          </w:p>
          <w:p w14:paraId="43753299" w14:textId="77777777" w:rsidR="00792182" w:rsidRPr="00474F14" w:rsidRDefault="00792182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E23E5" w:rsidRPr="0041114A" w14:paraId="008BEE24" w14:textId="77777777" w:rsidTr="001B4D00">
        <w:tc>
          <w:tcPr>
            <w:tcW w:w="562" w:type="dxa"/>
          </w:tcPr>
          <w:p w14:paraId="64BA905F" w14:textId="77777777" w:rsidR="009E23E5" w:rsidRPr="00474F14" w:rsidRDefault="009E23E5" w:rsidP="00474F14">
            <w:pPr>
              <w:pStyle w:val="Defaul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64416CCB" w14:textId="77777777" w:rsidR="009E23E5" w:rsidRPr="00474F14" w:rsidRDefault="00BB2EC8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74F14">
              <w:rPr>
                <w:rFonts w:asciiTheme="minorHAnsi" w:hAnsiTheme="minorHAnsi" w:cstheme="minorHAnsi"/>
              </w:rPr>
              <w:t xml:space="preserve">Realizacja art. 30 ustawy </w:t>
            </w:r>
          </w:p>
        </w:tc>
        <w:tc>
          <w:tcPr>
            <w:tcW w:w="9072" w:type="dxa"/>
          </w:tcPr>
          <w:p w14:paraId="3CF7913F" w14:textId="76FC90FE" w:rsidR="009E23E5" w:rsidRPr="00474F14" w:rsidRDefault="00BB2EC8" w:rsidP="00F54DE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74F14">
              <w:rPr>
                <w:rFonts w:asciiTheme="minorHAnsi" w:hAnsiTheme="minorHAnsi" w:cstheme="minorHAnsi"/>
              </w:rPr>
              <w:t>O</w:t>
            </w:r>
            <w:r w:rsidR="00287C71" w:rsidRPr="00474F14">
              <w:rPr>
                <w:rFonts w:asciiTheme="minorHAnsi" w:hAnsiTheme="minorHAnsi" w:cstheme="minorHAnsi"/>
              </w:rPr>
              <w:t>pracowanie wzoru wn</w:t>
            </w:r>
            <w:r w:rsidR="00D71F78">
              <w:rPr>
                <w:rFonts w:asciiTheme="minorHAnsi" w:hAnsiTheme="minorHAnsi" w:cstheme="minorHAnsi"/>
              </w:rPr>
              <w:t>iosku o zapewnienie dostępności</w:t>
            </w:r>
            <w:r w:rsidR="00287C71" w:rsidRPr="00474F14">
              <w:rPr>
                <w:rFonts w:asciiTheme="minorHAnsi" w:hAnsiTheme="minorHAnsi" w:cstheme="minorHAnsi"/>
              </w:rPr>
              <w:t>: a) architektonicznej oraz informacyjno-komunikacyjnej, b) cyfrowej</w:t>
            </w:r>
            <w:r w:rsidR="00700B7F">
              <w:rPr>
                <w:rFonts w:asciiTheme="minorHAnsi" w:hAnsiTheme="minorHAnsi" w:cstheme="minorHAnsi"/>
              </w:rPr>
              <w:t>.</w:t>
            </w:r>
            <w:r w:rsidR="00287C71" w:rsidRPr="00474F14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571727F" w14:textId="77777777" w:rsidR="00504A43" w:rsidRPr="00700B7F" w:rsidRDefault="00504A43" w:rsidP="00F54DE7">
      <w:pPr>
        <w:spacing w:line="276" w:lineRule="auto"/>
        <w:jc w:val="center"/>
        <w:rPr>
          <w:sz w:val="2"/>
          <w:szCs w:val="2"/>
        </w:rPr>
      </w:pPr>
    </w:p>
    <w:sectPr w:rsidR="00504A43" w:rsidRPr="00700B7F" w:rsidSect="00474F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AE914" w14:textId="77777777" w:rsidR="008E6BF8" w:rsidRDefault="008E6BF8" w:rsidP="00034182">
      <w:pPr>
        <w:spacing w:after="0" w:line="240" w:lineRule="auto"/>
      </w:pPr>
      <w:r>
        <w:separator/>
      </w:r>
    </w:p>
  </w:endnote>
  <w:endnote w:type="continuationSeparator" w:id="0">
    <w:p w14:paraId="39D1D438" w14:textId="77777777" w:rsidR="008E6BF8" w:rsidRDefault="008E6BF8" w:rsidP="0003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S Me">
    <w:altName w:val="FS Me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878068"/>
      <w:docPartObj>
        <w:docPartGallery w:val="Page Numbers (Bottom of Page)"/>
        <w:docPartUnique/>
      </w:docPartObj>
    </w:sdtPr>
    <w:sdtEndPr/>
    <w:sdtContent>
      <w:p w14:paraId="1E50C0E1" w14:textId="77777777" w:rsidR="00034182" w:rsidRDefault="000341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A4A">
          <w:rPr>
            <w:noProof/>
          </w:rPr>
          <w:t>2</w:t>
        </w:r>
        <w:r>
          <w:fldChar w:fldCharType="end"/>
        </w:r>
      </w:p>
    </w:sdtContent>
  </w:sdt>
  <w:p w14:paraId="1B0430B0" w14:textId="77777777" w:rsidR="00034182" w:rsidRDefault="000341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8B41D" w14:textId="77777777" w:rsidR="008E6BF8" w:rsidRDefault="008E6BF8" w:rsidP="00034182">
      <w:pPr>
        <w:spacing w:after="0" w:line="240" w:lineRule="auto"/>
      </w:pPr>
      <w:r>
        <w:separator/>
      </w:r>
    </w:p>
  </w:footnote>
  <w:footnote w:type="continuationSeparator" w:id="0">
    <w:p w14:paraId="67035FAA" w14:textId="77777777" w:rsidR="008E6BF8" w:rsidRDefault="008E6BF8" w:rsidP="00034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7FD3"/>
    <w:multiLevelType w:val="hybridMultilevel"/>
    <w:tmpl w:val="5622E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C82"/>
    <w:multiLevelType w:val="hybridMultilevel"/>
    <w:tmpl w:val="BCEE6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209"/>
    <w:multiLevelType w:val="multilevel"/>
    <w:tmpl w:val="FB2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C0EB8"/>
    <w:multiLevelType w:val="hybridMultilevel"/>
    <w:tmpl w:val="5622E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8634C"/>
    <w:multiLevelType w:val="hybridMultilevel"/>
    <w:tmpl w:val="1DA0CF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915DF"/>
    <w:multiLevelType w:val="hybridMultilevel"/>
    <w:tmpl w:val="7A8A86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A2E43"/>
    <w:multiLevelType w:val="hybridMultilevel"/>
    <w:tmpl w:val="0720C00E"/>
    <w:lvl w:ilvl="0" w:tplc="92FC6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C408A"/>
    <w:multiLevelType w:val="hybridMultilevel"/>
    <w:tmpl w:val="FD08C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3249"/>
    <w:multiLevelType w:val="hybridMultilevel"/>
    <w:tmpl w:val="281C02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F68CA"/>
    <w:multiLevelType w:val="hybridMultilevel"/>
    <w:tmpl w:val="C276A0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40935"/>
    <w:multiLevelType w:val="hybridMultilevel"/>
    <w:tmpl w:val="E87A4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B0084"/>
    <w:multiLevelType w:val="hybridMultilevel"/>
    <w:tmpl w:val="90B607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97FE1"/>
    <w:multiLevelType w:val="hybridMultilevel"/>
    <w:tmpl w:val="6846AB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D6E98"/>
    <w:multiLevelType w:val="multilevel"/>
    <w:tmpl w:val="199E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381EED"/>
    <w:multiLevelType w:val="hybridMultilevel"/>
    <w:tmpl w:val="FD08C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B3727"/>
    <w:multiLevelType w:val="hybridMultilevel"/>
    <w:tmpl w:val="2DCE7F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B0D85"/>
    <w:multiLevelType w:val="hybridMultilevel"/>
    <w:tmpl w:val="45FAF8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D701F"/>
    <w:multiLevelType w:val="hybridMultilevel"/>
    <w:tmpl w:val="EDF46130"/>
    <w:lvl w:ilvl="0" w:tplc="F500C0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054DB"/>
    <w:multiLevelType w:val="hybridMultilevel"/>
    <w:tmpl w:val="2B826C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3"/>
  </w:num>
  <w:num w:numId="4">
    <w:abstractNumId w:val="15"/>
  </w:num>
  <w:num w:numId="5">
    <w:abstractNumId w:val="17"/>
  </w:num>
  <w:num w:numId="6">
    <w:abstractNumId w:val="15"/>
  </w:num>
  <w:num w:numId="7">
    <w:abstractNumId w:val="7"/>
  </w:num>
  <w:num w:numId="8">
    <w:abstractNumId w:val="2"/>
  </w:num>
  <w:num w:numId="9">
    <w:abstractNumId w:val="0"/>
  </w:num>
  <w:num w:numId="10">
    <w:abstractNumId w:val="12"/>
  </w:num>
  <w:num w:numId="11">
    <w:abstractNumId w:val="4"/>
  </w:num>
  <w:num w:numId="12">
    <w:abstractNumId w:val="6"/>
  </w:num>
  <w:num w:numId="13">
    <w:abstractNumId w:val="4"/>
  </w:num>
  <w:num w:numId="14">
    <w:abstractNumId w:val="3"/>
  </w:num>
  <w:num w:numId="15">
    <w:abstractNumId w:val="16"/>
  </w:num>
  <w:num w:numId="16">
    <w:abstractNumId w:val="11"/>
  </w:num>
  <w:num w:numId="17">
    <w:abstractNumId w:val="5"/>
  </w:num>
  <w:num w:numId="18">
    <w:abstractNumId w:val="1"/>
  </w:num>
  <w:num w:numId="19">
    <w:abstractNumId w:val="9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03"/>
    <w:rsid w:val="00033319"/>
    <w:rsid w:val="00034182"/>
    <w:rsid w:val="000371FB"/>
    <w:rsid w:val="00063143"/>
    <w:rsid w:val="000D5EA0"/>
    <w:rsid w:val="000F1128"/>
    <w:rsid w:val="001041EF"/>
    <w:rsid w:val="001B4D00"/>
    <w:rsid w:val="001E4A9A"/>
    <w:rsid w:val="001F19DE"/>
    <w:rsid w:val="00226211"/>
    <w:rsid w:val="00226283"/>
    <w:rsid w:val="00287C71"/>
    <w:rsid w:val="002D2A38"/>
    <w:rsid w:val="0030363B"/>
    <w:rsid w:val="00345ABD"/>
    <w:rsid w:val="00370666"/>
    <w:rsid w:val="0037626E"/>
    <w:rsid w:val="003848B5"/>
    <w:rsid w:val="003A3A4A"/>
    <w:rsid w:val="0041114A"/>
    <w:rsid w:val="00416F5F"/>
    <w:rsid w:val="00434239"/>
    <w:rsid w:val="00441AB1"/>
    <w:rsid w:val="004657C1"/>
    <w:rsid w:val="00474F14"/>
    <w:rsid w:val="004A748E"/>
    <w:rsid w:val="004D2D25"/>
    <w:rsid w:val="00501503"/>
    <w:rsid w:val="00504A43"/>
    <w:rsid w:val="005650DA"/>
    <w:rsid w:val="00565CF3"/>
    <w:rsid w:val="005B180A"/>
    <w:rsid w:val="00601201"/>
    <w:rsid w:val="006425AA"/>
    <w:rsid w:val="006A59F4"/>
    <w:rsid w:val="006C4CF8"/>
    <w:rsid w:val="006E5D27"/>
    <w:rsid w:val="006E68AB"/>
    <w:rsid w:val="007005D7"/>
    <w:rsid w:val="00700B7F"/>
    <w:rsid w:val="00754BE2"/>
    <w:rsid w:val="0077478A"/>
    <w:rsid w:val="00786A6D"/>
    <w:rsid w:val="00792182"/>
    <w:rsid w:val="00804006"/>
    <w:rsid w:val="0082193E"/>
    <w:rsid w:val="008B23DE"/>
    <w:rsid w:val="008E6BF8"/>
    <w:rsid w:val="00934CBA"/>
    <w:rsid w:val="00980C9D"/>
    <w:rsid w:val="009950C0"/>
    <w:rsid w:val="009B5CEC"/>
    <w:rsid w:val="009C16BF"/>
    <w:rsid w:val="009E23E5"/>
    <w:rsid w:val="00A313C2"/>
    <w:rsid w:val="00A76651"/>
    <w:rsid w:val="00B32D31"/>
    <w:rsid w:val="00BB2EC8"/>
    <w:rsid w:val="00BC263F"/>
    <w:rsid w:val="00BE5DC7"/>
    <w:rsid w:val="00C437F4"/>
    <w:rsid w:val="00CD4312"/>
    <w:rsid w:val="00D71F78"/>
    <w:rsid w:val="00D80D5B"/>
    <w:rsid w:val="00D90938"/>
    <w:rsid w:val="00DB2FBD"/>
    <w:rsid w:val="00DE353A"/>
    <w:rsid w:val="00DF3C3B"/>
    <w:rsid w:val="00E957EA"/>
    <w:rsid w:val="00EA3C1E"/>
    <w:rsid w:val="00EE7432"/>
    <w:rsid w:val="00F35540"/>
    <w:rsid w:val="00F54DE7"/>
    <w:rsid w:val="00F64246"/>
    <w:rsid w:val="00F8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3904"/>
  <w15:chartTrackingRefBased/>
  <w15:docId w15:val="{72000C89-DF0B-4775-B186-2AF45A62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41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41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182"/>
  </w:style>
  <w:style w:type="paragraph" w:styleId="Stopka">
    <w:name w:val="footer"/>
    <w:basedOn w:val="Normalny"/>
    <w:link w:val="StopkaZnak"/>
    <w:uiPriority w:val="99"/>
    <w:unhideWhenUsed/>
    <w:rsid w:val="00034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182"/>
  </w:style>
  <w:style w:type="paragraph" w:styleId="Akapitzlist">
    <w:name w:val="List Paragraph"/>
    <w:basedOn w:val="Normalny"/>
    <w:uiPriority w:val="34"/>
    <w:qFormat/>
    <w:rsid w:val="00034182"/>
    <w:pPr>
      <w:ind w:left="720"/>
      <w:contextualSpacing/>
    </w:pPr>
  </w:style>
  <w:style w:type="paragraph" w:customStyle="1" w:styleId="Default">
    <w:name w:val="Default"/>
    <w:rsid w:val="00063143"/>
    <w:pPr>
      <w:autoSpaceDE w:val="0"/>
      <w:autoSpaceDN w:val="0"/>
      <w:adjustRightInd w:val="0"/>
      <w:spacing w:after="0" w:line="240" w:lineRule="auto"/>
    </w:pPr>
    <w:rPr>
      <w:rFonts w:ascii="FS Me" w:hAnsi="FS Me" w:cs="FS Me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D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6F5F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D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D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DE7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041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041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41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041EF"/>
    <w:pPr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1041EF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B2FB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informacja-dla-osob-z-niepelnosprawnosciam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deklaracja-dostepnos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informacja-dla-osob-z-niepelnosprawnosci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777E8-93A2-4B53-BEC1-E043B2C8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2405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Ewa</dc:creator>
  <cp:keywords/>
  <dc:description/>
  <cp:lastModifiedBy>Ołtarzewska Karolina</cp:lastModifiedBy>
  <cp:revision>19</cp:revision>
  <cp:lastPrinted>2021-07-27T12:28:00Z</cp:lastPrinted>
  <dcterms:created xsi:type="dcterms:W3CDTF">2021-07-28T11:04:00Z</dcterms:created>
  <dcterms:modified xsi:type="dcterms:W3CDTF">2021-07-28T12:16:00Z</dcterms:modified>
</cp:coreProperties>
</file>