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620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E5CC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815A5" w:rsidRDefault="00F815A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815A5">
        <w:rPr>
          <w:rFonts w:asciiTheme="minorHAnsi" w:hAnsiTheme="minorHAnsi" w:cstheme="minorHAnsi"/>
          <w:bCs/>
          <w:sz w:val="24"/>
          <w:szCs w:val="24"/>
          <w:lang w:eastAsia="pl-PL"/>
        </w:rPr>
        <w:t>DOOŚ-WD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ŚZOO.420.10.2020.EW.MW.PS.mro.</w:t>
      </w:r>
      <w:r w:rsidRPr="00F815A5">
        <w:rPr>
          <w:rFonts w:asciiTheme="minorHAnsi" w:hAnsiTheme="minorHAnsi" w:cstheme="minorHAnsi"/>
          <w:bCs/>
          <w:sz w:val="24"/>
          <w:szCs w:val="24"/>
          <w:lang w:eastAsia="pl-PL"/>
        </w:rPr>
        <w:t>42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815A5" w:rsidRPr="00F815A5" w:rsidRDefault="00F815A5" w:rsidP="00F815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-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na decyzję Generalnego Dyr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ektora Ochrony Środowiska z 28 li</w:t>
      </w: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pca 2022 r., znak: DOOŚ-WDŚZ00.420.10.2020.EW.MW.PS.mro.38, utrzymującą w mocy decyzję GDOŚ z 29 marca 2022 r., znak: DOOŚ-WDŚZ00.420.10.2020.EW/MW.29, odmawiającą uchylenia decyzji ostatecznej GDOŚ z 23 sierpnia 2018 r., znak: DOOŚ-DŚI.4231.6.2017.mko.74, uchylającej decyzję Regionalnego Dyrektora Ochrony Środowiska w Białymstoku z 3 sierpnia 2017 r., znak: WOOŚ-II.4231.1.2015.DK, o środowiskowych uwarunkowaniach dla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pn.: Budowa międzysystemowego gazo</w:t>
      </w: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ciągu stanowiącego połączenie systemów przesyłowych Rzeczypospolitej 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jego obsługi — gazociąg Rembelszczyz</w:t>
      </w: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na ~ Granica RP w części i w tym zakresie orzekającej co do istoty sprawy albo umarzającej postępowanie pierwszej instancji, a w pozostałej części utrzymującej decyzję w mocy.</w:t>
      </w:r>
    </w:p>
    <w:p w:rsidR="009E5CC2" w:rsidRDefault="00F815A5" w:rsidP="00F815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F815A5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F815A5" w:rsidRDefault="00F815A5" w:rsidP="00F815A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815A5" w:rsidRPr="00F815A5" w:rsidRDefault="00F815A5" w:rsidP="00F815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F815A5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F815A5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F815A5" w:rsidRPr="00F815A5" w:rsidRDefault="00F815A5" w:rsidP="00F815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15A5">
        <w:rPr>
          <w:rFonts w:asciiTheme="minorHAnsi" w:hAnsiTheme="minorHAnsi" w:cstheme="minorHAnsi"/>
          <w:bCs/>
        </w:rPr>
        <w:t>Art. 54 § 4 Ppsa W przypadku, o którym mowa</w:t>
      </w:r>
      <w:r>
        <w:rPr>
          <w:rFonts w:asciiTheme="minorHAnsi" w:hAnsiTheme="minorHAnsi" w:cstheme="minorHAnsi"/>
          <w:bCs/>
        </w:rPr>
        <w:t xml:space="preserve"> w art. 33 § 1</w:t>
      </w:r>
      <w:r w:rsidRPr="00F815A5">
        <w:rPr>
          <w:rFonts w:asciiTheme="minorHAnsi" w:hAnsiTheme="minorHAnsi" w:cstheme="minorHAnsi"/>
          <w:bCs/>
        </w:rPr>
        <w:t>a, organ zawiadamia o przekazaniu skargi wraz z odpowiedzią na skargę przez obwieszczenie w sie</w:t>
      </w:r>
      <w:r>
        <w:rPr>
          <w:rFonts w:asciiTheme="minorHAnsi" w:hAnsiTheme="minorHAnsi" w:cstheme="minorHAnsi"/>
          <w:bCs/>
        </w:rPr>
        <w:t xml:space="preserve">dzibie organu i na jego stronie </w:t>
      </w:r>
      <w:r w:rsidRPr="00F815A5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F815A5" w:rsidP="00F815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15A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CE" w:rsidRDefault="00D43CCE">
      <w:pPr>
        <w:spacing w:after="0" w:line="240" w:lineRule="auto"/>
      </w:pPr>
      <w:r>
        <w:separator/>
      </w:r>
    </w:p>
  </w:endnote>
  <w:endnote w:type="continuationSeparator" w:id="0">
    <w:p w:rsidR="00D43CCE" w:rsidRDefault="00D4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815A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43CC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CE" w:rsidRDefault="00D43CCE">
      <w:pPr>
        <w:spacing w:after="0" w:line="240" w:lineRule="auto"/>
      </w:pPr>
      <w:r>
        <w:separator/>
      </w:r>
    </w:p>
  </w:footnote>
  <w:footnote w:type="continuationSeparator" w:id="0">
    <w:p w:rsidR="00D43CCE" w:rsidRDefault="00D4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43CC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43CC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43CC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43CCE"/>
    <w:rsid w:val="00D60B77"/>
    <w:rsid w:val="00DF384A"/>
    <w:rsid w:val="00E375CB"/>
    <w:rsid w:val="00E55ACB"/>
    <w:rsid w:val="00E607F5"/>
    <w:rsid w:val="00E61949"/>
    <w:rsid w:val="00F52CC4"/>
    <w:rsid w:val="00F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0A5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3DF1-2FD3-460E-9677-8F38950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2023-07-07T07:10:00Z</dcterms:created>
  <dcterms:modified xsi:type="dcterms:W3CDTF">2023-07-07T07:10:00Z</dcterms:modified>
</cp:coreProperties>
</file>