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365125</wp:posOffset>
            </wp:positionH>
            <wp:positionV relativeFrom="margin">
              <wp:posOffset>0</wp:posOffset>
            </wp:positionV>
            <wp:extent cx="3145790" cy="10668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1066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951" w:bottom="680" w:left="575" w:header="10" w:footer="25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27" w:right="0" w:bottom="67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DOZE-III.053.3.2026.ŁZ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4299239.17546442.14364653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7"/>
        </w:rPr>
        <w:t>Warszawa, 06-05-2026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both"/>
      </w:pPr>
      <w:r>
        <w:rPr>
          <w:rStyle w:val="CharStyle7"/>
          <w:b/>
          <w:bCs/>
        </w:rPr>
        <w:t>Pani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both"/>
      </w:pPr>
      <w:r>
        <w:rPr>
          <w:rStyle w:val="CharStyle7"/>
        </w:rPr>
        <w:t>Szanowna Pani,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w odpowiedzi na pismo w zakresie obowiązujących przepisów dotyczących możliwości realizacji inwestycji polegającej na budowie budynku mieszkalnego w pobliżu elektrowni wiatrowej, proszę o przyjęcie następujących informacji.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Ustawa z dnia 9 marca 2023 r. o zmianie ustawy o inwestycjach w zakresie elektrowni wiatrowych oraz niektórych innych ustaw</w:t>
      </w:r>
      <w:r>
        <w:rPr>
          <w:rStyle w:val="CharStyle7"/>
          <w:vertAlign w:val="superscript"/>
        </w:rPr>
        <w:footnoteReference w:id="2"/>
      </w:r>
      <w:r>
        <w:rPr>
          <w:rStyle w:val="CharStyle7"/>
        </w:rPr>
        <w:t>, dalej: „nowelizacja ustawy o inwestycjach”, wprowadziła zmiany w zakresie zasady odległościowej określonej w ustawie z dnia 20 maja 2016 r. o inwestycjach w zakresie elektrowni wiatrowych</w:t>
      </w:r>
      <w:r>
        <w:rPr>
          <w:rStyle w:val="CharStyle7"/>
          <w:vertAlign w:val="superscript"/>
        </w:rPr>
        <w:footnoteReference w:id="3"/>
      </w:r>
      <w:r>
        <w:rPr>
          <w:rStyle w:val="CharStyle7"/>
        </w:rPr>
        <w:t>, dalej: „ustawa o inwestycjach”. Nowelizacja ustawy o inwestycjach utrzymała generalną zasadę, zgodnie z którą odległość nowej elektrowni wiatrowej od istniejącego budynku mieszkalnego nie może być mniejsza niż 10-krotność wysokości planowanej elektrowni wiatrowej (dalej: „zasada odległościowa”). Odległość ta może zostać zmniejszona przez radę gminy w ramach uchwalonego miejscowego planu zagospodarowania przestrzennego, jednak nie mniej niż do minimalnego poziomu 700 metrów.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 xml:space="preserve">Należy jednak podkreślić, że inne niż określone w nowelizacji ustawy o inwestycjach zasady związane z lokalizowaniem turbin wiatrowych dotyczą sytuacji, w której elektrownia wiatrowa już istnieje, a budowany lub lokalizowany jest budynek mieszkalny. Nowelizacja ustawy o inwestycjach zniosła zasadę odległościową dla lokalizowania lub budowy budynku mieszkalnego albo budynku o funkcji mieszanej, jeśli znajdująca się w pobliżu elektrownia wiatrowa posiada decyzję o pozwoleniu na budowę, które stało się ostateczne przed dniem wejścia w życie ustawy. </w:t>
      </w:r>
      <w:r>
        <w:rPr>
          <w:rStyle w:val="CharStyle7"/>
          <w:u w:val="single"/>
        </w:rPr>
        <w:t>Innymi słowy, budynek mieszkalny nie musi spełniać wymogu zachowania odległości, o której wyżej mowa, od elektrowni wiatrowej.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 xml:space="preserve">Omawiana zasada wynika z obowiązującego art. 12 nowelizacji ustawy o inwestycjach, który wprost wskazuje, że w przypadku lokalizowania budynku mieszkalnego albo budynku o funkcji mieszanej, nie stosuje się przepisu art. 4 ust. 4 ustawy zmienianej w art. 1 w brzmieniu nadanym niniejszą ustawą, o ile elektrownia wiatrowa posiada ostateczne pozwolenie na budowę. </w:t>
      </w:r>
      <w:r>
        <w:rPr>
          <w:rStyle w:val="CharStyle7"/>
          <w:u w:val="single"/>
        </w:rPr>
        <w:t>W takim przypadku nie stosuje się w ogóle zasady odległościowej. Na potrzeby wyjaśnień niezbędnych dla przedmiotowej sprawy podkreślę, że przedmiotowy przepis dotyczy m.in. budynków mieszkalnych lub o funkcji mieszanej lokalizowanych na podstawie decyzji WZ.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7"/>
        </w:rPr>
        <w:t>Warto także przedstawić genezę wprowadzenia art. 12 do nowelizacji ustawy o inwestycjach. Przepis ten został dodany na etapie prac parlamentarnych nad przedmiotową nowelizacją. Oznacza to, że uzasadnienie do nowelizacji ustawy o inwestycjach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8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Dz. U. z 2023 r. poz. 553.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2" w:val="left"/>
        </w:tabs>
        <w:bidi w:val="0"/>
        <w:spacing w:before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Dz. U. z 2024 r. poz. 317.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z przedłożenia rządowego nie mogło wyjaśniać, w jaki sposób stosować ten przepis, ponieważ na tym etapie procedowania dokumentu taka regulacja nie istniała, a na etapie prac parlamentarnych nie następuje już zmiana uzasadnienia wersji projektu zaakceptowanego na etapie Rady Ministrów.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W dniu 26 stycznia 2023 r. podczas prac Komisji do Spraw Energii, Klimatu i Aktywów Państwowych i Komisji Samorządu Terytorialnego i Polityki Regionalnej do omawianej nowelizacji została zgłoszona poprawka poselska. Poniżej zawarto brzmienie poprawki oraz uzasadnienie do niej, w ślad za stenogramem komisji</w:t>
      </w:r>
      <w:r>
        <w:rPr>
          <w:rStyle w:val="CharStyle7"/>
          <w:vertAlign w:val="superscript"/>
        </w:rPr>
        <w:footnoteReference w:id="4"/>
      </w:r>
      <w:r>
        <w:rPr>
          <w:rStyle w:val="CharStyle7"/>
        </w:rPr>
        <w:t>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i/>
          <w:iCs/>
        </w:rPr>
        <w:t>„Wart. 10 ust. 1 i 2oraz w art. 11proponuje się kropkę zastąpićprzecinkiem i dodaćwyrazy „z wyjątkiem elektrowni wiatrowych, dla których decyzja o pozwoleniu na budowę stała się ostateczna przed dniem wejścia w życie niniejszej ustawy”, a po art. 11 dodać art. 11a w brzmieniu: „Do lokalizowania lub budowy budynku mieszkalnego albo budynku o funkcji mieszanej na podstawie decyzji WZ albo decyzji LICP, albo lokalizowania takiego budynku na podstawie planu miejscowego, w przypadku określania odległości takiego budynku od elektrowniwiatrowej, dla którejdecyzja o pozwoleniu na budowę stała się ostateczna przed dniem wejścia w życie niniejszej ustawy, nie stosuje się przepisu art. 4 ust. 4 ustawy zmienianejw art. 1w brzmieniu nadanym niniejszą ustawą”.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i/>
          <w:iCs/>
        </w:rPr>
        <w:t xml:space="preserve">Uzasadnienie. Wprowadzana poprawka znosi zasadę odległościową przy lokalizowaniu lub budowie budynku mieszkalnego albo budynku o funkcji mieszanej, jeśli elektrownia wiatrowa już została posadowiona. Projekt ustawy obecnie zakłada, że odległość takiego budynku odelektrowniwiatrowejpowinna wynosićnie mniej niż700m. </w:t>
      </w:r>
      <w:r>
        <w:rPr>
          <w:rStyle w:val="CharStyle7"/>
          <w:b/>
          <w:bCs/>
          <w:i/>
          <w:iCs/>
        </w:rPr>
        <w:t xml:space="preserve">Niemniejjednak, ze względu na obecną potrzebę uwolnienia zabudowy mieszkaniowej w gminach, zakłada się, że wprzypadku lokalizowania takiego budynku </w:t>
      </w:r>
      <w:r>
        <w:rPr>
          <w:rStyle w:val="CharStyle7"/>
          <w:b/>
          <w:bCs/>
          <w:i/>
          <w:iCs/>
          <w:u w:val="single"/>
        </w:rPr>
        <w:t>żadna zasada odległościowa nie będzie miała</w:t>
      </w:r>
      <w:r>
        <w:rPr>
          <w:rStyle w:val="CharStyle7"/>
          <w:b/>
          <w:bCs/>
          <w:i/>
          <w:iCs/>
        </w:rPr>
        <w:t xml:space="preserve"> </w:t>
      </w:r>
      <w:r>
        <w:rPr>
          <w:rStyle w:val="CharStyle7"/>
          <w:b/>
          <w:bCs/>
          <w:i/>
          <w:iCs/>
          <w:u w:val="single"/>
        </w:rPr>
        <w:t>zastosowania</w:t>
      </w:r>
      <w:r>
        <w:rPr>
          <w:rStyle w:val="CharStyle7"/>
          <w:b/>
          <w:bCs/>
          <w:i/>
          <w:iCs/>
        </w:rPr>
        <w:t xml:space="preserve">. </w:t>
      </w:r>
      <w:r>
        <w:rPr>
          <w:rStyle w:val="CharStyle7"/>
          <w:i/>
          <w:iCs/>
        </w:rPr>
        <w:t>Dziękuję.”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Zauważyć należy, że zgłaszany w ww. poprawce art. 11a stał się ostatecznie omawianym art. 12 nowelizacji ustawy o inwestycjach. Zmiana jednostki redakcyjnej wynikała jedynie z potrzeby uporządkowania projektu pod kątem redakcyjnym.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Pragnę również podkreślić, że niniejsze stanowisko ma charakter informacyjny i nie stanowi wiążącej wykładni prawa ani rozstrzygnięcia w sprawie indywidualnej. Minister Klimatu i Środowiska, poza wyraźnie wskazanymi przepisami prawa, nie dokonuje oceny decyzji ani innych rozstrzygnięć podejmowanych przez organy administracji publicznej w ramach prowadzonych przez nie postępowań administracyjnych. Zastrzegam również, że niniejsze stanowisko opiera się wyłącznie na informacjach przedstawionych w zapytaniu, które mogą nie obejmować wszystkich istotnych faktów i okoliczności mających wpływ na ocenę prawną, co może prowadzić do odmiennych wniosków niż wskazane w niniejszym piśmie.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Zastępca Dyrektora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Departament Odnawialnych Źródeł Energii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/ – podpisany cyfrowo/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type w:val="continuous"/>
      <w:pgSz w:w="11900" w:h="16840"/>
      <w:pgMar w:top="2127" w:right="1911" w:bottom="679" w:left="1939" w:header="1699" w:footer="25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  <w:r>
        <w:rPr>
          <w:rStyle w:val="CharStyle3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sz w:val="13"/>
          <w:szCs w:val="13"/>
        </w:rPr>
        <w:t>Działamy zgodnie z EMAS - zarządzając instytucją, dbamy o środowisko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</w:t>
      </w:r>
      <w:r>
        <w:fldChar w:fldCharType="begin"/>
      </w:r>
      <w:r>
        <w:rPr/>
        <w:instrText> HYPERLINK "https://www.sejm.gov.pl/Sejm9.nsf/biuletyn.xsp?skrnr=ESK-145" </w:instrText>
      </w:r>
      <w:r>
        <w:fldChar w:fldCharType="separate"/>
      </w:r>
      <w:r>
        <w:rPr>
          <w:rStyle w:val="CharStyle3"/>
        </w:rPr>
        <w:t>https://www.sejm.gov.pl/Sejm9.nsf/biuletyn.xsp?skrnr=ESK-145</w:t>
      </w:r>
      <w:r>
        <w:fldChar w:fldCharType="end"/>
      </w:r>
      <w:r>
        <w:rPr>
          <w:rStyle w:val="CharStyle3"/>
        </w:rPr>
        <w:t>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8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Szablon ogólny kolor</dc:title>
  <dc:subject/>
  <dc:creator>Łęski Michał</dc:creator>
  <cp:keywords>PL, KOLOR</cp:keywords>
</cp:coreProperties>
</file>