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60" w:bottom="482" w:left="513" w:header="163" w:footer="5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DLŁ-WNO.053.2.2026.AP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4199447.17503215.14205688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rStyle w:val="CharStyle11"/>
        </w:rPr>
        <w:t>Warszawa, 09-04-2026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64" w:lineRule="auto"/>
        <w:ind w:left="0" w:right="0" w:firstLine="0"/>
        <w:jc w:val="both"/>
      </w:pPr>
      <w:r>
        <w:rPr>
          <w:rStyle w:val="CharStyle11"/>
          <w:b/>
          <w:bCs/>
        </w:rPr>
        <w:t xml:space="preserve">Dotyczy: </w:t>
      </w:r>
      <w:r>
        <w:rPr>
          <w:rStyle w:val="CharStyle11"/>
        </w:rPr>
        <w:t>Zawiadomienie o sposobie załatwienia petycji z 22 stycznia 2026 r.</w:t>
      </w:r>
      <w:r>
        <w:rPr>
          <w:rStyle w:val="CharStyle11"/>
          <w:vertAlign w:val="superscript"/>
        </w:rPr>
        <w:footnoteReference w:id="2"/>
      </w:r>
      <w:r>
        <w:rPr>
          <w:rStyle w:val="CharStyle11"/>
        </w:rPr>
        <w:t xml:space="preserve"> w sprawie zmiany ustawy z dnia 3 lutego 1995 r. </w:t>
      </w:r>
      <w:r>
        <w:rPr>
          <w:rStyle w:val="CharStyle11"/>
          <w:i/>
          <w:iCs/>
        </w:rPr>
        <w:t>o ochronie gruntów rolnych i leśnych</w:t>
      </w:r>
      <w:r>
        <w:rPr>
          <w:rStyle w:val="CharStyle11"/>
        </w:rPr>
        <w:t xml:space="preserve"> w zakresie procedury odlesienia gruntów prywatnych.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560" w:line="240" w:lineRule="auto"/>
        <w:ind w:left="0" w:right="0" w:firstLine="0"/>
        <w:jc w:val="both"/>
      </w:pPr>
      <w:r>
        <w:rPr>
          <w:rStyle w:val="CharStyle11"/>
          <w:b/>
          <w:bCs/>
        </w:rPr>
        <w:t>Pan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bookmarkStart w:id="0" w:name="bookmark0"/>
      <w:r>
        <w:rPr>
          <w:rStyle w:val="CharStyle15"/>
          <w:b/>
          <w:bCs/>
        </w:rPr>
        <w:t>Szanowni Państwo,</w:t>
      </w:r>
      <w:bookmarkEnd w:id="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 xml:space="preserve">po przeanalizowaniu przesłanej przez Państwa petycji informuję, że </w:t>
      </w:r>
      <w:r>
        <w:rPr>
          <w:rStyle w:val="CharStyle11"/>
          <w:b/>
          <w:bCs/>
        </w:rPr>
        <w:t>nie została ona uwzględniona</w:t>
      </w:r>
      <w:r>
        <w:rPr>
          <w:rStyle w:val="CharStyle11"/>
        </w:rPr>
        <w:t>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bookmarkStart w:id="2" w:name="bookmark2"/>
      <w:r>
        <w:rPr>
          <w:rStyle w:val="CharStyle15"/>
          <w:b/>
          <w:bCs/>
        </w:rPr>
        <w:t>Uzasadnienie:</w:t>
      </w:r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 xml:space="preserve">Kwestie wyłączenia gruntów z produkcji rolniczej lub leśnej reguluje ustawa z dnia 3 lutego 1995 r. </w:t>
      </w:r>
      <w:r>
        <w:rPr>
          <w:rStyle w:val="CharStyle11"/>
          <w:i/>
          <w:iCs/>
        </w:rPr>
        <w:t>o ochronie gruntów rolnych i leśnych</w:t>
      </w:r>
      <w:r>
        <w:rPr>
          <w:rStyle w:val="CharStyle11"/>
          <w:vertAlign w:val="superscript"/>
        </w:rPr>
        <w:footnoteReference w:id="3"/>
      </w:r>
      <w:r>
        <w:rPr>
          <w:rStyle w:val="CharStyle11"/>
        </w:rPr>
        <w:t xml:space="preserve"> (dalej także „u.o.g.r.l.”).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Zgodnie z art. 7 ust. 1 u.o.g.r.l. przeznaczenia gruntów rolnych i leśnych na cele nierolnicze i nieleśne, wymagającego zgody, o której mowa w ust. 2 tego artykułu, dokonuje się w miejscowym planie zagospodarowania przestrzennego, sporządzonym w trybie określonym w przepisach o planowaniu i zagospodarowaniu przestrzennym.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Przeznaczenie na cele nierolnicze i nieleśne gruntów leśnych stanowiących własność Skarbu Państwa wymaga uzyskania zgody ministra właściwego do spraw środowiska lub upoważnionej przez niego osoby, a pozostałych gruntów leśnych – zgody marszałka województwa, wyrażanej po uzyskaniu opinii izby rolniczej (art. 7 ust. 2 pkt 2 i 5 u.o.g.r.l.).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960"/>
        <w:ind w:left="0" w:right="0" w:firstLine="0"/>
        <w:jc w:val="both"/>
      </w:pPr>
      <w:r>
        <w:rPr>
          <w:rStyle w:val="CharStyle11"/>
        </w:rPr>
        <w:t>Na podstawie art. 12 ust. 1 u.o.g.r.l. osoba, która uzyskała zezwolenie na wyłączenie gruntów z produkcji, jest obowiązana uiścić należność i opłaty roczne, a w odniesieniu do gruntów leśnych - także jednorazowe odszkodowanie w razie dokonania przedwczesnego wyrębu drzewostanu. Obowiązek taki powstaje od dnia faktycznego wyłączenia gruntów z produkcji. Podkreślenia wymaga fakt, że należności za wyłączenie z produkcji dotyczą zarówno gruntu leśnego bez drzewostanu, jak i gruntów leśnych w lasach ochronnych.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6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rStyle w:val="CharStyle6"/>
        </w:rPr>
        <w:t>Wpływ 22.01.2026 r. (bezpośrednio do tut. organu) oraz 6.03.2026 r.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5" w:val="left"/>
        </w:tabs>
        <w:bidi w:val="0"/>
        <w:spacing w:before="0" w:after="140" w:line="240" w:lineRule="auto"/>
        <w:ind w:left="0" w:right="0" w:firstLine="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591" w:right="1960" w:bottom="482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457200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6"/>
                                <w:sz w:val="16"/>
                                <w:szCs w:val="1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36.pt;width:141.34999999999999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6"/>
                          <w:sz w:val="16"/>
                          <w:szCs w:val="1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825500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9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65.pt;width:221.30000000000001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9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6"/>
        </w:rPr>
        <w:t>Dz. U. z 2024 r., poz. 82.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 xml:space="preserve">W związku z powyższym, w przedmiotowej sprawie kluczowa jest kwestia ewidencji gruntów, do której zastosowanie ma rozporządzenie Ministra Rozwoju, Pracy i Technologii z dnia 27 lipca 2021 r. </w:t>
      </w:r>
      <w:r>
        <w:rPr>
          <w:rStyle w:val="CharStyle11"/>
          <w:i/>
          <w:iCs/>
        </w:rPr>
        <w:t>w sprawie ewidencji gruntów i budynków</w:t>
      </w:r>
      <w:r>
        <w:rPr>
          <w:rStyle w:val="CharStyle11"/>
          <w:i/>
          <w:iCs/>
          <w:vertAlign w:val="superscript"/>
        </w:rPr>
        <w:footnoteReference w:id="4"/>
      </w:r>
      <w:r>
        <w:rPr>
          <w:rStyle w:val="CharStyle11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Konkludując, u.o.g.r.l. nakłada na właściciela gruntów stanowiących las obowiązki, które w związku z wyłączeniem tych gruntów z produkcji leśnej należy wypełnić w świetle obecnie obowiązujących przepisów prawa powszechnego.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 xml:space="preserve">Jednocześnie należy podkreślić, że w myśl art. 32 ust. 2 u.o.g.r.l. dochody, o których mowa w art. 12 ust. 1, dotyczące gruntów leśnych, są dochodami Funduszu Leśnego, o których mowa w przepisach ustawy z dnia 28 września 1991 r. </w:t>
      </w:r>
      <w:r>
        <w:rPr>
          <w:rStyle w:val="CharStyle11"/>
          <w:i/>
          <w:iCs/>
        </w:rPr>
        <w:t>o lasach</w:t>
      </w:r>
      <w:r>
        <w:rPr>
          <w:rStyle w:val="CharStyle11"/>
          <w:vertAlign w:val="superscript"/>
        </w:rPr>
        <w:footnoteReference w:id="5"/>
      </w:r>
      <w:r>
        <w:rPr>
          <w:rStyle w:val="CharStyle11"/>
        </w:rPr>
        <w:t xml:space="preserve"> (dalej także „u.o.l.”). Środki Funduszu Leśnego przeznacza się dla nadleśnictw na wyrównywanie niedoborów powstających przy realizacji zadań gospodarki leśnej i dotyczących administracji publicznej w zakresie leśnictwa (art. 58 ust. 1 u.o.l.). Ponadto u.o.l. określa inne cele, na które są przeznaczane środki z Funduszu Leśnego, związane jednak z szeroko pojętą gospodarką leśną.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Odnosząc się do Państwa postulatu zmiany u.o.g.r.l. ze względu na zbyt restrykcyjne przepisy, które generują bardzo wysokie koszty, przede wszystkim należy zauważyć, że zgodnie z art. 3 ust. 2 u.o.g.r.l. „Ochrona gruntów leśnych polega na: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5" w:val="left"/>
        </w:tabs>
        <w:bidi w:val="0"/>
        <w:spacing w:before="0" w:after="0"/>
        <w:ind w:left="0" w:right="0" w:firstLine="160"/>
        <w:jc w:val="both"/>
      </w:pPr>
      <w:r>
        <w:rPr>
          <w:rStyle w:val="CharStyle11"/>
        </w:rPr>
        <w:t>ograniczaniu przeznaczania ich na cele nieleśne lub nierolnicze;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5" w:val="left"/>
        </w:tabs>
        <w:bidi w:val="0"/>
        <w:spacing w:before="0" w:after="0"/>
        <w:ind w:left="520" w:right="0" w:hanging="360"/>
        <w:jc w:val="left"/>
      </w:pPr>
      <w:r>
        <w:rPr>
          <w:rStyle w:val="CharStyle11"/>
        </w:rPr>
        <w:t>zapobieganiu procesom degradacji i dewastacji gruntów leśnych oraz szkodom w drzewostanach i produkcji leśnej, powstającym wskutek działalności nieleśnej i ruchów masowych ziemi;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5" w:val="left"/>
        </w:tabs>
        <w:bidi w:val="0"/>
        <w:spacing w:before="0" w:after="0"/>
        <w:ind w:left="520" w:right="0" w:hanging="360"/>
        <w:jc w:val="left"/>
      </w:pPr>
      <w:r>
        <w:rPr>
          <w:rStyle w:val="CharStyle11"/>
        </w:rPr>
        <w:t>przywracaniu wartości użytkowej gruntom, które utraciły charakter gruntów leśnych wskutek działalności nieleśnej;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5" w:val="left"/>
        </w:tabs>
        <w:bidi w:val="0"/>
        <w:spacing w:before="0" w:after="0"/>
        <w:ind w:left="0" w:right="0" w:firstLine="160"/>
        <w:jc w:val="both"/>
      </w:pPr>
      <w:r>
        <w:rPr>
          <w:rStyle w:val="CharStyle11"/>
        </w:rPr>
        <w:t>poprawianiu ich wartości użytkowej oraz zapobieganiu obniżania ich produkcyjności;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5" w:val="left"/>
        </w:tabs>
        <w:bidi w:val="0"/>
        <w:spacing w:before="0"/>
        <w:ind w:left="0" w:right="0" w:firstLine="160"/>
        <w:jc w:val="both"/>
      </w:pPr>
      <w:r>
        <w:rPr>
          <w:rStyle w:val="CharStyle11"/>
        </w:rPr>
        <w:t>ograniczaniu zmian naturalnego ukształtowania powierzchni ziemi.”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Z powyższego wynika, że celem omawianej ustawy jest m.in. ograniczenie przeznaczania gruntów leśnych na cele nieleśne. W związku z tym możliwość nieograniczonej i nieobwarowanej żadnymi warunkami zmiany przeznaczenia gruntów leśnych na cele rolnicze stałaby w sprzeczności z podstawowymi celami u.o.g.r.l.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Jak już wskazano, procedura mająca zastosowanie w przypadku zmiany przeznaczenia gruntu leśnego na cele nieleśne, została określona w u.o.g.r.l., a wyłączenie gruntu leśnego z produkcji wymaga, co do zasady, zmiany przeznaczenia tego gruntu w miejscowym planie zagospodarowania przestrzennego na cele nieleśne. Wyłączenie z produkcji gruntów leśnych może nastąpić po wydaniu decyzji zezwalających na takie wyłączenie. Jak już zaznaczono, zgodnie z art. 12 ust. 1 u.o.g.r.l. „Osoba, która uzyskała zezwolenie na wyłączenie gruntów z produkcji, jest obowiązana uiścić należność i opłaty roczne, a w odniesieniu do gruntów leśnych - także jednorazowe odszkodowanie w razie dokonania przedwczesnego wyrębu drzewostanu. Obowiązek taki powstaje od dnia faktycznego wyłączenia gruntów z produkcji.”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 xml:space="preserve">Przytoczone przepisy wskazują, że u.o.g.r.l. przewiduje długotrwałą procedurę zmiany przeznaczenia gruntu leśnego na cele nieleśne, z którą wiąże się również ponoszenie kosztów. Procedura ta wynika m.in. ze wspomnianego celu ustawy, jakim jest konieczność ochrony gruntów leśnych przed ich nadmiernym przeznaczaniem na cele nieleśne. </w:t>
      </w:r>
      <w:r>
        <w:rPr>
          <w:rStyle w:val="CharStyle11"/>
          <w:b/>
          <w:bCs/>
        </w:rPr>
        <w:t xml:space="preserve">Ustawodawca, przewidując tak rozbudowaną procedurę powiązaną z ponoszeniem kosztów, chciał osiągnąć rezultat w postaci zachowania jak największej części zasobów leśnych kraju. </w:t>
      </w:r>
      <w:r>
        <w:rPr>
          <w:rStyle w:val="CharStyle11"/>
        </w:rPr>
        <w:t>Właściciel gruntu leśnego musi zdawać sobie sprawę z faktu, że jego prawo własności staje się w pewien sposób prawem ograniczonym m.in. z tego powodu, że właściciel nie może zmienić charakteru gruntu w sposób łatwy, szybki i bez ponoszenia kosztów.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both"/>
      </w:pPr>
      <w:r>
        <w:rPr>
          <w:rStyle w:val="CharStyle11"/>
        </w:rPr>
        <w:t>W związku z powyższym, należy stwierdzić, że Minister Klimatu i Środowiska nie widzi potrzeby znoszenia obowiązku uiszczania należności, opłat rocznych oraz jednorazowego odszkodowania w razie dokonania przedwczesnego wyrębu drzewostanu w przypadku zmiany przeznaczenia gruntu leśnego na cele nieleśne na podstawie u.o.g.r.l. Przepisy u.o.g.r.l. zostały ukształtowane w tym zakresie w sposób, który pozwala na realizację podstawowych celów ustawy, do których należy m.in. ograniczanie przeznaczania gruntów leśnych na cele nieleśne.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4" w:name="bookmark4"/>
      <w:r>
        <w:rPr>
          <w:rStyle w:val="CharStyle15"/>
          <w:b/>
          <w:bCs/>
        </w:rPr>
        <w:t>Podstawa prawna:</w:t>
      </w:r>
      <w:bookmarkEnd w:id="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11"/>
        </w:rPr>
        <w:t>Art. 12 i 13 ustawy z dnia 11 lipca 2014 r. o petycjach.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6" w:name="bookmark6"/>
      <w:r>
        <w:rPr>
          <w:rStyle w:val="CharStyle15"/>
          <w:b/>
          <w:bCs/>
        </w:rPr>
        <w:t>Pouczenie:</w:t>
      </w:r>
      <w:bookmarkEnd w:id="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r>
        <w:rPr>
          <w:rStyle w:val="CharStyle11"/>
        </w:rPr>
        <w:t xml:space="preserve">Informuję, że na sposób załatwienia petycji nie służy Państwu prawo wniesienia skargi w trybie określonym w Rozdziale 2 Działu VIII </w:t>
      </w:r>
      <w:r>
        <w:rPr>
          <w:rStyle w:val="CharStyle11"/>
          <w:i/>
          <w:iCs/>
        </w:rPr>
        <w:t>Kodeksu postępowania administracyjnego</w:t>
      </w:r>
      <w:r>
        <w:rPr>
          <w:rStyle w:val="CharStyle11"/>
        </w:rPr>
        <w:t>. 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1"/>
        </w:rPr>
        <w:t>Z wyrazami szacunku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rStyle w:val="CharStyle11"/>
        </w:rPr>
        <w:t>Z up. Ministra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1"/>
        </w:rPr>
        <w:t>Podsekretarz Stanu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0" w:line="264" w:lineRule="auto"/>
        <w:ind w:left="0" w:right="0" w:firstLine="0"/>
        <w:jc w:val="both"/>
      </w:pPr>
      <w:r>
        <w:rPr>
          <w:rStyle w:val="CharStyle11"/>
        </w:rPr>
        <w:t>Ministerstwo Klimatu i Środowiska / – podpisany cyfrowo/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rStyle w:val="CharStyle11"/>
          <w:b/>
          <w:bCs/>
          <w:u w:val="single"/>
        </w:rPr>
        <w:t>Do wiadomości</w:t>
      </w:r>
      <w:r>
        <w:rPr>
          <w:rStyle w:val="CharStyle11"/>
          <w:b/>
          <w:bCs/>
        </w:rPr>
        <w:t xml:space="preserve">: </w:t>
      </w:r>
      <w:r>
        <w:rPr>
          <w:rStyle w:val="CharStyle11"/>
        </w:rPr>
        <w:t>Biuro Kontroli i Audytu w Ministerstwie Klimatu i Środowiska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center"/>
      </w:pPr>
      <w:r>
        <w:rPr>
          <w:rStyle w:val="CharStyle6"/>
          <w:b/>
          <w:bCs/>
        </w:rPr>
        <w:t>Klauzula informacyjna</w:t>
        <w:br/>
        <w:t>dotycząca przetwarzania danych osobowych osób wnoszących petycję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  <w:b/>
          <w:bCs/>
        </w:rPr>
        <w:t>Tożsamość administratora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Administratorem Pani/Pana danych osobowych jest Minister Klimatu i Środowiska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Może się Pani/Pan z nami kontaktować w następujący sposób: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listownie na adres: ul. Wawelska 52/54, 00-922 Warszawa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poprzez elektroniczną skrzynkę podawczą: /mos/skrytka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adres eDoręczeń: AE:PL-76338-88700-JTFJE-30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6"/>
        </w:rPr>
        <w:t xml:space="preserve"> </w:t>
      </w:r>
      <w:r>
        <w:rPr>
          <w:rStyle w:val="CharStyle6"/>
          <w:color w:val="0000FF"/>
          <w:u w:val="single"/>
        </w:rPr>
        <w:t>info@klimat.gov.pl</w:t>
      </w:r>
      <w:r>
        <w:fldChar w:fldCharType="end"/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160"/>
        <w:ind w:left="0" w:right="0" w:firstLine="380"/>
        <w:jc w:val="left"/>
      </w:pPr>
      <w:r>
        <w:rPr>
          <w:rStyle w:val="CharStyle6"/>
        </w:rPr>
        <w:t>telefonicznie: 22 36 92 900.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  <w:b/>
          <w:bCs/>
        </w:rPr>
        <w:t>Dane kontaktowe inspektora ochrony danych osobowych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Nad prawidłowością przetwarzania Pani/Pana danych osobowych czuwa wyznaczony przez Administratora inspektor ochrony danych, z którym można się kontaktować: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listownie na adres: ul. Wawelska 52/54, 00-922 Warszawa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poprzez elektroniczną skrzynkę podawczą: /mos/skrytka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160"/>
        <w:ind w:left="0" w:right="0" w:firstLine="380"/>
        <w:jc w:val="left"/>
      </w:pPr>
      <w:r>
        <w:rPr>
          <w:rStyle w:val="CharStyle6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6"/>
        </w:rPr>
        <w:t>inspektor.ochrony.danych@klimat.gov.pl</w:t>
      </w:r>
      <w:r>
        <w:fldChar w:fldCharType="end"/>
      </w:r>
      <w:r>
        <w:rPr>
          <w:rStyle w:val="CharStyle6"/>
        </w:rPr>
        <w:t>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  <w:b/>
          <w:bCs/>
        </w:rPr>
        <w:t>Cele przetwarzania danych osobowych i podstawa prawna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6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  <w:b/>
          <w:bCs/>
        </w:rPr>
        <w:t>Odbiorcy danych osobowych lub kategorie odbiorców danych osobowych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6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6"/>
        </w:rPr>
        <w:t>inspektor.ochrony.danych@klimat.gov.pl</w:t>
      </w:r>
      <w:r>
        <w:fldChar w:fldCharType="end"/>
      </w:r>
      <w:r>
        <w:rPr>
          <w:rStyle w:val="CharStyle6"/>
        </w:rPr>
        <w:t>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  <w:b/>
          <w:bCs/>
        </w:rPr>
        <w:t>Okres przechowywania danych osobowych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6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  <w:b/>
          <w:bCs/>
        </w:rPr>
        <w:t>Przysługujące uprawnienia związane z przetwarzaniem danych osobowych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Przysługują Pani/Panu następujące uprawnienia: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prawo dostępu do danych osobowych i uzyskania ich kopii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prawo do sprostowania danych osobowych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prawo do usunięcia danych osobowych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6"/>
        </w:rPr>
        <w:t>prawo ograniczenia przetwarzania.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Aby skorzystać z powyższych praw należy skontaktować się z nami lub z naszym inspektorem ochrony danych (dane kontaktowe zawarte są powyżej).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160"/>
        <w:ind w:left="740" w:right="0" w:hanging="360"/>
        <w:jc w:val="left"/>
      </w:pPr>
      <w:r>
        <w:rPr>
          <w:rStyle w:val="CharStyle6"/>
        </w:rPr>
        <w:t>prawo do wniesienia skargi do Prezesa Urzędu Ochrony Danych Osobowych (ul. Moniuszki 1A, 00-014 Warszawa), jeśli uzna Pani/Pan, że przetwarzamy Pani/Pana dane osobowe niezgodnie z prawem.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</w:rPr>
        <w:t>Informacja o przekazywaniu danych osobowych do państw trzecich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6"/>
        </w:rPr>
        <w:t>Nie przekazujemy Pani/Pana danych osobowych do państw trzecich.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  <w:b/>
          <w:bCs/>
        </w:rPr>
        <w:t>Informacja o profilowaniu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6"/>
        </w:rPr>
        <w:t>Pani/Pana dane osobowe nie podlegają zautomatyzowanemu przetwarzaniu, w tym profilowaniu.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  <w:b/>
          <w:bCs/>
        </w:rPr>
        <w:t>Informacja o dowolności lub obowiązku podania danych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6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2094" w:right="1996" w:bottom="1760" w:left="1912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3728720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7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3.60000000000002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7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sz w:val="16"/>
          <w:szCs w:val="16"/>
        </w:rPr>
        <w:t>Telefon: (+48) 22 369 29 00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sz w:val="16"/>
          <w:szCs w:val="16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sz w:val="16"/>
          <w:szCs w:val="16"/>
        </w:rPr>
        <w:t>www.gov.pl/klimat</w:t>
      </w:r>
      <w:r>
        <w:fldChar w:fldCharType="end"/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Dz. U. z 2024 r., poz. 219, z późn. zm.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Dz. U. z 2025 r., poz. 567, z późn. zm.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Body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Body text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">
    <w:name w:val="Body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Heading #1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Header or footer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Body text (2)"/>
    <w:basedOn w:val="Normal"/>
    <w:link w:val="CharStyle6"/>
    <w:pPr>
      <w:widowControl w:val="0"/>
      <w:shd w:val="clear" w:color="auto" w:fill="auto"/>
      <w:spacing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Body text (3)"/>
    <w:basedOn w:val="Normal"/>
    <w:link w:val="CharStyle9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10">
    <w:name w:val="Body text"/>
    <w:basedOn w:val="Normal"/>
    <w:link w:val="CharStyle11"/>
    <w:qFormat/>
    <w:pPr>
      <w:widowControl w:val="0"/>
      <w:shd w:val="clear" w:color="auto" w:fill="auto"/>
      <w:spacing w:after="80" w:line="31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Heading #1"/>
    <w:basedOn w:val="Normal"/>
    <w:link w:val="CharStyle15"/>
    <w:pPr>
      <w:widowControl w:val="0"/>
      <w:shd w:val="clear" w:color="auto" w:fill="auto"/>
      <w:spacing w:after="40" w:line="317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Header or footer (2)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