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38F4" w14:textId="6389EA8D" w:rsidR="00BE2348" w:rsidRPr="00F6392A" w:rsidRDefault="00A2157D" w:rsidP="00A2157D">
      <w:pPr>
        <w:pStyle w:val="Pagedecouverture"/>
        <w:rPr>
          <w:noProof/>
        </w:rPr>
      </w:pPr>
      <w:r>
        <w:rPr>
          <w:noProof/>
        </w:rPr>
        <w:pict w14:anchorId="1A65B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4446A56E-AC25-4D03-BBC0-B5E38E8FC315" style="width:455.25pt;height:401.25pt">
            <v:imagedata r:id="rId7" o:title=""/>
          </v:shape>
        </w:pict>
      </w:r>
    </w:p>
    <w:p w14:paraId="73B6A45B" w14:textId="77777777" w:rsidR="00BE2348" w:rsidRPr="00F6392A" w:rsidRDefault="00BE2348" w:rsidP="00BE2348">
      <w:pPr>
        <w:rPr>
          <w:noProof/>
        </w:rPr>
        <w:sectPr w:rsidR="00BE2348" w:rsidRPr="00F6392A" w:rsidSect="00A215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0CC2E58" w14:textId="77777777" w:rsidR="00BE2348" w:rsidRPr="00F6392A" w:rsidRDefault="00BE2348" w:rsidP="00BE2348">
      <w:pPr>
        <w:pStyle w:val="Annexetitre"/>
        <w:rPr>
          <w:noProof/>
        </w:rPr>
      </w:pPr>
      <w:bookmarkStart w:id="0" w:name="_GoBack"/>
      <w:bookmarkEnd w:id="0"/>
      <w:r w:rsidRPr="00F6392A">
        <w:rPr>
          <w:noProof/>
        </w:rPr>
        <w:lastRenderedPageBreak/>
        <w:t xml:space="preserve">ZAŁĄCZNIK </w:t>
      </w:r>
    </w:p>
    <w:p w14:paraId="4B1E2805" w14:textId="77777777" w:rsidR="00BE2348" w:rsidRPr="00F6392A" w:rsidRDefault="00BE2348" w:rsidP="00BE2348">
      <w:pPr>
        <w:spacing w:after="160" w:line="360" w:lineRule="auto"/>
        <w:jc w:val="center"/>
        <w:rPr>
          <w:rFonts w:eastAsia="Times New Roman"/>
          <w:i/>
          <w:iCs/>
          <w:noProof/>
        </w:rPr>
      </w:pPr>
      <w:r w:rsidRPr="00F6392A">
        <w:rPr>
          <w:i/>
          <w:noProof/>
        </w:rPr>
        <w:t>„ZAŁĄCZNIK III</w:t>
      </w:r>
    </w:p>
    <w:p w14:paraId="5EF23296" w14:textId="7F28F773" w:rsidR="00BE2348" w:rsidRPr="00F6392A" w:rsidRDefault="00BE2348" w:rsidP="00BE2348">
      <w:pPr>
        <w:spacing w:after="160" w:line="360" w:lineRule="auto"/>
        <w:jc w:val="center"/>
        <w:rPr>
          <w:noProof/>
        </w:rPr>
      </w:pPr>
      <w:r w:rsidRPr="00F6392A">
        <w:rPr>
          <w:b/>
          <w:noProof/>
        </w:rPr>
        <w:t>Wzorcowy formularz standardowy sprawozdania, do przesłania Komisji, zawierający naruszenia</w:t>
      </w:r>
      <w:r w:rsidR="00DB020A" w:rsidRPr="00F6392A">
        <w:rPr>
          <w:b/>
          <w:noProof/>
        </w:rPr>
        <w:t xml:space="preserve"> i</w:t>
      </w:r>
      <w:r w:rsidR="00DB020A">
        <w:rPr>
          <w:b/>
          <w:noProof/>
        </w:rPr>
        <w:t> </w:t>
      </w:r>
      <w:r w:rsidR="00DB020A" w:rsidRPr="00F6392A">
        <w:rPr>
          <w:b/>
          <w:noProof/>
        </w:rPr>
        <w:t>kar</w:t>
      </w:r>
      <w:r w:rsidRPr="00F6392A">
        <w:rPr>
          <w:b/>
          <w:noProof/>
        </w:rPr>
        <w:t>y</w:t>
      </w:r>
    </w:p>
    <w:p w14:paraId="0C8B9E7B" w14:textId="77777777" w:rsidR="00BE2348" w:rsidRPr="00F6392A" w:rsidRDefault="00BE2348" w:rsidP="00BE2348">
      <w:pPr>
        <w:spacing w:after="160" w:line="360" w:lineRule="auto"/>
        <w:jc w:val="center"/>
        <w:rPr>
          <w:noProof/>
        </w:rPr>
      </w:pPr>
      <w:r w:rsidRPr="00F6392A">
        <w:rPr>
          <w:b/>
          <w:noProof/>
        </w:rPr>
        <w:t xml:space="preserve"> </w:t>
      </w:r>
    </w:p>
    <w:p w14:paraId="634B7D11" w14:textId="77777777" w:rsidR="00BE2348" w:rsidRPr="00F6392A" w:rsidRDefault="00BE2348" w:rsidP="00BE2348">
      <w:pPr>
        <w:spacing w:after="160" w:line="360" w:lineRule="auto"/>
        <w:rPr>
          <w:noProof/>
        </w:rPr>
      </w:pPr>
      <w:r w:rsidRPr="00F6392A">
        <w:rPr>
          <w:noProof/>
          <w:sz w:val="28"/>
        </w:rPr>
        <w:t>Państwo: _____________________                          Rok: ________________</w:t>
      </w:r>
    </w:p>
    <w:p w14:paraId="6209F1B4" w14:textId="77777777" w:rsidR="00BE2348" w:rsidRPr="00F6392A" w:rsidRDefault="00BE2348" w:rsidP="00BE2348">
      <w:pPr>
        <w:spacing w:after="160" w:line="360" w:lineRule="auto"/>
        <w:rPr>
          <w:noProof/>
        </w:rPr>
      </w:pPr>
      <w:r w:rsidRPr="00F6392A">
        <w:rPr>
          <w:noProof/>
          <w:sz w:val="28"/>
        </w:rPr>
        <w:t xml:space="preserve"> </w:t>
      </w:r>
    </w:p>
    <w:p w14:paraId="328A8240" w14:textId="77777777" w:rsidR="00BE2348" w:rsidRPr="00F6392A" w:rsidRDefault="00BE2348" w:rsidP="00BE2348">
      <w:pPr>
        <w:spacing w:after="160" w:line="360" w:lineRule="auto"/>
        <w:jc w:val="center"/>
        <w:rPr>
          <w:noProof/>
        </w:rPr>
      </w:pPr>
      <w:r w:rsidRPr="00F6392A">
        <w:rPr>
          <w:noProof/>
          <w:sz w:val="28"/>
        </w:rPr>
        <w:t>KONTROLE TRANSPORTU DROGOWEGO TOWARÓW NIEBEZPIECZNYCH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1730"/>
        <w:gridCol w:w="1069"/>
        <w:gridCol w:w="1336"/>
        <w:gridCol w:w="1320"/>
        <w:gridCol w:w="1338"/>
      </w:tblGrid>
      <w:tr w:rsidR="00BE2348" w:rsidRPr="00F6392A" w14:paraId="7E228D63" w14:textId="77777777" w:rsidTr="00511C75">
        <w:trPr>
          <w:trHeight w:val="555"/>
        </w:trPr>
        <w:tc>
          <w:tcPr>
            <w:tcW w:w="3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38E65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 xml:space="preserve"> </w:t>
            </w:r>
          </w:p>
        </w:tc>
        <w:tc>
          <w:tcPr>
            <w:tcW w:w="3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A748F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 xml:space="preserve">Miejsce rejestracji pojazdów </w:t>
            </w:r>
            <w:r w:rsidRPr="00F6392A">
              <w:rPr>
                <w:noProof/>
                <w:sz w:val="18"/>
                <w:vertAlign w:val="superscript"/>
              </w:rPr>
              <w:t>(1)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670CF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>Łączna liczba</w:t>
            </w:r>
          </w:p>
        </w:tc>
      </w:tr>
      <w:tr w:rsidR="00BE2348" w:rsidRPr="00F6392A" w14:paraId="45D49CD3" w14:textId="77777777" w:rsidTr="00511C75">
        <w:trPr>
          <w:trHeight w:val="690"/>
        </w:trPr>
        <w:tc>
          <w:tcPr>
            <w:tcW w:w="39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727" w14:textId="77777777" w:rsidR="00BE2348" w:rsidRPr="00F6392A" w:rsidRDefault="00BE2348" w:rsidP="00004B3D">
            <w:pPr>
              <w:rPr>
                <w:noProof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A2421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>Państwo kontroli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8F255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>Inne państwa członkowskie UE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599BE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noProof/>
                <w:sz w:val="18"/>
              </w:rPr>
              <w:t>Państwa trzecie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953" w14:textId="77777777" w:rsidR="00BE2348" w:rsidRPr="00F6392A" w:rsidRDefault="00BE2348" w:rsidP="00004B3D">
            <w:pPr>
              <w:rPr>
                <w:noProof/>
              </w:rPr>
            </w:pPr>
          </w:p>
        </w:tc>
      </w:tr>
      <w:tr w:rsidR="00BE2348" w:rsidRPr="00F6392A" w14:paraId="3DC7C89E" w14:textId="77777777" w:rsidTr="00511C75">
        <w:trPr>
          <w:trHeight w:val="825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122EC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Liczba jednostek transportowych skontrolowanych pod kątem zawartości ładunku (i ADR)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56A29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68A19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CCDCE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020D2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6551A7E6" w14:textId="77777777" w:rsidTr="00004B3D">
        <w:trPr>
          <w:trHeight w:val="585"/>
        </w:trPr>
        <w:tc>
          <w:tcPr>
            <w:tcW w:w="3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8354F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Liczba jednostek transportowych nieprzestrzegających ADR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1DE5C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C2DEA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A3038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88F64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539C58DD" w14:textId="77777777" w:rsidTr="00511C75">
        <w:trPr>
          <w:trHeight w:val="555"/>
        </w:trPr>
        <w:tc>
          <w:tcPr>
            <w:tcW w:w="3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301B8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Liczba unieruchomionych jednostek transportowych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5972E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5A769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44FF9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ACBB5A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4A836ECE" w14:textId="77777777" w:rsidTr="00511C75">
        <w:trPr>
          <w:trHeight w:val="58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0A0914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 xml:space="preserve">Liczba zauważonych naruszeń według kategorii ryzyka </w:t>
            </w:r>
            <w:r w:rsidRPr="00F6392A">
              <w:rPr>
                <w:noProof/>
                <w:sz w:val="18"/>
                <w:vertAlign w:val="superscript"/>
              </w:rPr>
              <w:t>(2)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B023C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I kategoria ryzyka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17398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C3FBF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65EB4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ABCA7A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2192088F" w14:textId="77777777" w:rsidTr="00511C75">
        <w:trPr>
          <w:trHeight w:val="585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F6D" w14:textId="77777777" w:rsidR="00BE2348" w:rsidRPr="00F6392A" w:rsidRDefault="00BE2348" w:rsidP="00004B3D">
            <w:pPr>
              <w:rPr>
                <w:noProof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CB33B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II kategoria ryzyka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48E9D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FEF01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0EEA1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F544E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6504F341" w14:textId="77777777" w:rsidTr="00511C75">
        <w:trPr>
          <w:trHeight w:val="585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FB7" w14:textId="77777777" w:rsidR="00BE2348" w:rsidRPr="00F6392A" w:rsidRDefault="00BE2348" w:rsidP="00004B3D">
            <w:pPr>
              <w:rPr>
                <w:noProof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AE168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III kategoria ryzyka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62B6B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CA380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95A9C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60F47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2FBE8D01" w14:textId="77777777" w:rsidTr="00511C75">
        <w:trPr>
          <w:trHeight w:val="51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F4E400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Liczba nałożonych kar według typu kary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B903F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Ostrzeżenie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975DD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B62E0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CD8B6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26D78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2333D64B" w14:textId="77777777" w:rsidTr="00511C75">
        <w:trPr>
          <w:trHeight w:val="525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54E" w14:textId="77777777" w:rsidR="00BE2348" w:rsidRPr="00F6392A" w:rsidRDefault="00BE2348" w:rsidP="00004B3D">
            <w:pPr>
              <w:rPr>
                <w:noProof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DD84A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Grzywna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F5862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3EAF13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F2EF7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98302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  <w:tr w:rsidR="00BE2348" w:rsidRPr="00F6392A" w14:paraId="786361FF" w14:textId="77777777" w:rsidTr="00511C75">
        <w:trPr>
          <w:trHeight w:val="57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AAC" w14:textId="77777777" w:rsidR="00BE2348" w:rsidRPr="00F6392A" w:rsidRDefault="00BE2348" w:rsidP="00004B3D">
            <w:pPr>
              <w:rPr>
                <w:noProof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BF0A5" w14:textId="77777777" w:rsidR="00BE2348" w:rsidRPr="00F6392A" w:rsidRDefault="00BE2348" w:rsidP="00004B3D">
            <w:pPr>
              <w:spacing w:before="0" w:after="0"/>
              <w:rPr>
                <w:noProof/>
              </w:rPr>
            </w:pPr>
            <w:r w:rsidRPr="00F6392A">
              <w:rPr>
                <w:noProof/>
                <w:sz w:val="18"/>
              </w:rPr>
              <w:t>Inne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B9A58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D08D8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92F5E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B0E60" w14:textId="77777777" w:rsidR="00BE2348" w:rsidRPr="00F6392A" w:rsidRDefault="00BE2348" w:rsidP="00004B3D">
            <w:pPr>
              <w:spacing w:before="0" w:after="0"/>
              <w:jc w:val="center"/>
              <w:rPr>
                <w:noProof/>
              </w:rPr>
            </w:pPr>
            <w:r w:rsidRPr="00F6392A">
              <w:rPr>
                <w:b/>
                <w:noProof/>
                <w:sz w:val="18"/>
              </w:rPr>
              <w:t xml:space="preserve"> </w:t>
            </w:r>
          </w:p>
        </w:tc>
      </w:tr>
    </w:tbl>
    <w:p w14:paraId="17B36DC6" w14:textId="77777777" w:rsidR="00BE2348" w:rsidRPr="00F6392A" w:rsidRDefault="00BE2348" w:rsidP="00BE2348">
      <w:pPr>
        <w:spacing w:after="160" w:line="360" w:lineRule="auto"/>
        <w:rPr>
          <w:rFonts w:eastAsia="Times New Roman"/>
          <w:noProof/>
          <w:sz w:val="28"/>
          <w:szCs w:val="28"/>
        </w:rPr>
      </w:pPr>
    </w:p>
    <w:p w14:paraId="5986FB67" w14:textId="77777777" w:rsidR="00BE2348" w:rsidRPr="00F6392A" w:rsidRDefault="00BE2348" w:rsidP="00BE2348">
      <w:pPr>
        <w:spacing w:after="160" w:line="360" w:lineRule="auto"/>
        <w:rPr>
          <w:rFonts w:eastAsia="Times New Roman"/>
          <w:noProof/>
          <w:sz w:val="16"/>
          <w:szCs w:val="16"/>
        </w:rPr>
      </w:pPr>
      <w:r w:rsidRPr="00F6392A">
        <w:rPr>
          <w:noProof/>
          <w:sz w:val="16"/>
        </w:rPr>
        <w:t>Przypisy:</w:t>
      </w:r>
    </w:p>
    <w:p w14:paraId="2A677A48" w14:textId="77777777" w:rsidR="00BE2348" w:rsidRPr="00F6392A" w:rsidRDefault="00BE2348" w:rsidP="00BE2348">
      <w:pPr>
        <w:spacing w:before="0" w:after="0"/>
        <w:rPr>
          <w:rFonts w:eastAsia="Times New Roman"/>
          <w:noProof/>
          <w:sz w:val="16"/>
          <w:szCs w:val="16"/>
        </w:rPr>
      </w:pPr>
      <w:r w:rsidRPr="00F6392A">
        <w:rPr>
          <w:noProof/>
          <w:sz w:val="16"/>
        </w:rPr>
        <w:t>(1) Do celu niniejszego załącznika za kraj rejestracji pojazdu uważa się kraj rejestracji pojazdu silnikowego.</w:t>
      </w:r>
    </w:p>
    <w:p w14:paraId="5ECAEA28" w14:textId="29779AEA" w:rsidR="00BE2348" w:rsidRPr="00FA3AC1" w:rsidRDefault="00BE2348" w:rsidP="00BE2348">
      <w:pPr>
        <w:spacing w:before="0" w:after="0"/>
        <w:rPr>
          <w:rFonts w:eastAsia="Times New Roman"/>
          <w:noProof/>
          <w:sz w:val="16"/>
          <w:szCs w:val="16"/>
        </w:rPr>
      </w:pPr>
      <w:r w:rsidRPr="00FA3AC1">
        <w:rPr>
          <w:noProof/>
          <w:sz w:val="16"/>
          <w:szCs w:val="16"/>
        </w:rPr>
        <w:t>(2) W przypadku kilku naruszeń na jednostkę transportową stosuje się jedynie najpoważniejszą kategorię ryzyka zgodnie</w:t>
      </w:r>
      <w:r w:rsidR="00DB020A" w:rsidRPr="00FA3AC1">
        <w:rPr>
          <w:noProof/>
          <w:sz w:val="16"/>
          <w:szCs w:val="16"/>
        </w:rPr>
        <w:t xml:space="preserve"> z</w:t>
      </w:r>
      <w:r w:rsidR="00DB020A">
        <w:rPr>
          <w:noProof/>
          <w:sz w:val="16"/>
          <w:szCs w:val="16"/>
        </w:rPr>
        <w:t> </w:t>
      </w:r>
      <w:r w:rsidR="00DB020A" w:rsidRPr="00FA3AC1">
        <w:rPr>
          <w:noProof/>
          <w:sz w:val="16"/>
          <w:szCs w:val="16"/>
        </w:rPr>
        <w:t>zał</w:t>
      </w:r>
      <w:r w:rsidRPr="00FA3AC1">
        <w:rPr>
          <w:noProof/>
          <w:sz w:val="16"/>
          <w:szCs w:val="16"/>
        </w:rPr>
        <w:t>ącznikiem II.”</w:t>
      </w:r>
    </w:p>
    <w:p w14:paraId="2985DDBE" w14:textId="77777777" w:rsidR="00BE2348" w:rsidRPr="00F6392A" w:rsidRDefault="00BE2348" w:rsidP="00BE2348">
      <w:pPr>
        <w:pStyle w:val="Personnequisigne"/>
        <w:rPr>
          <w:noProof/>
        </w:rPr>
      </w:pPr>
    </w:p>
    <w:p w14:paraId="741AC666" w14:textId="77777777" w:rsidR="00905D22" w:rsidRPr="00F6392A" w:rsidRDefault="00905D22" w:rsidP="00BE2348">
      <w:pPr>
        <w:rPr>
          <w:noProof/>
        </w:rPr>
      </w:pPr>
    </w:p>
    <w:sectPr w:rsidR="00905D22" w:rsidRPr="00F6392A" w:rsidSect="00A2157D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0653" w14:textId="77777777" w:rsidR="00C935E9" w:rsidRDefault="00C935E9" w:rsidP="00BE2348">
      <w:pPr>
        <w:spacing w:before="0" w:after="0"/>
      </w:pPr>
      <w:r>
        <w:separator/>
      </w:r>
    </w:p>
  </w:endnote>
  <w:endnote w:type="continuationSeparator" w:id="0">
    <w:p w14:paraId="11FCFDE9" w14:textId="77777777" w:rsidR="00C935E9" w:rsidRDefault="00C935E9" w:rsidP="00BE23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13C59" w14:textId="1F26765D" w:rsidR="00F6392A" w:rsidRPr="00A2157D" w:rsidRDefault="00F6392A" w:rsidP="00A21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413E" w14:textId="541DDADD" w:rsidR="00F6392A" w:rsidRPr="00A2157D" w:rsidRDefault="00A2157D" w:rsidP="00A2157D">
    <w:pPr>
      <w:pStyle w:val="Footer"/>
      <w:rPr>
        <w:rFonts w:ascii="Arial" w:hAnsi="Arial" w:cs="Arial"/>
        <w:b/>
        <w:sz w:val="48"/>
      </w:rPr>
    </w:pPr>
    <w:r w:rsidRPr="00A2157D">
      <w:rPr>
        <w:rFonts w:ascii="Arial" w:hAnsi="Arial" w:cs="Arial"/>
        <w:b/>
        <w:sz w:val="48"/>
      </w:rPr>
      <w:t>PL</w:t>
    </w:r>
    <w:r w:rsidRPr="00A2157D">
      <w:rPr>
        <w:rFonts w:ascii="Arial" w:hAnsi="Arial" w:cs="Arial"/>
        <w:b/>
        <w:sz w:val="48"/>
      </w:rPr>
      <w:tab/>
    </w:r>
    <w:r w:rsidRPr="00A2157D">
      <w:rPr>
        <w:rFonts w:ascii="Arial" w:hAnsi="Arial" w:cs="Arial"/>
        <w:b/>
        <w:sz w:val="48"/>
      </w:rPr>
      <w:tab/>
    </w:r>
    <w:r w:rsidRPr="00A2157D">
      <w:tab/>
    </w:r>
    <w:r w:rsidRPr="00A2157D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35F3" w14:textId="77777777" w:rsidR="00A2157D" w:rsidRPr="00A2157D" w:rsidRDefault="00A2157D" w:rsidP="00A215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7AB72" w14:textId="67B943E0" w:rsidR="00A2157D" w:rsidRPr="00A2157D" w:rsidRDefault="00A2157D" w:rsidP="00A2157D">
    <w:pPr>
      <w:pStyle w:val="Footer"/>
      <w:rPr>
        <w:rFonts w:ascii="Arial" w:hAnsi="Arial" w:cs="Arial"/>
        <w:b/>
        <w:sz w:val="48"/>
      </w:rPr>
    </w:pPr>
    <w:r w:rsidRPr="00A2157D">
      <w:rPr>
        <w:rFonts w:ascii="Arial" w:hAnsi="Arial" w:cs="Arial"/>
        <w:b/>
        <w:sz w:val="48"/>
      </w:rPr>
      <w:t>PL</w:t>
    </w:r>
    <w:r w:rsidRPr="00A2157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2157D">
      <w:tab/>
    </w:r>
    <w:r w:rsidRPr="00A2157D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6CF16" w14:textId="77777777" w:rsidR="00A2157D" w:rsidRPr="00A2157D" w:rsidRDefault="00A2157D" w:rsidP="00A21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0685" w14:textId="77777777" w:rsidR="00C935E9" w:rsidRDefault="00C935E9" w:rsidP="00BE2348">
      <w:pPr>
        <w:spacing w:before="0" w:after="0"/>
      </w:pPr>
      <w:r>
        <w:separator/>
      </w:r>
    </w:p>
  </w:footnote>
  <w:footnote w:type="continuationSeparator" w:id="0">
    <w:p w14:paraId="396BB0CA" w14:textId="77777777" w:rsidR="00C935E9" w:rsidRDefault="00C935E9" w:rsidP="00BE23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96A9" w14:textId="77777777" w:rsidR="00A2157D" w:rsidRPr="00A2157D" w:rsidRDefault="00A2157D" w:rsidP="00A21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7C53" w14:textId="77777777" w:rsidR="00A2157D" w:rsidRPr="00A2157D" w:rsidRDefault="00A2157D" w:rsidP="00A21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D9B4" w14:textId="77777777" w:rsidR="00A2157D" w:rsidRPr="00A2157D" w:rsidRDefault="00A2157D" w:rsidP="00A21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A6E75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152C7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C12EF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11C2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12"/>
  </w:num>
  <w:num w:numId="19">
    <w:abstractNumId w:val="18"/>
  </w:num>
  <w:num w:numId="20">
    <w:abstractNumId w:val="15"/>
  </w:num>
  <w:num w:numId="21">
    <w:abstractNumId w:val="8"/>
  </w:num>
  <w:num w:numId="22">
    <w:abstractNumId w:val="17"/>
  </w:num>
  <w:num w:numId="23">
    <w:abstractNumId w:val="7"/>
  </w:num>
  <w:num w:numId="24">
    <w:abstractNumId w:val="9"/>
  </w:num>
  <w:num w:numId="25">
    <w:abstractNumId w:val="10"/>
  </w:num>
  <w:num w:numId="26">
    <w:abstractNumId w:val="5"/>
  </w:num>
  <w:num w:numId="27">
    <w:abstractNumId w:val="16"/>
  </w:num>
  <w:num w:numId="28">
    <w:abstractNumId w:val="4"/>
  </w:num>
  <w:num w:numId="29">
    <w:abstractNumId w:val="11"/>
  </w:num>
  <w:num w:numId="30">
    <w:abstractNumId w:val="13"/>
  </w:num>
  <w:num w:numId="31">
    <w:abstractNumId w:val="14"/>
  </w:num>
  <w:num w:numId="32">
    <w:abstractNumId w:val="6"/>
  </w:num>
  <w:num w:numId="33">
    <w:abstractNumId w:val="12"/>
  </w:num>
  <w:num w:numId="34">
    <w:abstractNumId w:val="18"/>
  </w:num>
  <w:num w:numId="35">
    <w:abstractNumId w:val="15"/>
  </w:num>
  <w:num w:numId="36">
    <w:abstractNumId w:val="8"/>
  </w:num>
  <w:num w:numId="37">
    <w:abstractNumId w:val="17"/>
  </w:num>
  <w:num w:numId="38">
    <w:abstractNumId w:val="7"/>
  </w:num>
  <w:num w:numId="39">
    <w:abstractNumId w:val="9"/>
  </w:num>
  <w:num w:numId="40">
    <w:abstractNumId w:val="10"/>
  </w:num>
  <w:num w:numId="41">
    <w:abstractNumId w:val="5"/>
  </w:num>
  <w:num w:numId="42">
    <w:abstractNumId w:val="16"/>
  </w:num>
  <w:num w:numId="43">
    <w:abstractNumId w:val="4"/>
  </w:num>
  <w:num w:numId="44">
    <w:abstractNumId w:val="11"/>
  </w:num>
  <w:num w:numId="45">
    <w:abstractNumId w:val="13"/>
  </w:num>
  <w:num w:numId="46">
    <w:abstractNumId w:val="14"/>
  </w:num>
  <w:num w:numId="47">
    <w:abstractNumId w:val="6"/>
  </w:num>
  <w:num w:numId="48">
    <w:abstractNumId w:val="12"/>
  </w:num>
  <w:num w:numId="4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10-13 09:21:0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do"/>
    <w:docVar w:name="LW_ACCOMPAGNANT.CP" w:val="do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4446A56E-AC25-4D03-BBC0-B5E38E8FC315"/>
    <w:docVar w:name="LW_COVERPAGE_TYPE" w:val="1"/>
    <w:docVar w:name="LW_CROSSREFERENCE" w:val="&lt;UNUSED&gt;"/>
    <w:docVar w:name="LW_DocType" w:val="ANNEX"/>
    <w:docVar w:name="LW_EMISSION" w:val="17.10.2023"/>
    <w:docVar w:name="LW_EMISSION_ISODATE" w:val="2023-10-17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zmieniaj\u261?cej dyrektywy Parlamentu Europejskiego i Rady 2009/12/WE, 2009/33/WE i (UE) 2022/1999 oraz dyrektyw\u281? Rady 96/67/WE w odniesieniu do niektórych wymogów w zakresie sprawozdawczo\u347?ci w dziedzinach transportu drogowego i lotnictwa"/>
    <w:docVar w:name="LW_OBJETACTEPRINCIPAL.CP" w:val="zmieniającej dyrektywy Parlamentu Europejskiego i Rady 2009/12/WE, 2009/33/WE i (UE) 2022/1999 oraz dyrektywę Rady 96/67/WE w odniesieniu do niektórych wymogów w zakresie sprawozdawczości w dziedzinach transportu drogowego i lotnictwa"/>
    <w:docVar w:name="LW_PART_NBR" w:val="1"/>
    <w:docVar w:name="LW_PART_NBR_TOTAL" w:val="1"/>
    <w:docVar w:name="LW_REF.INST.NEW" w:val="COM"/>
    <w:docVar w:name="LW_REF.INST.NEW_ADOPTED" w:val="final"/>
    <w:docVar w:name="LW_REF.INST.NEW_TEXT" w:val="(2023) 59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ZA\u321?\u260?CZNIK"/>
    <w:docVar w:name="LW_TYPE.DOC.CP" w:val="ZAŁĄCZNIK"/>
    <w:docVar w:name="LW_TYPEACTEPRINCIPAL" w:val="wniosku dotycz\u261?cego decyzji Pralamentu Europejskiego i Rady "/>
    <w:docVar w:name="LW_TYPEACTEPRINCIPAL.CP" w:val="wniosku dotyczącego decyzji Pralamentu Europejskiego i Rady "/>
    <w:docVar w:name="LwApiVersions" w:val="LW4CoDe 1.23.2.0; LW 8.0, Build 20211117"/>
  </w:docVars>
  <w:rsids>
    <w:rsidRoot w:val="00BE2348"/>
    <w:rsid w:val="00074ED9"/>
    <w:rsid w:val="00165C4F"/>
    <w:rsid w:val="001F343E"/>
    <w:rsid w:val="002419DA"/>
    <w:rsid w:val="002E552E"/>
    <w:rsid w:val="00322B40"/>
    <w:rsid w:val="00340C55"/>
    <w:rsid w:val="004057B3"/>
    <w:rsid w:val="00465030"/>
    <w:rsid w:val="00475C71"/>
    <w:rsid w:val="00492EB7"/>
    <w:rsid w:val="00511C75"/>
    <w:rsid w:val="005532CF"/>
    <w:rsid w:val="0061704E"/>
    <w:rsid w:val="00626E37"/>
    <w:rsid w:val="006530DA"/>
    <w:rsid w:val="00694B8B"/>
    <w:rsid w:val="00697085"/>
    <w:rsid w:val="006A6BCB"/>
    <w:rsid w:val="006F7B57"/>
    <w:rsid w:val="007A4E67"/>
    <w:rsid w:val="008D6398"/>
    <w:rsid w:val="00904945"/>
    <w:rsid w:val="00905D22"/>
    <w:rsid w:val="00A2157D"/>
    <w:rsid w:val="00A507C7"/>
    <w:rsid w:val="00A6243B"/>
    <w:rsid w:val="00A71F6D"/>
    <w:rsid w:val="00BA4F3C"/>
    <w:rsid w:val="00BB30BC"/>
    <w:rsid w:val="00BE2348"/>
    <w:rsid w:val="00C935E9"/>
    <w:rsid w:val="00C953CA"/>
    <w:rsid w:val="00CF162D"/>
    <w:rsid w:val="00D328C4"/>
    <w:rsid w:val="00D33986"/>
    <w:rsid w:val="00DB020A"/>
    <w:rsid w:val="00DC2EDA"/>
    <w:rsid w:val="00E24E42"/>
    <w:rsid w:val="00F51A83"/>
    <w:rsid w:val="00F6392A"/>
    <w:rsid w:val="00F7024E"/>
    <w:rsid w:val="00F82260"/>
    <w:rsid w:val="00FA3AC1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7BBEE0"/>
  <w15:docId w15:val="{CEAEB76D-E16C-4A20-B9B2-C024CE44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90494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0494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0494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04945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57D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157D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A2157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2157D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A2157D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2157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215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2157D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215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5"/>
      </w:numPr>
    </w:pPr>
  </w:style>
  <w:style w:type="paragraph" w:customStyle="1" w:styleId="Tiret1">
    <w:name w:val="Tiret 1"/>
    <w:basedOn w:val="Point1"/>
    <w:pPr>
      <w:numPr>
        <w:numId w:val="36"/>
      </w:numPr>
    </w:pPr>
  </w:style>
  <w:style w:type="paragraph" w:customStyle="1" w:styleId="Tiret2">
    <w:name w:val="Tiret 2"/>
    <w:basedOn w:val="Point2"/>
    <w:pPr>
      <w:numPr>
        <w:numId w:val="37"/>
      </w:numPr>
    </w:pPr>
  </w:style>
  <w:style w:type="paragraph" w:customStyle="1" w:styleId="Tiret3">
    <w:name w:val="Tiret 3"/>
    <w:basedOn w:val="Point3"/>
    <w:pPr>
      <w:numPr>
        <w:numId w:val="38"/>
      </w:numPr>
    </w:pPr>
  </w:style>
  <w:style w:type="paragraph" w:customStyle="1" w:styleId="Tiret4">
    <w:name w:val="Tiret 4"/>
    <w:basedOn w:val="Point4"/>
    <w:pPr>
      <w:numPr>
        <w:numId w:val="39"/>
      </w:numPr>
    </w:pPr>
  </w:style>
  <w:style w:type="paragraph" w:customStyle="1" w:styleId="Tiret5">
    <w:name w:val="Tiret 5"/>
    <w:basedOn w:val="Point5"/>
    <w:pPr>
      <w:numPr>
        <w:numId w:val="4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4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4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4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3"/>
      </w:numPr>
    </w:pPr>
  </w:style>
  <w:style w:type="paragraph" w:customStyle="1" w:styleId="Point1number">
    <w:name w:val="Point 1 (number)"/>
    <w:basedOn w:val="Normal"/>
    <w:pPr>
      <w:numPr>
        <w:ilvl w:val="2"/>
        <w:numId w:val="43"/>
      </w:numPr>
    </w:pPr>
  </w:style>
  <w:style w:type="paragraph" w:customStyle="1" w:styleId="Point2number">
    <w:name w:val="Point 2 (number)"/>
    <w:basedOn w:val="Normal"/>
    <w:pPr>
      <w:numPr>
        <w:ilvl w:val="4"/>
        <w:numId w:val="43"/>
      </w:numPr>
    </w:pPr>
  </w:style>
  <w:style w:type="paragraph" w:customStyle="1" w:styleId="Point3number">
    <w:name w:val="Point 3 (number)"/>
    <w:basedOn w:val="Normal"/>
    <w:pPr>
      <w:numPr>
        <w:ilvl w:val="6"/>
        <w:numId w:val="43"/>
      </w:numPr>
    </w:pPr>
  </w:style>
  <w:style w:type="paragraph" w:customStyle="1" w:styleId="Point0letter">
    <w:name w:val="Point 0 (letter)"/>
    <w:basedOn w:val="Normal"/>
    <w:pPr>
      <w:numPr>
        <w:ilvl w:val="1"/>
        <w:numId w:val="43"/>
      </w:numPr>
    </w:pPr>
  </w:style>
  <w:style w:type="paragraph" w:customStyle="1" w:styleId="Point1letter">
    <w:name w:val="Point 1 (letter)"/>
    <w:basedOn w:val="Normal"/>
    <w:pPr>
      <w:numPr>
        <w:ilvl w:val="3"/>
        <w:numId w:val="43"/>
      </w:numPr>
    </w:pPr>
  </w:style>
  <w:style w:type="paragraph" w:customStyle="1" w:styleId="Point2letter">
    <w:name w:val="Point 2 (letter)"/>
    <w:basedOn w:val="Normal"/>
    <w:pPr>
      <w:numPr>
        <w:ilvl w:val="5"/>
        <w:numId w:val="43"/>
      </w:numPr>
    </w:pPr>
  </w:style>
  <w:style w:type="paragraph" w:customStyle="1" w:styleId="Point3letter">
    <w:name w:val="Point 3 (letter)"/>
    <w:basedOn w:val="Normal"/>
    <w:pPr>
      <w:numPr>
        <w:ilvl w:val="7"/>
        <w:numId w:val="43"/>
      </w:numPr>
    </w:pPr>
  </w:style>
  <w:style w:type="paragraph" w:customStyle="1" w:styleId="Point4letter">
    <w:name w:val="Point 4 (letter)"/>
    <w:basedOn w:val="Normal"/>
    <w:pPr>
      <w:numPr>
        <w:ilvl w:val="8"/>
        <w:numId w:val="43"/>
      </w:numPr>
    </w:pPr>
  </w:style>
  <w:style w:type="paragraph" w:customStyle="1" w:styleId="Bullet0">
    <w:name w:val="Bullet 0"/>
    <w:basedOn w:val="Normal"/>
    <w:pPr>
      <w:numPr>
        <w:numId w:val="44"/>
      </w:numPr>
    </w:pPr>
  </w:style>
  <w:style w:type="paragraph" w:customStyle="1" w:styleId="Bullet1">
    <w:name w:val="Bullet 1"/>
    <w:basedOn w:val="Normal"/>
    <w:pPr>
      <w:numPr>
        <w:numId w:val="45"/>
      </w:numPr>
    </w:pPr>
  </w:style>
  <w:style w:type="paragraph" w:customStyle="1" w:styleId="Bullet2">
    <w:name w:val="Bullet 2"/>
    <w:basedOn w:val="Normal"/>
    <w:pPr>
      <w:numPr>
        <w:numId w:val="46"/>
      </w:numPr>
    </w:pPr>
  </w:style>
  <w:style w:type="paragraph" w:customStyle="1" w:styleId="Bullet3">
    <w:name w:val="Bullet 3"/>
    <w:basedOn w:val="Normal"/>
    <w:pPr>
      <w:numPr>
        <w:numId w:val="47"/>
      </w:numPr>
    </w:pPr>
  </w:style>
  <w:style w:type="paragraph" w:customStyle="1" w:styleId="Bullet4">
    <w:name w:val="Bullet 4"/>
    <w:basedOn w:val="Normal"/>
    <w:pPr>
      <w:numPr>
        <w:numId w:val="4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BORUTA-WHITEHURST Malgorzata (MOVE)</dc:creator>
  <cp:keywords/>
  <dc:description/>
  <cp:lastModifiedBy>EC CoDe</cp:lastModifiedBy>
  <cp:revision>28</cp:revision>
  <dcterms:created xsi:type="dcterms:W3CDTF">2023-09-21T13:03:00Z</dcterms:created>
  <dcterms:modified xsi:type="dcterms:W3CDTF">2023-10-13T07:21:00Z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2023-08-29T07:55:39Z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32f92794-1fb7-466a-8e16-64766f45b6cb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First annex">
    <vt:lpwstr>1</vt:lpwstr>
  </property>
  <property fmtid="{D5CDD505-2E9C-101B-9397-08002B2CF9AE}" pid="14" name="Last annex">
    <vt:lpwstr>1</vt:lpwstr>
  </property>
  <property fmtid="{D5CDD505-2E9C-101B-9397-08002B2CF9AE}" pid="15" name="Unique annex">
    <vt:lpwstr>1</vt:lpwstr>
  </property>
  <property fmtid="{D5CDD505-2E9C-101B-9397-08002B2CF9AE}" pid="16" name="Part">
    <vt:lpwstr>1</vt:lpwstr>
  </property>
  <property fmtid="{D5CDD505-2E9C-101B-9397-08002B2CF9AE}" pid="17" name="Total parts">
    <vt:lpwstr>1</vt:lpwstr>
  </property>
  <property fmtid="{D5CDD505-2E9C-101B-9397-08002B2CF9AE}" pid="18" name="Level of sensitivity">
    <vt:lpwstr>Standard treatment</vt:lpwstr>
  </property>
  <property fmtid="{D5CDD505-2E9C-101B-9397-08002B2CF9AE}" pid="19" name="LWTemplateID">
    <vt:lpwstr>SG-017</vt:lpwstr>
  </property>
  <property fmtid="{D5CDD505-2E9C-101B-9397-08002B2CF9AE}" pid="20" name="DQCStatus">
    <vt:lpwstr>Green (DQC version 03)</vt:lpwstr>
  </property>
</Properties>
</file>