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F8" w:rsidRDefault="009F0CF8">
      <w:pPr>
        <w:spacing w:line="288" w:lineRule="auto"/>
      </w:pPr>
    </w:p>
    <w:p w:rsidR="009F0CF8" w:rsidRDefault="00EB60C5">
      <w:pPr>
        <w:spacing w:line="288" w:lineRule="auto"/>
        <w:jc w:val="right"/>
      </w:pPr>
      <w:r>
        <w:t>Gdańsk,</w:t>
      </w:r>
      <w:r w:rsidR="009F0CF8">
        <w:t xml:space="preserve"> </w:t>
      </w:r>
      <w:r w:rsidR="00A001D1">
        <w:rPr>
          <w:noProof/>
        </w:rPr>
        <w:fldChar w:fldCharType="begin"/>
      </w:r>
      <w:r w:rsidR="00A001D1">
        <w:rPr>
          <w:noProof/>
        </w:rPr>
        <w:instrText xml:space="preserve">TIME \@ "dd.MM.yyyy" </w:instrText>
      </w:r>
      <w:r w:rsidR="00A001D1">
        <w:rPr>
          <w:noProof/>
        </w:rPr>
        <w:fldChar w:fldCharType="separate"/>
      </w:r>
      <w:r w:rsidR="00653494">
        <w:rPr>
          <w:noProof/>
        </w:rPr>
        <w:t>15.01.2019</w:t>
      </w:r>
      <w:r w:rsidR="00A001D1">
        <w:rPr>
          <w:noProof/>
        </w:rPr>
        <w:fldChar w:fldCharType="end"/>
      </w:r>
    </w:p>
    <w:p w:rsidR="009F0CF8" w:rsidRDefault="009F0CF8">
      <w:pPr>
        <w:pStyle w:val="Stopka"/>
        <w:tabs>
          <w:tab w:val="clear" w:pos="4536"/>
          <w:tab w:val="clear" w:pos="9072"/>
        </w:tabs>
        <w:spacing w:line="288" w:lineRule="auto"/>
      </w:pPr>
    </w:p>
    <w:p w:rsidR="009F0CF8" w:rsidRDefault="009F0CF8">
      <w:pPr>
        <w:pStyle w:val="Stopka"/>
        <w:tabs>
          <w:tab w:val="clear" w:pos="4536"/>
          <w:tab w:val="clear" w:pos="9072"/>
        </w:tabs>
        <w:spacing w:line="288" w:lineRule="auto"/>
      </w:pPr>
    </w:p>
    <w:p w:rsidR="009F0CF8" w:rsidRDefault="009F0CF8">
      <w:pPr>
        <w:pStyle w:val="Stopka"/>
        <w:tabs>
          <w:tab w:val="clear" w:pos="4536"/>
          <w:tab w:val="clear" w:pos="9072"/>
        </w:tabs>
        <w:spacing w:line="288" w:lineRule="auto"/>
      </w:pPr>
    </w:p>
    <w:p w:rsidR="009F0CF8" w:rsidRDefault="009F0CF8">
      <w:pPr>
        <w:pStyle w:val="Stopka"/>
        <w:tabs>
          <w:tab w:val="clear" w:pos="4536"/>
          <w:tab w:val="clear" w:pos="9072"/>
        </w:tabs>
        <w:spacing w:line="288" w:lineRule="auto"/>
      </w:pPr>
    </w:p>
    <w:p w:rsidR="009F0CF8" w:rsidRDefault="009F0CF8">
      <w:pPr>
        <w:pStyle w:val="Stopka"/>
        <w:tabs>
          <w:tab w:val="clear" w:pos="4536"/>
          <w:tab w:val="clear" w:pos="9072"/>
        </w:tabs>
        <w:spacing w:line="288" w:lineRule="auto"/>
      </w:pPr>
    </w:p>
    <w:p w:rsidR="009F0CF8" w:rsidRDefault="00EB60C5">
      <w:pPr>
        <w:spacing w:line="288" w:lineRule="auto"/>
      </w:pPr>
      <w:r>
        <w:t>Sz. P.</w:t>
      </w:r>
    </w:p>
    <w:p w:rsidR="009F0CF8" w:rsidRDefault="00EB60C5">
      <w:pPr>
        <w:spacing w:line="288" w:lineRule="auto"/>
      </w:pPr>
      <w:r>
        <w:t>Filip Świtała</w:t>
      </w:r>
    </w:p>
    <w:p w:rsidR="00EB60C5" w:rsidRDefault="00EB60C5">
      <w:pPr>
        <w:spacing w:line="288" w:lineRule="auto"/>
      </w:pPr>
      <w:r>
        <w:t xml:space="preserve">Podsekretarz Stanu </w:t>
      </w:r>
    </w:p>
    <w:p w:rsidR="009F0CF8" w:rsidRDefault="00EB60C5">
      <w:pPr>
        <w:spacing w:line="288" w:lineRule="auto"/>
      </w:pPr>
      <w:r>
        <w:t>Ministerstwo Finansów</w:t>
      </w:r>
    </w:p>
    <w:p w:rsidR="009F0CF8" w:rsidRDefault="009F0CF8">
      <w:pPr>
        <w:pStyle w:val="Stopka"/>
        <w:tabs>
          <w:tab w:val="clear" w:pos="4536"/>
          <w:tab w:val="clear" w:pos="9072"/>
        </w:tabs>
        <w:spacing w:line="288" w:lineRule="auto"/>
      </w:pPr>
    </w:p>
    <w:p w:rsidR="009F0CF8" w:rsidRDefault="009F0CF8">
      <w:pPr>
        <w:spacing w:line="288" w:lineRule="auto"/>
      </w:pPr>
    </w:p>
    <w:p w:rsidR="009F0CF8" w:rsidRDefault="009F0CF8">
      <w:pPr>
        <w:pStyle w:val="Stopka"/>
        <w:tabs>
          <w:tab w:val="clear" w:pos="4536"/>
          <w:tab w:val="clear" w:pos="9072"/>
        </w:tabs>
        <w:spacing w:line="288" w:lineRule="auto"/>
      </w:pPr>
    </w:p>
    <w:p w:rsidR="009F0CF8" w:rsidRDefault="00D14EE4">
      <w:pPr>
        <w:spacing w:line="288" w:lineRule="auto"/>
      </w:pPr>
      <w:r>
        <w:t>Szanowny Panie Ministrze,</w:t>
      </w:r>
    </w:p>
    <w:p w:rsidR="00D14EE4" w:rsidRDefault="00D14EE4">
      <w:pPr>
        <w:spacing w:line="288" w:lineRule="auto"/>
      </w:pPr>
    </w:p>
    <w:p w:rsidR="00C82ACB" w:rsidRDefault="004B6263" w:rsidP="00C82ACB">
      <w:pPr>
        <w:spacing w:line="288" w:lineRule="auto"/>
        <w:jc w:val="both"/>
      </w:pPr>
      <w:r>
        <w:t>W</w:t>
      </w:r>
      <w:r w:rsidR="00EB60C5" w:rsidRPr="00EB60C5">
        <w:t xml:space="preserve"> odpowiedzi na pismo z dnia 16 listopada 2018 r. (sygn. DCT1.8201.2.2018</w:t>
      </w:r>
      <w:r w:rsidR="00EB60C5">
        <w:t xml:space="preserve">) </w:t>
      </w:r>
      <w:r w:rsidR="00EB60C5" w:rsidRPr="00EB60C5">
        <w:t>d</w:t>
      </w:r>
      <w:r w:rsidR="00EB60C5">
        <w:t>otyczące konsultacji podatkowych</w:t>
      </w:r>
      <w:r w:rsidR="00EB60C5" w:rsidRPr="00EB60C5">
        <w:t xml:space="preserve"> w sprawie</w:t>
      </w:r>
      <w:r w:rsidR="00EB60C5">
        <w:t xml:space="preserve"> przepisów</w:t>
      </w:r>
      <w:r w:rsidR="00EB60C5" w:rsidRPr="00EB60C5">
        <w:t xml:space="preserve"> ustawy z dnia 23 października 2018 r. o zmianie ustawy o podatku dochodowym od osób fizycznych, ustawy o podatku dochodowym od osób prawnych, ustawy - Ordynacja podatkowa oraz niektórych innych ustaw (</w:t>
      </w:r>
      <w:r w:rsidR="00653494" w:rsidRPr="00653494">
        <w:t>Dz.U.</w:t>
      </w:r>
      <w:r w:rsidR="00653494">
        <w:t xml:space="preserve"> z 2018</w:t>
      </w:r>
      <w:r w:rsidR="00653494" w:rsidRPr="00653494">
        <w:t xml:space="preserve"> poz. 2193</w:t>
      </w:r>
      <w:r w:rsidR="00F11B02">
        <w:t>, zwanej dalej</w:t>
      </w:r>
      <w:r w:rsidR="00653494">
        <w:t>:</w:t>
      </w:r>
      <w:r w:rsidR="00F11B02">
        <w:t xml:space="preserve"> </w:t>
      </w:r>
      <w:r w:rsidR="00653494">
        <w:t>„</w:t>
      </w:r>
      <w:r w:rsidR="00F11B02">
        <w:t>Ustawą</w:t>
      </w:r>
      <w:r w:rsidR="00653494">
        <w:t>”</w:t>
      </w:r>
      <w:r w:rsidR="00EB60C5">
        <w:t>)</w:t>
      </w:r>
      <w:r w:rsidR="00EB60C5" w:rsidRPr="00EB60C5">
        <w:t>, wprowadzają</w:t>
      </w:r>
      <w:r w:rsidR="00EB60C5">
        <w:t>cych</w:t>
      </w:r>
      <w:r w:rsidR="00EB60C5" w:rsidRPr="00EB60C5">
        <w:t xml:space="preserve"> istotne zmia</w:t>
      </w:r>
      <w:r w:rsidR="00EB60C5">
        <w:t>ny w obszarze cen transferowych, poniżej p</w:t>
      </w:r>
      <w:r w:rsidR="0013304B">
        <w:t>rzesyłamy uwagi oraz opinie</w:t>
      </w:r>
      <w:r w:rsidR="00EB60C5">
        <w:t xml:space="preserve"> odnośnie wymienionego aktu prawnego.</w:t>
      </w:r>
    </w:p>
    <w:p w:rsidR="009F0CF8" w:rsidRDefault="009F0CF8">
      <w:pPr>
        <w:spacing w:line="288" w:lineRule="auto"/>
        <w:jc w:val="both"/>
      </w:pPr>
    </w:p>
    <w:p w:rsidR="00B61CD5" w:rsidRDefault="00B61CD5" w:rsidP="00B61CD5">
      <w:pPr>
        <w:spacing w:after="120" w:line="320" w:lineRule="exact"/>
        <w:jc w:val="both"/>
        <w:rPr>
          <w:u w:val="single"/>
        </w:rPr>
      </w:pPr>
      <w:r>
        <w:t>W poniższych komentarzach odnosimy się do ustawy o podatku dochodowym od osób prawnych (dalej jako: „updop”). Biorąc pod uwagę spójne brzmienie updop oraz ustawy o podatku dochodowym od osób fizycznych w zakresie cen transferowych, należy uznać, iż zgłoszone poniżej uwagi w równym stopniu odnoszą się, zarówno do ustawy o podatku dochodowym od osób fizycznych, jak i updop.</w:t>
      </w:r>
    </w:p>
    <w:p w:rsidR="00814ED8" w:rsidRDefault="00814ED8">
      <w:pPr>
        <w:spacing w:line="288" w:lineRule="auto"/>
        <w:jc w:val="both"/>
      </w:pPr>
    </w:p>
    <w:p w:rsidR="00EB60C5" w:rsidRPr="00B61CD5" w:rsidRDefault="00EB60C5" w:rsidP="00B61CD5">
      <w:pPr>
        <w:spacing w:after="120" w:line="320" w:lineRule="exact"/>
        <w:jc w:val="both"/>
        <w:rPr>
          <w:u w:val="single"/>
        </w:rPr>
      </w:pPr>
      <w:r w:rsidRPr="009317D5">
        <w:rPr>
          <w:u w:val="single"/>
        </w:rPr>
        <w:t>Art. 11a ust. 2 pkt 2 updop – definicja znaczącego wpływu, w kontekście powiązań osobowych spółek z udziałem Skarbu Państwa</w:t>
      </w:r>
    </w:p>
    <w:p w:rsidR="00EB60C5" w:rsidRDefault="00EB60C5" w:rsidP="00EB60C5">
      <w:pPr>
        <w:spacing w:after="120" w:line="320" w:lineRule="exact"/>
        <w:jc w:val="both"/>
      </w:pPr>
      <w:r>
        <w:t>Zgodnie z art. 11a ust. 2 pkt 2 updop, p</w:t>
      </w:r>
      <w:r w:rsidRPr="00EF5607">
        <w:t xml:space="preserve">rzez wywieranie znaczącego wpływu, o którym mowa w ust. </w:t>
      </w:r>
      <w:r>
        <w:t>1 pkt 4 lit. a i b, rozumie się</w:t>
      </w:r>
      <w:r w:rsidRPr="00EF5607">
        <w:t xml:space="preserve"> faktyczną zdolność </w:t>
      </w:r>
      <w:r>
        <w:t xml:space="preserve">osoby fizycznej do wpływania na </w:t>
      </w:r>
      <w:r w:rsidRPr="00EF5607">
        <w:t>podejmowanie kluczowych decyzji gospodarczych przez osobę prawną lub jednostkę organizacyjną nieposiadającą osobowości prawnej</w:t>
      </w:r>
      <w:r>
        <w:t xml:space="preserve">. </w:t>
      </w:r>
    </w:p>
    <w:p w:rsidR="00EB60C5" w:rsidRDefault="00EB60C5" w:rsidP="00EB60C5">
      <w:pPr>
        <w:spacing w:after="120" w:line="320" w:lineRule="exact"/>
        <w:jc w:val="both"/>
      </w:pPr>
      <w:r>
        <w:t>W przypadku spółek z</w:t>
      </w:r>
      <w:r w:rsidR="004B6263">
        <w:t>e</w:t>
      </w:r>
      <w:r>
        <w:t xml:space="preserve"> znaczącym udziałem Skarbu Państwa, zgodnie z ustawą o zasadach zarządzania mieniem państwowym z dnia 16 grudnia 2016 r. (tj. Dz.U. z 2018 r. poz. 1182) Prezes Rady Ministrów lub wyznaczony przez niego członek Rady Ministrów wykonuje uprawnienia z akcji w zakresie zawierającym się w definicji znaczącego wpływu wywieranego przez osobę fizyczną. W związku z tym oraz zgodnie z literalną wykładnią wyżej przytoczonego art. 11a ust. 2 pkt 2 updop, powiązanie poprzez osobę fizyczną (wywierającą znaczący wpływ) istnieje dla tych spółek Skarbu Państwa, gdzie osoba fizyczna w postaci np. członka Rady Ministrów wywiera wpływ na kluczowe decyzje danej spółki. Takie rozumienie przepisu prowadzi do poszerzenia kręgu </w:t>
      </w:r>
      <w:r>
        <w:lastRenderedPageBreak/>
        <w:t>podmiotów powiązanych o podmioty powiązane jedynie poprzez nadzór ze strony tego samego ministerstwa bądź ministra.</w:t>
      </w:r>
    </w:p>
    <w:p w:rsidR="00EB60C5" w:rsidRDefault="00EB60C5" w:rsidP="00EB60C5">
      <w:pPr>
        <w:spacing w:after="120" w:line="320" w:lineRule="exact"/>
        <w:jc w:val="both"/>
      </w:pPr>
      <w:r>
        <w:t>W praktyce, z punktu widzenia działów przygotowujących dokumentację cen transferowych spółki, często brak jest możliwości ustalenia oraz weryfikacji czy konkretna osoba z ramienia ministerstwa faktycznie wywiera</w:t>
      </w:r>
      <w:r w:rsidR="00653494">
        <w:t xml:space="preserve"> znaczący wpływ na daną spółkę.</w:t>
      </w:r>
      <w:bookmarkStart w:id="0" w:name="_GoBack"/>
      <w:bookmarkEnd w:id="0"/>
      <w:r w:rsidR="004B6263">
        <w:t xml:space="preserve"> Wydaje się, że bez wpływu na stosowanie art. 11a ust. 2 pkt 2 updop pozostaje wyłączenie zawarte w art. 11n updop. Z</w:t>
      </w:r>
      <w:r>
        <w:t xml:space="preserve">godnie z art. 11n </w:t>
      </w:r>
      <w:r w:rsidR="004B6263">
        <w:t>pkt 5</w:t>
      </w:r>
      <w:r>
        <w:t xml:space="preserve"> updop, </w:t>
      </w:r>
      <w:r w:rsidRPr="00BE7DF2">
        <w:t>w przypadku gdy powiązania wynikają wyłącznie z powiązania ze Skarbem Państwa lub jednostkami samorządu terytorialnego lub ich związkami</w:t>
      </w:r>
      <w:r>
        <w:t xml:space="preserve">, dla takich transakcji nie ma obowiązku sporządzania lokalnej dokumentacji cen transferowych. </w:t>
      </w:r>
    </w:p>
    <w:p w:rsidR="00EB60C5" w:rsidRDefault="00EB60C5" w:rsidP="00EB60C5">
      <w:pPr>
        <w:spacing w:after="120" w:line="320" w:lineRule="exact"/>
        <w:jc w:val="both"/>
      </w:pPr>
      <w:r>
        <w:t>Zdaniem Spółki, powyższe wyłączenie powinno odnosić się do powiązań o charakterze osobowym</w:t>
      </w:r>
      <w:r w:rsidR="004B6263">
        <w:t xml:space="preserve"> – w tym kontekście prosimy o wyjaśnienie zakresu przedmiotowego zwolnienia w </w:t>
      </w:r>
      <w:r w:rsidR="00653494">
        <w:t>zakresie</w:t>
      </w:r>
      <w:r w:rsidR="004B6263">
        <w:t xml:space="preserve"> powiązań osobowych</w:t>
      </w:r>
      <w:r>
        <w:t xml:space="preserve">, które zachodzą przez osobę fizyczną wywierającą wpływ na </w:t>
      </w:r>
      <w:r w:rsidR="004B6263">
        <w:t xml:space="preserve">spółki w ramach różnych grup kapitałowych </w:t>
      </w:r>
      <w:r>
        <w:t>z udziałem Skarbu Państwa.</w:t>
      </w:r>
    </w:p>
    <w:p w:rsidR="00EB60C5" w:rsidRDefault="00EB60C5" w:rsidP="00EB60C5">
      <w:pPr>
        <w:spacing w:after="120" w:line="320" w:lineRule="exact"/>
        <w:jc w:val="both"/>
      </w:pPr>
    </w:p>
    <w:p w:rsidR="00EB60C5" w:rsidRPr="009317D5" w:rsidRDefault="00EB60C5" w:rsidP="00EB60C5">
      <w:pPr>
        <w:spacing w:after="120" w:line="320" w:lineRule="exact"/>
        <w:jc w:val="both"/>
        <w:rPr>
          <w:u w:val="single"/>
        </w:rPr>
      </w:pPr>
      <w:r w:rsidRPr="009317D5">
        <w:rPr>
          <w:u w:val="single"/>
        </w:rPr>
        <w:t>Art. 11n ust. 1 updop – obowiązek sporządzenia dokumentacji cen transferowych dla transakcji z podmiotami wyłączonymi z obowiązku na podstawie 11n ust. 1 updop, świadczonych równocześnie na rzecz podmiotów zagranicznych bądź wykazujących straty podatkowe</w:t>
      </w:r>
    </w:p>
    <w:p w:rsidR="00EB60C5" w:rsidRDefault="00EB60C5" w:rsidP="00EB60C5">
      <w:pPr>
        <w:spacing w:after="120" w:line="320" w:lineRule="exact"/>
        <w:jc w:val="both"/>
      </w:pPr>
      <w:r>
        <w:t xml:space="preserve">W przypadku transakcji kontrolowanej świadczonej przez podatnika jednocześnie (np. na podstawie jednej wielostronnej umowy) na rzecz podmiotów spełniających warunki zwolnienia z obowiązku sporządzenia lokalnej dokumentacji cen transferowych (na podstawie art. 11n ust. 1 updop) oraz podmiotów niespełniających warunków zwolnienia z obowiązku sporządzenia lokalnej dokumentacji cen transferowych, niejasnym zagadnieniem jest kwestia wysokości progów dokumentacyjnych dla transakcji jednego rodzaju. </w:t>
      </w:r>
    </w:p>
    <w:p w:rsidR="00EB60C5" w:rsidRDefault="00EB60C5" w:rsidP="00EB60C5">
      <w:pPr>
        <w:spacing w:after="120" w:line="320" w:lineRule="exact"/>
        <w:jc w:val="both"/>
      </w:pPr>
      <w:r>
        <w:t>Wyjaśnienia wymagają kwestie:</w:t>
      </w:r>
    </w:p>
    <w:p w:rsidR="00EB60C5" w:rsidRDefault="00EB60C5" w:rsidP="00EB60C5">
      <w:pPr>
        <w:pStyle w:val="Akapitzlist"/>
        <w:numPr>
          <w:ilvl w:val="0"/>
          <w:numId w:val="2"/>
        </w:numPr>
        <w:spacing w:after="120" w:line="320" w:lineRule="exact"/>
        <w:contextualSpacing w:val="0"/>
        <w:jc w:val="both"/>
      </w:pPr>
      <w:r>
        <w:t>Czy w przypadku transakcji jednego rodzaju świadczonych jednocześnie na rzecz:</w:t>
      </w:r>
    </w:p>
    <w:p w:rsidR="00EB60C5" w:rsidRDefault="00EB60C5" w:rsidP="00EB60C5">
      <w:pPr>
        <w:pStyle w:val="Akapitzlist"/>
        <w:numPr>
          <w:ilvl w:val="0"/>
          <w:numId w:val="4"/>
        </w:numPr>
        <w:spacing w:after="120" w:line="320" w:lineRule="exact"/>
        <w:contextualSpacing w:val="0"/>
        <w:jc w:val="both"/>
      </w:pPr>
      <w:r>
        <w:t>podmiotów niezwolnionych z obowiązku sporządzenia dokumentacji lokalnej oraz</w:t>
      </w:r>
    </w:p>
    <w:p w:rsidR="00EB60C5" w:rsidRDefault="00EB60C5" w:rsidP="00EB60C5">
      <w:pPr>
        <w:pStyle w:val="Akapitzlist"/>
        <w:numPr>
          <w:ilvl w:val="0"/>
          <w:numId w:val="4"/>
        </w:numPr>
        <w:spacing w:after="120" w:line="320" w:lineRule="exact"/>
        <w:contextualSpacing w:val="0"/>
        <w:jc w:val="both"/>
      </w:pPr>
      <w:r>
        <w:t>podmiotów zwolnionych z obowiązku z sporządzenia lokalnej dokumentacji cen transferowych,</w:t>
      </w:r>
    </w:p>
    <w:p w:rsidR="00EB60C5" w:rsidRDefault="00EB60C5" w:rsidP="00EB60C5">
      <w:pPr>
        <w:pStyle w:val="Akapitzlist"/>
        <w:spacing w:after="120" w:line="320" w:lineRule="exact"/>
        <w:ind w:left="780"/>
        <w:contextualSpacing w:val="0"/>
        <w:jc w:val="both"/>
      </w:pPr>
      <w:r>
        <w:t>należy uznać, że dokumentację dla takiej transakcji należy przygotować tylko dla transakcji z podmiotami niezwolnionymi z obowiązku sporządzenia lokalnej dokumentacji cen transferowych?</w:t>
      </w:r>
    </w:p>
    <w:p w:rsidR="00EB60C5" w:rsidRDefault="00EB60C5" w:rsidP="00EB60C5">
      <w:pPr>
        <w:spacing w:after="120" w:line="320" w:lineRule="exact"/>
        <w:jc w:val="both"/>
      </w:pPr>
      <w:r>
        <w:t xml:space="preserve">Zdaniem Spółki, w przypadku przedstawionym powyżej nie ma obowiązku przygotowania dokumentacji dla transakcji zwolnionych z obowiązku sporządzenia dokumentacji cen transferowych na podstawie art. 11n updop. Przyjęcie odmiennego podejścia prowadziłoby do konieczności dokumentowania również transakcji nieistotnych, co jest sprzeczne z celem </w:t>
      </w:r>
      <w:r w:rsidR="00F11B02">
        <w:t>U</w:t>
      </w:r>
      <w:r>
        <w:t>stawy</w:t>
      </w:r>
      <w:r w:rsidR="004B6263">
        <w:t>.</w:t>
      </w:r>
    </w:p>
    <w:p w:rsidR="00EB60C5" w:rsidRDefault="00EB60C5" w:rsidP="00EB60C5">
      <w:pPr>
        <w:pStyle w:val="Akapitzlist"/>
        <w:numPr>
          <w:ilvl w:val="0"/>
          <w:numId w:val="2"/>
        </w:numPr>
        <w:spacing w:after="120" w:line="320" w:lineRule="exact"/>
        <w:contextualSpacing w:val="0"/>
        <w:jc w:val="both"/>
      </w:pPr>
      <w:r>
        <w:t xml:space="preserve">Czy w sytuacji kiedy wartość jednorodnej transakcji na rzecz podmiotów niezwolnionych z obowiązku sporządzenia dokumentacji nie przekracza progu wskazanego w art. 11k updop, natomiast suma wartości transakcji na rzecz podmiotów zwolnionych oraz niezwolnionych z obowiązku sporządzenia lokalnej dokumentacji (łącznie) dla danej </w:t>
      </w:r>
      <w:r>
        <w:lastRenderedPageBreak/>
        <w:t>transakcji przekracza próg z art. 11k updop, podatnik jest obowiązany przygotować lokalną dokumentację dla transakcji z podmiotami niezwolnionymi na podstawie art. 11n ust. 1 (bądź też wszystkimi stronami transakcji)?</w:t>
      </w:r>
    </w:p>
    <w:p w:rsidR="00EB60C5" w:rsidRDefault="00EB60C5" w:rsidP="00EB60C5">
      <w:pPr>
        <w:spacing w:after="120" w:line="320" w:lineRule="exact"/>
        <w:jc w:val="both"/>
      </w:pPr>
      <w:r>
        <w:t>Zdaniem Spółki, zgodnie z art. 11k updop, wartość transakcji,</w:t>
      </w:r>
      <w:r w:rsidRPr="00145285">
        <w:t xml:space="preserve"> </w:t>
      </w:r>
      <w:r>
        <w:t xml:space="preserve">dla potrzeb odniesienia do progów dokumentacyjnych wskazanych w art. 11k ust. 2 updop, jest ustalana </w:t>
      </w:r>
      <w:r w:rsidRPr="00145285">
        <w:t>bez względu na liczbę dokumentów księgowych, dokonanych lub otrzymanych płatności oraz podmiotów powiązanych, z którymi zawierana jest transakcja kontrolowana</w:t>
      </w:r>
      <w:r>
        <w:t xml:space="preserve">. Należy jednak mieć na uwadze, że na mocy przepisu szczegółowego art. 11n updop, wyłączone z obowiązku dokumentacji są pewne typy transakcji kontrolowanych np. zawierane </w:t>
      </w:r>
      <w:r w:rsidRPr="004643C7">
        <w:t>między spółkami tworzącymi podatkową grupę kapitałową</w:t>
      </w:r>
      <w:r>
        <w:t xml:space="preserve">. Uwzględnienie wartości transakcji pomiędzy podmiotami zwolnionymi z obowiązku przygotowania lokalnej dokumentacji cen transferowych dla potrzeb wyliczenia progu dokumentacyjnego transakcji niepodlegających zwolnieniu z obowiązku przygotowania lokalnej dokumentacji cen transferowych mogłoby prowadzić do konieczności udokumentowania transakcji nieistotnych (np. w przypadku transakcji na dużą wartość zawartych pomiędzy spółkami z grupy kapitałowej oraz tego samego rodzaju transakcji o niskiej wartości z podmiotem spoza grupy kapitałowej), co jest sprzeczne z celem </w:t>
      </w:r>
      <w:r w:rsidR="00F11B02">
        <w:t>U</w:t>
      </w:r>
      <w:r>
        <w:t>stawy.</w:t>
      </w:r>
    </w:p>
    <w:p w:rsidR="00EB60C5" w:rsidRDefault="00EB60C5" w:rsidP="00EB60C5">
      <w:pPr>
        <w:spacing w:after="120" w:line="320" w:lineRule="exact"/>
        <w:jc w:val="both"/>
      </w:pPr>
    </w:p>
    <w:p w:rsidR="00EB60C5" w:rsidRPr="009317D5" w:rsidRDefault="00EB60C5" w:rsidP="00EB60C5">
      <w:pPr>
        <w:spacing w:after="120" w:line="320" w:lineRule="exact"/>
        <w:jc w:val="both"/>
        <w:rPr>
          <w:u w:val="single"/>
        </w:rPr>
      </w:pPr>
      <w:r w:rsidRPr="009317D5">
        <w:rPr>
          <w:u w:val="single"/>
        </w:rPr>
        <w:t>Art. 11e updop – obowiązki formalne związane z korektą cen transferowych</w:t>
      </w:r>
    </w:p>
    <w:p w:rsidR="00EB60C5" w:rsidRDefault="00EB60C5" w:rsidP="00EB60C5">
      <w:pPr>
        <w:spacing w:after="120" w:line="320" w:lineRule="exact"/>
        <w:jc w:val="both"/>
      </w:pPr>
      <w:r>
        <w:t xml:space="preserve">Zgodnie z art. 11e updop, jednym z warunków dokonania korekty cen transferowych jest </w:t>
      </w:r>
      <w:r w:rsidRPr="009C0828">
        <w:t>posiada</w:t>
      </w:r>
      <w:r>
        <w:t>nie w momencie dokonania korekty przez podatnika oświadczenia</w:t>
      </w:r>
      <w:r w:rsidRPr="009C0828">
        <w:t xml:space="preserve"> podmiotu powiązanego, że podmiot ten dokonał korekty cen transferowych w tej samej wysokości, co podatnik</w:t>
      </w:r>
      <w:r>
        <w:t>. Wyjaśnienia wymaga forma takiego oświadczenia.</w:t>
      </w:r>
    </w:p>
    <w:p w:rsidR="00EB60C5" w:rsidRDefault="00EB60C5" w:rsidP="00EB60C5">
      <w:pPr>
        <w:pStyle w:val="Akapitzlist"/>
        <w:numPr>
          <w:ilvl w:val="0"/>
          <w:numId w:val="1"/>
        </w:numPr>
        <w:spacing w:after="120" w:line="320" w:lineRule="exact"/>
        <w:contextualSpacing w:val="0"/>
        <w:jc w:val="both"/>
      </w:pPr>
      <w:r>
        <w:t xml:space="preserve">Czy wystarczające jest posiadanie oświadczenia zawartego w umowie pomiędzy stronami transakcji, że strony transakcji będą dokonywać korekt? </w:t>
      </w:r>
    </w:p>
    <w:p w:rsidR="00EB60C5" w:rsidRDefault="00EB60C5" w:rsidP="00EB60C5">
      <w:pPr>
        <w:pStyle w:val="Akapitzlist"/>
        <w:numPr>
          <w:ilvl w:val="0"/>
          <w:numId w:val="1"/>
        </w:numPr>
        <w:spacing w:after="120" w:line="320" w:lineRule="exact"/>
        <w:contextualSpacing w:val="0"/>
        <w:jc w:val="both"/>
      </w:pPr>
      <w:r>
        <w:t>Czy wystarczająca jest zgoda podmiotu powiązanego w formie emaila bądź tzw. zgoda milcząca jeżeli takie postanowienia przewiduje umowa pomiędzy podmiotami?</w:t>
      </w:r>
    </w:p>
    <w:p w:rsidR="00EB60C5" w:rsidRDefault="00EB60C5" w:rsidP="00EB60C5">
      <w:pPr>
        <w:spacing w:after="120" w:line="320" w:lineRule="exact"/>
        <w:jc w:val="both"/>
      </w:pPr>
      <w:r>
        <w:t>Zdaniem Spółki, skoro w art. 11e updop nie zawarto postanowień regulujących formę oraz termin oświadczenia o dokonaniu korekty, możliwe jest jego uzyskanie w dowolnej formie i dowolnym terminie.</w:t>
      </w:r>
    </w:p>
    <w:p w:rsidR="00EB60C5" w:rsidRDefault="00EB60C5" w:rsidP="00EB60C5">
      <w:pPr>
        <w:spacing w:after="120" w:line="320" w:lineRule="exact"/>
        <w:jc w:val="both"/>
      </w:pPr>
    </w:p>
    <w:p w:rsidR="00EB60C5" w:rsidRPr="009317D5" w:rsidRDefault="00EB60C5" w:rsidP="00EB60C5">
      <w:pPr>
        <w:spacing w:after="120" w:line="320" w:lineRule="exact"/>
        <w:jc w:val="both"/>
        <w:rPr>
          <w:u w:val="single"/>
        </w:rPr>
      </w:pPr>
      <w:r>
        <w:rPr>
          <w:u w:val="single"/>
        </w:rPr>
        <w:t xml:space="preserve">Art. </w:t>
      </w:r>
      <w:r w:rsidRPr="009317D5">
        <w:rPr>
          <w:u w:val="single"/>
        </w:rPr>
        <w:t>11l updop – wartość transakcji w przypadku pożyczek</w:t>
      </w:r>
    </w:p>
    <w:p w:rsidR="00EB60C5" w:rsidRDefault="00EB60C5" w:rsidP="00EB60C5">
      <w:pPr>
        <w:spacing w:after="120" w:line="320" w:lineRule="exact"/>
        <w:jc w:val="both"/>
      </w:pPr>
      <w:r>
        <w:t xml:space="preserve">Zgodnie z art. 11l updop, wartość transakcji kontrolowanej w przypadku transakcji pożyczki i kredytu odpowiada wartości kapitału, określonej w pierwszej kolejności na podstawie </w:t>
      </w:r>
      <w:r w:rsidRPr="006B1A73">
        <w:t>umów lub innych dokumentów</w:t>
      </w:r>
      <w:r>
        <w:t xml:space="preserve">, a </w:t>
      </w:r>
      <w:r w:rsidRPr="006B1A73">
        <w:t>w przypadku gdy nie jest możliwe określenie tej wartości na podstawie</w:t>
      </w:r>
      <w:r>
        <w:t xml:space="preserve"> umowy lub innego dokumentu określa się na podstawie </w:t>
      </w:r>
      <w:r w:rsidRPr="006B1A73">
        <w:t>otrzymanych lub przekazanych płatności</w:t>
      </w:r>
      <w:r>
        <w:t>.</w:t>
      </w:r>
    </w:p>
    <w:p w:rsidR="00EB60C5" w:rsidRDefault="00EB60C5" w:rsidP="00EB60C5">
      <w:pPr>
        <w:pStyle w:val="Akapitzlist"/>
        <w:numPr>
          <w:ilvl w:val="0"/>
          <w:numId w:val="3"/>
        </w:numPr>
        <w:spacing w:after="120" w:line="320" w:lineRule="exact"/>
        <w:contextualSpacing w:val="0"/>
        <w:jc w:val="both"/>
      </w:pPr>
      <w:r>
        <w:t xml:space="preserve">Jak należy traktować podpisane pod koniec roku podatkowego umowę na otwartą linię pożyczkową do wysokości przekraczającej 10 mln zł, natomiast płatności wynikające z tej umowy zostały dokonane w roku następnym, jednak w kwocie mniejszej niż 10 mln zł? Czy w tej sytuacji, zakładając, że nie zostały w tym roku zawarte inne umowy pożyczkowe, </w:t>
      </w:r>
      <w:r>
        <w:lastRenderedPageBreak/>
        <w:t>powstaje obowiązek dokumentacyjny? Jeżeli tak, to w którym roku dla takiej pożyczki będzie istniał obowiązek sporządzenia dokumentacji?</w:t>
      </w:r>
    </w:p>
    <w:p w:rsidR="00EB60C5" w:rsidRDefault="00EB60C5" w:rsidP="00EB60C5">
      <w:pPr>
        <w:spacing w:after="120" w:line="320" w:lineRule="exact"/>
        <w:jc w:val="both"/>
      </w:pPr>
      <w:r>
        <w:t>Zdaniem Spółki, zgodnie z art. 720 Kodeksu cywilnego (</w:t>
      </w:r>
      <w:r w:rsidRPr="00AF541B">
        <w:t>t.j. Dz.U. z 2018 r. poz. 1025</w:t>
      </w:r>
      <w:r>
        <w:t xml:space="preserve">), </w:t>
      </w:r>
      <w:r w:rsidRPr="009317D5">
        <w:t>przez umowę pożyczki dający pożyczkę zobowiązuje się przenieść na własność biorącego określoną ilość pieniędzy albo rzeczy oznaczonych tylko co do gatunku, a biorący zobowiązuje się zwrócić tę samą ilość pieniędzy albo tę samą ilość rzeczy tego samego gatunku i tej samej jakości.</w:t>
      </w:r>
      <w:r>
        <w:t xml:space="preserve"> Ponieważ w umowie linii pożyczkowej nie mamy do czynienia z „określoną ilością pieniędzy”, którą dający pożyczkę zobowiązuje się przenieść na rzecz pożyczkobiorcy, dlatego udzielenie linii pożyczkowej na kwotę maksymalną nie powinno być traktowane na równi z pożyczką na określoną kwotę zapisaną w umowie. Z tego względu, zgodnie z treścią art. 11l updop, jeżeli maksymalna wartość linii kredytowej wynikająca z umowy przekracza 10 mln zł, a jednocześnie wartość faktycznie udzielonej</w:t>
      </w:r>
      <w:r w:rsidRPr="000879AF">
        <w:t xml:space="preserve"> </w:t>
      </w:r>
      <w:r>
        <w:t>pożyczki w danym roku podatkowym nie przekracza kwoty 10 mln zł, taka transakcja nie powinna być przedmiotem lokalnej dokumentacji cen transferowych.</w:t>
      </w:r>
    </w:p>
    <w:p w:rsidR="00EB60C5" w:rsidRDefault="00EB60C5" w:rsidP="00EB60C5">
      <w:pPr>
        <w:spacing w:after="120" w:line="320" w:lineRule="exact"/>
        <w:jc w:val="both"/>
      </w:pPr>
    </w:p>
    <w:p w:rsidR="00EB60C5" w:rsidRDefault="00EB60C5" w:rsidP="00EB60C5">
      <w:pPr>
        <w:spacing w:after="120" w:line="320" w:lineRule="exact"/>
        <w:jc w:val="both"/>
        <w:rPr>
          <w:u w:val="single"/>
        </w:rPr>
      </w:pPr>
      <w:r>
        <w:rPr>
          <w:u w:val="single"/>
        </w:rPr>
        <w:t>Art. 11t updop - zakres informacji w TP-R w przypadku spółek realizujących transakcje wielostronne</w:t>
      </w:r>
    </w:p>
    <w:p w:rsidR="00EB60C5" w:rsidRDefault="00EB60C5" w:rsidP="00EB60C5">
      <w:pPr>
        <w:spacing w:after="120" w:line="320" w:lineRule="exact"/>
        <w:jc w:val="both"/>
      </w:pPr>
      <w:r>
        <w:t xml:space="preserve">W przypadku transakcji kontrolowanej świadczonej przez podatnika jednocześnie (np. na podstawie jednej wielostronnej umowy) na rzecz podmiotów spełniających warunki zwolnienia z obowiązku sporządzenia lokalnej dokumentacji cen transferowych (na podstawie art. 11n ust. 1 updop) oraz podmiotów niespełniających warunków zwolnienia z obowiązku sporządzenia lokalnej dokumentacji cen transferowych, niejasnym zagadnieniem jest kwestia prezentacji danych w informacji o cenach transferowych (TP-R). </w:t>
      </w:r>
    </w:p>
    <w:p w:rsidR="00EB60C5" w:rsidRDefault="00EB60C5" w:rsidP="00EB60C5">
      <w:pPr>
        <w:spacing w:after="120" w:line="320" w:lineRule="exact"/>
        <w:jc w:val="both"/>
      </w:pPr>
      <w:r>
        <w:t xml:space="preserve">Co do zasady w TP-R prezentowane są dane nt. transakcji objętych obowiązkiem dokumentacyjnym oraz dane transakcji realizowanych przez podmioty korzystające ze zwolnienia z obowiązku sporządzenia lokalnej dokumentacji cen transferowych na podstawie art. 11n ust. 1 updop. Należy na marginesie dodać, że art. 11t ust. 1 updop, określający zakres podmiotowy i przedmiotowy jest niejasny w tym sensie, że nie jest wskazane w jakim zakresie (jakich transakcji) podmioty korzystające ze zwolnienia z obowiązku dokumentacyjnego, zobowiązane są sporządzić informację TP-R. Należy domniemywać, że w informacji TP-R zostaną zaprezentowane dane nt. transakcji, w odniesieniu do których podatnik zastosował zwolnienie z obowiązku dokumentacyjnego.  </w:t>
      </w:r>
    </w:p>
    <w:p w:rsidR="00EB60C5" w:rsidRDefault="00EB60C5" w:rsidP="00EB60C5">
      <w:pPr>
        <w:spacing w:after="120" w:line="320" w:lineRule="exact"/>
        <w:jc w:val="both"/>
      </w:pPr>
      <w:r>
        <w:t>W kontekście powyższego, w przypadku transakcji wielostronnych, tj. zawieranych przez jednego podatnika z wieloma podmiotami, pojawiają się wątpliwości, czy w informacji TP-R należy wskazać dane wszystkich kontrahentów dane transakcji, bez względu na wielkość obrotu z danym kontrahentem?</w:t>
      </w:r>
    </w:p>
    <w:p w:rsidR="00D14EE4" w:rsidRDefault="004B6263" w:rsidP="00EB60C5">
      <w:pPr>
        <w:spacing w:after="120" w:line="320" w:lineRule="exact"/>
        <w:jc w:val="both"/>
      </w:pPr>
      <w:r>
        <w:t xml:space="preserve">Zdaniem Spółki odpowiedź na wyżej postawione pytania, w kontekście zapisów </w:t>
      </w:r>
      <w:r w:rsidR="00F11B02">
        <w:t>U</w:t>
      </w:r>
      <w:r>
        <w:t xml:space="preserve">stawy oraz Rozporządzenia Ministra Finansów w </w:t>
      </w:r>
      <w:r w:rsidRPr="004B6263">
        <w:t>sprawie informacji o cenach transferowych w zakresie podatku dochodowego od osób prawnych</w:t>
      </w:r>
      <w:r>
        <w:t xml:space="preserve">, jest twierdząca. Niemniej pragniemy zwrócić uwagę, że w efekcie zakres prezentowanych informacji może okazać się niewspółmiernie szeroki </w:t>
      </w:r>
      <w:r w:rsidR="00F11B02">
        <w:t>i sprzeczny z celem Ustawy.</w:t>
      </w:r>
    </w:p>
    <w:sectPr w:rsidR="00D14EE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88" w:right="1247" w:bottom="1247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B2" w:rsidRDefault="004C36B2">
      <w:r>
        <w:separator/>
      </w:r>
    </w:p>
  </w:endnote>
  <w:endnote w:type="continuationSeparator" w:id="0">
    <w:p w:rsidR="004C36B2" w:rsidRDefault="004C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3F" w:rsidRDefault="009A3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333F" w:rsidRDefault="009A33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3F" w:rsidRDefault="009A3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349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A333F" w:rsidRDefault="009A333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3F" w:rsidRPr="005C007F" w:rsidRDefault="00741818" w:rsidP="005C007F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-370840</wp:posOffset>
          </wp:positionV>
          <wp:extent cx="6094730" cy="629920"/>
          <wp:effectExtent l="19050" t="0" r="1270" b="0"/>
          <wp:wrapNone/>
          <wp:docPr id="4" name="Obraz 4" descr="C:\Users\TOMEK\Desktop\stopka GL list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OMEK\Desktop\stopka GL list 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473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B2" w:rsidRDefault="004C36B2">
      <w:r>
        <w:separator/>
      </w:r>
    </w:p>
  </w:footnote>
  <w:footnote w:type="continuationSeparator" w:id="0">
    <w:p w:rsidR="004C36B2" w:rsidRDefault="004C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3F" w:rsidRDefault="00741818">
    <w:pPr>
      <w:pStyle w:val="Nagwek"/>
    </w:pPr>
    <w:r>
      <w:rPr>
        <w:noProof/>
      </w:rPr>
      <w:drawing>
        <wp:inline distT="0" distB="0" distL="0" distR="0">
          <wp:extent cx="793115" cy="187325"/>
          <wp:effectExtent l="19050" t="0" r="6985" b="0"/>
          <wp:docPr id="1" name="Obraz 1" descr="loros kolor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ros kolor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18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3F" w:rsidRDefault="00741818">
    <w:pPr>
      <w:pStyle w:val="Nagwek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683895</wp:posOffset>
          </wp:positionH>
          <wp:positionV relativeFrom="page">
            <wp:posOffset>457200</wp:posOffset>
          </wp:positionV>
          <wp:extent cx="1377950" cy="323850"/>
          <wp:effectExtent l="19050" t="0" r="0" b="0"/>
          <wp:wrapNone/>
          <wp:docPr id="2" name="Obraz 1" descr="loros kolor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ros kolor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7479"/>
    <w:multiLevelType w:val="hybridMultilevel"/>
    <w:tmpl w:val="42CE5F9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A77AA6"/>
    <w:multiLevelType w:val="hybridMultilevel"/>
    <w:tmpl w:val="2F645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0406"/>
    <w:multiLevelType w:val="hybridMultilevel"/>
    <w:tmpl w:val="0D4CA318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52CF119C"/>
    <w:multiLevelType w:val="hybridMultilevel"/>
    <w:tmpl w:val="99A6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C5"/>
    <w:rsid w:val="000846EA"/>
    <w:rsid w:val="0013304B"/>
    <w:rsid w:val="00181776"/>
    <w:rsid w:val="001E5598"/>
    <w:rsid w:val="003914C1"/>
    <w:rsid w:val="00413D38"/>
    <w:rsid w:val="00414046"/>
    <w:rsid w:val="004B6263"/>
    <w:rsid w:val="004C36B2"/>
    <w:rsid w:val="004F06E4"/>
    <w:rsid w:val="005C007F"/>
    <w:rsid w:val="00634BE9"/>
    <w:rsid w:val="00653494"/>
    <w:rsid w:val="00741818"/>
    <w:rsid w:val="00814ED8"/>
    <w:rsid w:val="00847BC4"/>
    <w:rsid w:val="008D0BDF"/>
    <w:rsid w:val="009A333F"/>
    <w:rsid w:val="009F0CF8"/>
    <w:rsid w:val="00A001D1"/>
    <w:rsid w:val="00B14EC7"/>
    <w:rsid w:val="00B61CD5"/>
    <w:rsid w:val="00C82ACB"/>
    <w:rsid w:val="00C85337"/>
    <w:rsid w:val="00D14EE4"/>
    <w:rsid w:val="00E069DA"/>
    <w:rsid w:val="00E85BB5"/>
    <w:rsid w:val="00EB60C5"/>
    <w:rsid w:val="00F11B02"/>
    <w:rsid w:val="00F96424"/>
    <w:rsid w:val="00F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67D3D"/>
  <w15:docId w15:val="{52C0B360-B6E7-400F-BA66-41613312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tabs>
        <w:tab w:val="left" w:pos="357"/>
      </w:tabs>
      <w:spacing w:line="288" w:lineRule="auto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left" w:pos="357"/>
      </w:tabs>
      <w:spacing w:line="288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Tekstpodstawowywcity">
    <w:name w:val="Body Text Indent"/>
    <w:basedOn w:val="Normalny"/>
    <w:pPr>
      <w:spacing w:after="40"/>
    </w:pPr>
    <w:rPr>
      <w:rFonts w:ascii="Times New Roman" w:hAnsi="Times New Roman"/>
      <w:sz w:val="23"/>
    </w:rPr>
  </w:style>
  <w:style w:type="paragraph" w:styleId="Tekstpodstawowy2">
    <w:name w:val="Body Text 2"/>
    <w:basedOn w:val="Normalny"/>
    <w:pPr>
      <w:spacing w:line="288" w:lineRule="auto"/>
      <w:jc w:val="both"/>
    </w:pPr>
  </w:style>
  <w:style w:type="paragraph" w:customStyle="1" w:styleId="msolistparagraph0">
    <w:name w:val="msolistparagraph"/>
    <w:basedOn w:val="Normalny"/>
    <w:rsid w:val="00413D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EB60C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60C5"/>
    <w:rPr>
      <w:rFonts w:ascii="Arial" w:hAnsi="Arial"/>
    </w:rPr>
  </w:style>
  <w:style w:type="character" w:styleId="Odwoanieprzypisudolnego">
    <w:name w:val="footnote reference"/>
    <w:basedOn w:val="Domylnaczcionkaakapitu"/>
    <w:semiHidden/>
    <w:unhideWhenUsed/>
    <w:rsid w:val="00EB60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60C5"/>
    <w:pPr>
      <w:spacing w:after="160" w:line="259" w:lineRule="auto"/>
      <w:ind w:left="720"/>
      <w:contextualSpacing/>
    </w:pPr>
    <w:rPr>
      <w:rFonts w:eastAsiaTheme="min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gbitow\Downloads\29582_file_gl_papier_firmowy_pl_2018_918da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FF3C-7C44-4F10-9478-3EDBECE5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29582_file_gl_papier_firmowy_pl_2018_918dab</Template>
  <TotalTime>10</TotalTime>
  <Pages>4</Pages>
  <Words>1610</Words>
  <Characters>9665</Characters>
  <Application>Microsoft Office Word</Application>
  <DocSecurity>0</DocSecurity>
  <Lines>80</Lines>
  <Paragraphs>22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Nr korespondencji</vt:lpstr>
      <vt:lpstr>Nr korespondencji</vt:lpstr>
      <vt:lpstr>Nr korespondencji</vt:lpstr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korespondencji</dc:title>
  <dc:creator>Bitowt Grzegorz</dc:creator>
  <cp:lastModifiedBy>Bitowt Grzegorz</cp:lastModifiedBy>
  <cp:revision>3</cp:revision>
  <cp:lastPrinted>2002-06-25T11:46:00Z</cp:lastPrinted>
  <dcterms:created xsi:type="dcterms:W3CDTF">2019-01-15T13:33:00Z</dcterms:created>
  <dcterms:modified xsi:type="dcterms:W3CDTF">2019-01-15T13:44:00Z</dcterms:modified>
</cp:coreProperties>
</file>