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F7" w:rsidRDefault="00C36AF7" w:rsidP="00C36AF7">
      <w:pPr>
        <w:shd w:val="clear" w:color="auto" w:fill="FFFFFF"/>
        <w:spacing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644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Minimalne wymogi dotyczące stosowania nawozów i środków ochrony roślin, </w:t>
      </w:r>
      <w:r w:rsidR="007035D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br/>
      </w:r>
      <w:r w:rsidRPr="009644B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wraz z liczbą punktów, jaką przypisuje się każdej stwierdzonej niezgodności</w:t>
      </w:r>
    </w:p>
    <w:p w:rsidR="00163D44" w:rsidRPr="00163D44" w:rsidRDefault="00163D44" w:rsidP="00C36AF7">
      <w:pPr>
        <w:shd w:val="clear" w:color="auto" w:fill="FFFFFF"/>
        <w:spacing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</w:pPr>
      <w:r w:rsidRPr="00163D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pl-PL"/>
        </w:rPr>
        <w:t xml:space="preserve">Dotyczy tylko </w:t>
      </w:r>
      <w:r w:rsidRPr="00163D44">
        <w:rPr>
          <w:rFonts w:ascii="Times New Roman" w:hAnsi="Times New Roman" w:cs="Times New Roman"/>
          <w:b/>
          <w:sz w:val="24"/>
          <w:szCs w:val="24"/>
          <w:u w:val="single"/>
        </w:rPr>
        <w:t xml:space="preserve">wnioskodawców ubiegających się o płatności </w:t>
      </w:r>
      <w:proofErr w:type="spellStart"/>
      <w:r w:rsidRPr="00163D44">
        <w:rPr>
          <w:rFonts w:ascii="Times New Roman" w:hAnsi="Times New Roman" w:cs="Times New Roman"/>
          <w:b/>
          <w:sz w:val="24"/>
          <w:szCs w:val="24"/>
          <w:u w:val="single"/>
        </w:rPr>
        <w:t>rolnośrodowiskowe</w:t>
      </w:r>
      <w:proofErr w:type="spellEnd"/>
    </w:p>
    <w:p w:rsidR="00C36AF7" w:rsidRPr="009644B1" w:rsidRDefault="00C36AF7" w:rsidP="00C36AF7">
      <w:pPr>
        <w:shd w:val="clear" w:color="auto" w:fill="FFFFFF"/>
        <w:spacing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9644B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Tabela I</w:t>
      </w:r>
      <w:r w:rsidRPr="009644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 - </w:t>
      </w:r>
      <w:r w:rsidR="009644B1" w:rsidRPr="009644B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wymogi dotyczące stosowania środków ochrony roślin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126"/>
        <w:gridCol w:w="2127"/>
        <w:gridCol w:w="850"/>
        <w:gridCol w:w="1276"/>
        <w:gridCol w:w="1133"/>
      </w:tblGrid>
      <w:tr w:rsidR="00C36AF7" w:rsidRPr="00C36AF7" w:rsidTr="001765F9">
        <w:trPr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WYMOGI DOTYCZĄCE STOSOWANIA ŚRODKÓW OCHRONY ROŚLIN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NIEZGODNOŚCI DOTYCZĄCAE STOSOWANIA ŚRODKÓW OCHRONY ROŚLIN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NARUSZENIA DOTYCZĄCE STOSOWANIA ŚRODKÓW OCHRONY ROŚLIN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zasięg</w:t>
            </w:r>
            <w:r w:rsidRPr="00C36AF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dotkliwość</w:t>
            </w:r>
            <w:r w:rsidRPr="00C36AF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rwałość</w:t>
            </w:r>
            <w:r w:rsidRPr="00C36AF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C36AF7" w:rsidRPr="00C36AF7" w:rsidTr="001765F9">
        <w:trPr>
          <w:trHeight w:val="2520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Stosowanie wyłącznie środków ochrony roślin dopuszczonych do obrotu, zgodnie z etykietą-instrukcją stosowania, ściśle z podanymi w niej zaleceniami oraz w taki sposób, aby nie dopuścić do zagrożenia dla zdrowia człowieka lub zwierząt lub dla środowiska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68 ust. 1 ustawy z dnia 18 grudnia 2003 r. o ochronie roślin (Dz. U. z 2008 r. Nr 133, poz. 849 i Nr 227, poz. 1505 oraz z 2009 r. Nr 20, poz. 106).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Nieprzestrzeganie zakazu stosowania innych niż dopuszczone do obrotu środki ochrony roślin, inaczej niż podano na etykiecie -instrukcji stosowania i w sposób, który stanowić może zagrożenie dla zdrowia człowieka lub zwierząt lub dla środowiska.</w:t>
            </w:r>
          </w:p>
        </w:tc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10. Stwierdzono zastosowanie środków ochrony roślin niedopuszczonych do obrotu, niezgodnie z etykietą-instrukcją stosowania, nieściśle z podanymi w niej zaleceniami oraz w sposób, zagrażający zdrowiu człowieka lub zwierząt lub środowisku.</w:t>
            </w:r>
          </w:p>
        </w:tc>
        <w:tc>
          <w:tcPr>
            <w:tcW w:w="850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1599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Prowadzenie ewidencji zabiegów ochrony roślin i przechowywanie jej co najmniej przez okres 2 lat  od dnia wykonania zabiegu ochrony roślin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71 ust. 1 i 3 ustawy z dnia 18 grudnia 2003 r. o ochronie roślin.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Nieprowadzenie ewidencji zabiegów ochrony roślin lub niepełne jej prowadzenie lub nieprzechowywanie jej co najmniej przez okres 2 lat od dnia wykonania zabiegu ochrony roślin.</w:t>
            </w:r>
          </w:p>
        </w:tc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11. Stwierdzono, że  ewidencja zabiegów ochrony roślin nie jest prowadzona lub jest niepełna lub nie jest przechowywana co najmniej przez okres 2 lat od dnia wykonania zabiegu ochrony roślin.</w:t>
            </w:r>
          </w:p>
        </w:tc>
        <w:tc>
          <w:tcPr>
            <w:tcW w:w="850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2131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Wykonywanie zabiegów przy użyciu środków ochrony roślin w produkcji rolnej wyłącznie przez osoby, które ukończyły szkolenie w zakresie stosowania środków ochrony roślin i posiadają aktualne zaświadczenie o ukończeniu tego szkolenia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74 ustawy z dnia 18 grudnia 2003 r. o ochronie roślin.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Nieprzestrzeganie zakazu wykonywania zabiegów przy użyciu środków ochrony roślin w produkcji rolnej przez osoby, które nie ukończyły szkolenia w zakresie stosowania środków ochrony roślin i nie posiadają aktualnego zaświadczenie o ukończeniu tego szkolenia.</w:t>
            </w:r>
          </w:p>
        </w:tc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12. Stwierdzono, że zabiegi przy użyciu środków ochrony roślin w produkcji rolnej zostały wykonane przez osoby, które nie ukończyły szkolenia w zakresie stosowania środków ochrony roślin i nie posiadają aktualnego zaświadczenia o ukończeniu tego szkolenia.</w:t>
            </w:r>
          </w:p>
        </w:tc>
        <w:tc>
          <w:tcPr>
            <w:tcW w:w="850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AF7" w:rsidRPr="00C36AF7" w:rsidTr="001765F9">
        <w:trPr>
          <w:trHeight w:val="2315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Stosowanie środków ochrony roślin wyłącznie przy użyciu sprzętu sprawnego technicznie, zgodnie z przeznaczeniem, w sposób zapewniający skuteczne zwalczanie organizmów szkodliwych i nie powodujący zagrożenia dla zdrowia człowieka lub zwierząt lub dla środowiska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76 ust. 1 ustawy z dnia 18 grudnia 2003 r. o ochronie roślin.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Nieprzestrzeganie zakazu stosowania środków ochrony roślin przy użyciu sprzętu niesprawnego technicznie, niezgodnie z przeznaczeniem, w sposób niezapewniający skutecznego zwalczania organizmów szkodliwych i powodujący zagrożenie dla zdrowia człowieka lub zwierząt lub dla środowiska.</w:t>
            </w:r>
          </w:p>
        </w:tc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13. Stwierdzono, że środki ochrony roślin były zastosowane przy użyciu sprzętu niesprawnego technicznie, niezgodnie z przeznaczeniem, w sposób który nie zapewnia skutecznego zwalczania organizmów szkodliwych lub powoduje zagrożenia dla zdrowia człowieka lub zwierząt lub dla środowiska.</w:t>
            </w:r>
          </w:p>
        </w:tc>
        <w:tc>
          <w:tcPr>
            <w:tcW w:w="850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6345D4" w:rsidTr="001765F9">
        <w:trPr>
          <w:trHeight w:val="2315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Stosowanie środków ochrony roślin na terenie otwartym przy użyciu opryskiwaczy wyłącznie wtedy, gdy prędkość wiatru nie przekracza 3 m/s, a miejsce stosowania środka ochrony roślin jest oddalone co najmniej o </w:t>
            </w:r>
            <w:smartTag w:uri="urn:schemas-microsoft-com:office:smarttags" w:element="metricconverter">
              <w:smartTagPr>
                <w:attr w:name="ProductID" w:val="5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5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krawędzi jezdni dróg publicznych, z </w:t>
            </w:r>
            <w:r w:rsidRPr="00C36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wyłączeniem dróg publicznych zaliczanych do kategorii dróg gminnych oraz powiatowych, i co najmniej o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20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pasiek, plantacji roślin zielarskich, rezerwatów przyrody, parków narodowych, stanowisk roślin objętych ochroną gatunkową, wód powierzchniowych oraz od granicy wewnętrznego terenu ochrony strefy pośredniej ujęć wody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- art. 77 ust. 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1 ustawy z dnia 18 grudnia 2003 r. o ochronie roślin. 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Nieprzestrzeganie zakazu stosowania środków ochrony roślin na terenie otwartym przy użyciu opryskiwaczy gdy prędkość wiatru przekracza 3 m/s, a miejsce stosowania środka ochrony roślin nie jest oddalone co najmniej o </w:t>
            </w:r>
            <w:smartTag w:uri="urn:schemas-microsoft-com:office:smarttags" w:element="metricconverter">
              <w:smartTagPr>
                <w:attr w:name="ProductID" w:val="5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5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krawędzi jezdni dróg </w:t>
            </w:r>
            <w:r w:rsidRPr="00C36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publicznych, z wyłączeniem dróg publicznych zaliczanych do kategorii dróg gminnych oraz powiatowych, i co najmniej o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20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pasiek, plantacji roślin zielarskich, rezerwatów przyrody. parków narodowych, stanowisk roślin objętych ochroną gatunkową, wód powierzchniowych oraz od granicy wewnętrznego terenu ochrony strefy pośredniej ujęć wody.</w:t>
            </w:r>
          </w:p>
        </w:tc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14. Stwierdzono, że środki ochrony roślin zostały zastosowane na terenie otwartym przy użyciu opryskiwaczy, gdy prędkość wiatru przekraczała 3 m/s, a miejsce stosowania środka ochrony roślin nie było oddalone co najmniej o </w:t>
            </w:r>
            <w:smartTag w:uri="urn:schemas-microsoft-com:office:smarttags" w:element="metricconverter">
              <w:smartTagPr>
                <w:attr w:name="ProductID" w:val="5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5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krawędzi jezdni dróg publicznych, z </w:t>
            </w:r>
            <w:r w:rsidRPr="00C36AF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wyłączeniem dróg publicznych zaliczanych do kategorii dróg gminnych oraz powiatowych, i co najmniej o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20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pasiek, plantacji roślin zielarskich, rezerwatów przyrody, parków narodowych, stanowisk roślin objętych ochroną gatunkową, wód powierzchniowych lub od granicy wewnętrznego terenu ochrony strefy pośredniej ujęć wody.</w:t>
            </w:r>
          </w:p>
        </w:tc>
        <w:tc>
          <w:tcPr>
            <w:tcW w:w="850" w:type="dxa"/>
            <w:vAlign w:val="center"/>
          </w:tcPr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Align w:val="center"/>
          </w:tcPr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7035D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4A0428" w:rsidRDefault="004A0428"/>
    <w:p w:rsidR="009644B1" w:rsidRDefault="009644B1">
      <w:pPr>
        <w:rPr>
          <w:b/>
          <w:color w:val="000000" w:themeColor="text1"/>
          <w:sz w:val="20"/>
          <w:szCs w:val="20"/>
        </w:rPr>
        <w:sectPr w:rsidR="009644B1" w:rsidSect="004A0428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36AF7" w:rsidRPr="001765F9" w:rsidRDefault="00C36AF7" w:rsidP="00C36AF7">
      <w:pPr>
        <w:pStyle w:val="bodytext2"/>
        <w:shd w:val="clear" w:color="auto" w:fill="FFFFFF"/>
        <w:rPr>
          <w:b/>
          <w:color w:val="000000" w:themeColor="text1"/>
          <w:sz w:val="20"/>
          <w:szCs w:val="20"/>
        </w:rPr>
      </w:pPr>
      <w:r w:rsidRPr="001765F9">
        <w:rPr>
          <w:b/>
          <w:bCs/>
          <w:color w:val="000000" w:themeColor="text1"/>
          <w:sz w:val="20"/>
          <w:szCs w:val="20"/>
        </w:rPr>
        <w:t xml:space="preserve">Tabela I </w:t>
      </w:r>
      <w:proofErr w:type="spellStart"/>
      <w:r w:rsidRPr="001765F9">
        <w:rPr>
          <w:b/>
          <w:bCs/>
          <w:color w:val="000000" w:themeColor="text1"/>
          <w:sz w:val="20"/>
          <w:szCs w:val="20"/>
        </w:rPr>
        <w:t>I</w:t>
      </w:r>
      <w:proofErr w:type="spellEnd"/>
      <w:r w:rsidRPr="001765F9">
        <w:rPr>
          <w:b/>
          <w:color w:val="000000" w:themeColor="text1"/>
          <w:sz w:val="20"/>
          <w:szCs w:val="20"/>
        </w:rPr>
        <w:t xml:space="preserve"> - W</w:t>
      </w:r>
      <w:r w:rsidR="009644B1" w:rsidRPr="001765F9">
        <w:rPr>
          <w:b/>
          <w:color w:val="000000" w:themeColor="text1"/>
          <w:sz w:val="20"/>
          <w:szCs w:val="20"/>
        </w:rPr>
        <w:t>ymogi dotyczące stosowania nawozów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27"/>
        <w:gridCol w:w="2126"/>
        <w:gridCol w:w="1985"/>
        <w:gridCol w:w="992"/>
        <w:gridCol w:w="1276"/>
        <w:gridCol w:w="1133"/>
      </w:tblGrid>
      <w:tr w:rsidR="00C36AF7" w:rsidRPr="00C36AF7" w:rsidTr="001765F9">
        <w:trPr>
          <w:trHeight w:val="634"/>
          <w:jc w:val="center"/>
        </w:trPr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WYMOGI DOTYCZĄCE STOSOWANIA NAWOZÓW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NIEZGODNOŚCI DOTYCZĄCE STOSOWANIA NAWOZÓW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NARUSZENIA DOTYCZĄCE STOSOWANIA NAWOZÓW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zasięg</w:t>
            </w:r>
            <w:r w:rsidRPr="00C36AF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 w:right="-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dotkliwość</w:t>
            </w:r>
            <w:r w:rsidRPr="00C36AF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36AF7">
              <w:rPr>
                <w:rFonts w:ascii="Times New Roman" w:hAnsi="Times New Roman" w:cs="Times New Roman"/>
                <w:bCs/>
                <w:sz w:val="20"/>
                <w:szCs w:val="20"/>
              </w:rPr>
              <w:t>rwałość</w:t>
            </w:r>
            <w:r w:rsidRPr="00C36AF7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3)</w:t>
            </w:r>
          </w:p>
        </w:tc>
      </w:tr>
      <w:tr w:rsidR="00C36AF7" w:rsidRPr="00C36AF7" w:rsidTr="001765F9">
        <w:trPr>
          <w:trHeight w:val="1455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Niestosowanie nawozów niedopuszczonych do obrotu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17 ust. 1 ustawy z dnia 10 lipca 2007 r. o nawozach i nawożeniu (Dz. U. Nr 147, poz. 1033).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Nieprzestrzeganie zakazu stosowania nawozów niedopuszczonych do obrotu.</w:t>
            </w: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1. Stwierdzono zastosowanie nawozów niedopuszczonych do obrotu.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AF7" w:rsidRPr="00C36AF7" w:rsidTr="001765F9">
        <w:trPr>
          <w:trHeight w:val="1659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Niestosowanie w okresie roku dawki nawozu naturalnego zawierające więcej niż </w:t>
            </w:r>
            <w:smartTag w:uri="urn:schemas-microsoft-com:office:smarttags" w:element="metricconverter">
              <w:smartTagPr>
                <w:attr w:name="ProductID" w:val="170 kg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170 kg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azotu (N) w czystym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składniku na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1 ha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użytków rolnych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17 ust. 3 ustawy z dnia 10 lipca 2007 r. o nawozach i nawożeniu.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Nieprzestrzeganie zakazu stosowania w okresie roku dawki nawozu naturalnego zawierające więcej niż </w:t>
            </w:r>
            <w:smartTag w:uri="urn:schemas-microsoft-com:office:smarttags" w:element="metricconverter">
              <w:smartTagPr>
                <w:attr w:name="ProductID" w:val="170 kg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170 kg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azotu (N) w czystym składniku na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1 ha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użytków rolnych.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2. Stwierdzono, że w okresie roku zastosowano dawki nawozu naturalnego zawierające więcej niż </w:t>
            </w:r>
            <w:smartTag w:uri="urn:schemas-microsoft-com:office:smarttags" w:element="metricconverter">
              <w:smartTagPr>
                <w:attr w:name="ProductID" w:val="170 kg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170 kg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azotu (N) w czystym składniku na </w:t>
            </w:r>
            <w:smartTag w:uri="urn:schemas-microsoft-com:office:smarttags" w:element="metricconverter">
              <w:smartTagPr>
                <w:attr w:name="ProductID" w:val="1 ha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1 ha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użytków rolnych.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AF7" w:rsidRPr="00C36AF7" w:rsidTr="001765F9">
        <w:trPr>
          <w:trHeight w:val="464"/>
          <w:jc w:val="center"/>
        </w:trPr>
        <w:tc>
          <w:tcPr>
            <w:tcW w:w="2127" w:type="dxa"/>
            <w:vMerge w:val="restart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Przechowywanie gnojówki i gnojowicy w szczelnych zbiornikach o pojemności umożliwiającej gromadzenie co najmniej 4-miesiecznej produkcji tego nawozu od dnia 1 stycznia 2011 r., a w przypadku obszarów szczególnie narażonych w rozumieniu przepisów w sprawie szczegółowych wymagań, jakim powinny odpowiadać programy działań mających na celu ograniczenie odpływu azotu ze źródeł rolniczych, o pojemności umożliwiającej przechowywanie tych nawozów przez okres co najmniej 6 miesięcy; zbiorniki te powinny być zbiornikami zamkniętymi w rozumieniu przepisów dotyczących warunków technicznych, jakim powinny odpowiadać budowle rolnicze i ich usytuowanie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- art. 25 ust. 1 ustawy z dnia 10 lipca 2007 r. o nawozach i nawożeniu oraz ust. 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5 załącznika do rozporządzenia Ministra Środowiska z dnia 23 grudnia 2002 r. w sprawie szczegółowych wymagań, jakim powinny odpowiadać programy działań mających na celu ograniczenie odpływu azotu ze źródeł rolniczych (Dz. U. z 2003 r. Nr 4, poz. 44).</w:t>
            </w:r>
          </w:p>
        </w:tc>
        <w:tc>
          <w:tcPr>
            <w:tcW w:w="2126" w:type="dxa"/>
            <w:vMerge w:val="restart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Nieprzestrzeganie nakazu przechowywania gnojówki i gnojowicy w szczelnych zbiornikach o pojemności umożliwiającej gromadzenie co najmniej 4-miesięcznej produkcji tego nawozu od dnia 1 stycznia 2011 r., a w przypadku obszarów szczególnie narażonych w rozumieniu przepisów w sprawie szczegółowych wymagań, jakim powinny odpowiadać programy działań mających na celu ograniczenie odpływu azotu ze źródeł rolniczych, o pojemności umożliwiającej przechowywanie tych nawozów przez okres co najmniej 6 miesięcy, a zbiorniki te nie są zbiornikami zamkniętymi w rozumieniu przepisów dotyczących warunków technicznych, jakim powinny odpowiadać budowle rolnicze i ich usytuowanie.</w:t>
            </w:r>
          </w:p>
        </w:tc>
        <w:tc>
          <w:tcPr>
            <w:tcW w:w="1985" w:type="dxa"/>
            <w:vMerge w:val="restart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3. Stwierdzono, że  gnojówka i gnojowica nie są przechowywane w szczelnych zbiornikach o pojemności umożliwiającej gromadzenie co najmniej 4-miesięcznej produkcji tego nawozu od dnia 1 stycznia 2011 r., a w przypadku obszarów szczególnie narażonych w rozumieniu przepisów w sprawie szczegółowych wymagań, jakim powinny odpowiadać programy działań mających na celu ograniczenie odpływu azotu ze źródeł rolniczych, o pojemności umożliwiającej przechowywanie tych nawozów przez okres co najmniej 6 miesięcy lub że zbiorniki te nie są zbiornikami zamkniętymi w rozumieniu przepisów dotyczących warunków technicznych, jakim powinny odpowiadać budowle rolnicze i ich usytuowanie.</w:t>
            </w:r>
          </w:p>
        </w:tc>
        <w:tc>
          <w:tcPr>
            <w:tcW w:w="992" w:type="dxa"/>
            <w:vMerge w:val="restart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Merge w:val="restart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464"/>
          <w:jc w:val="center"/>
        </w:trPr>
        <w:tc>
          <w:tcPr>
            <w:tcW w:w="2127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AF7" w:rsidRPr="00C36AF7" w:rsidTr="001765F9">
        <w:trPr>
          <w:trHeight w:val="2737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Przechowywanie przez podmioty, o których mowa w art. 18 ust. 1 ustawy z dnia 10 lipca 2007 r. o nawozach i nawożeniu, nawozów naturalnych, innych niż gnojówka i gnojowica, na nieprzepuszczalnych płytach, zabezpieczonych w taki sposób, aby wycieki nie przedostawały się do gruntu - od dnia 1 stycznia 2009 r.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25 ust. 2 ustawy z dnia 10 lipca 2007 r. o nawozach i nawożeniu.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Nieprzechowywanie przez podmioty, o których mowa w art. 18 ust. 1 ustawy z dnia 10 lipca 2007 r. o nawozach i nawożeniu, nawozów naturalnych, innych niż gnojówka i gnojowica, na nieprzepuszczalnych płytach, zabezpieczonych w taki sposób, aby wycieki nie przedostawały się do gruntu od dnia 1 stycznia 2009 r.</w:t>
            </w: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4. Stwierdzono, że podmioty, o których mowa w art. 18 ust. 1 ustawy z dnia 10 lipca 2007 r. o nawozach i nawożeniu,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nieprzechowują</w:t>
            </w:r>
            <w:proofErr w:type="spellEnd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nawozów naturalnych, innych niż gnojówka i gnojowica, na nieprzepuszczalnych płytach, zabezpieczonych w taki sposób, aby wycieki nie przedostawały się do gruntu od dnia 1 stycznia 2009 r.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1811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Przechowywanie przez podmioty, o których mowa w art. 18 ust. 1 ustawy z dnia 10 lipca 2007 r. o nawozach i nawożeniu, gnojówki i gnojowicy w szczelnych, zamkniętych zbiornikach do dnia 31 grudnia 2010 r.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49 ust. 1 ustawy z dnia 10 lipca 2007 r. o nawozach i nawożeniu.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Nieprzechowywanie przez podmioty, o których mowa w art. 18 ust. 1 ustawy z dnia 10 lipca 2007 r. o nawozach i nawożeniu, gnojówki i gnojowicy w szczelnych, zamkniętych zbiornikach do dnia 31 grudnia 2010 r.</w:t>
            </w: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5. Stwierdzono, że podmioty, o których mowa w art. 18 ust. 1 ustawy z dnia 10 lipca 2007 r. o nawozach i nawożeniu,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nieprzechowują</w:t>
            </w:r>
            <w:proofErr w:type="spellEnd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gnojówki i gnojowicy w szczelnych, zamkniętych zbiornikach do dnia 31 grudnia 2010 r.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9644B1">
        <w:trPr>
          <w:trHeight w:val="992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Stosowanie nawozów naturalnych i organicznych w postaci stałej oraz płynnej wyłącznie w okresie od dnia 1 marca do dnia 30 listopada, z wyłączeniem nawozów stosowanych na uprawy pod osłonami (szklarnie, inspekty lub namioty foliowe)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§ 2 ust. 4 rozporządzenia Ministra Rolnictwa i Rozwoju Wsi z dnia 16 kwietnia 2008 r. w sprawie szczegółowego sposobu stosowania nawozów oraz prowadzenia szkoleń z zakresu ich stosowania (Dz. U. Nr 80, poz. 479).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Nieprzestrzeganie zakazu stosowania nawozów naturalnych i organicznych w postaci stałej oraz płynnej poza okresem od dnia 1 marca do dnia 30 listopada, z wyłączeniem nawozów stosowanych na uprawy pod osłonami (szklarnie, inspekty lub namioty foliowe).</w:t>
            </w: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6. Stwierdzono zastosowanie nawozów naturalnych i organicznych w postaci stałej oraz płynnej w okresie innym niż od dnia 1 marca do dnia 30 listopada, z wyłączeniem nawozów stosowanych na uprawy pod osłonami (szklarnie, inspekty lub namioty foliowe).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2610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Przykrycie lub wymieszanie z glebą nawozów naturalnych nie później niż następnego dnia po ich zastosowaniu, z wyłączeniem nawozów stosowanych w lasach oraz na użytkach zielonych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§ 3 ust. 3 rozporządzenia Ministra Rolnictwa i Rozwoju Wsi z dnia 16 kwietnia 2008 r. w sprawie szczegółowego sposobu stosowania nawozów oraz prowadzenia szkoleń z zakresu ich stosowania.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Nieprzestrzeganie zakazu przykrycia lub wymieszania z glebą nawozów naturalnych później niż następnego dnia po ich zastosowaniu, z wyłączeniem nawozów stosowanych w lasach oraz na użytkach zielonych.</w:t>
            </w: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7. Stwierdzono przykrycie lub wymieszanie z glebą nawozów naturalnych później niż następnego dnia po ich zastosowaniu, z wyłączeniem nawozów stosowanych w lasach oraz na użytkach zielonych.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1173"/>
          <w:jc w:val="center"/>
        </w:trPr>
        <w:tc>
          <w:tcPr>
            <w:tcW w:w="2127" w:type="dxa"/>
            <w:vMerge w:val="restart"/>
            <w:vAlign w:val="center"/>
          </w:tcPr>
          <w:p w:rsidR="00C36AF7" w:rsidRPr="00C36AF7" w:rsidRDefault="00C36AF7" w:rsidP="001765F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Niestosowanie nawozów:</w:t>
            </w:r>
          </w:p>
          <w:p w:rsidR="00C36AF7" w:rsidRPr="00C36AF7" w:rsidRDefault="00C36AF7" w:rsidP="001765F9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na glebach zalanych wodą, przykrytych śniegiem lub zamarzniętych do głębokości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30 cm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oraz podczas opadów deszczu,</w:t>
            </w:r>
          </w:p>
          <w:p w:rsidR="00C36AF7" w:rsidRPr="00C36AF7" w:rsidRDefault="00C36AF7" w:rsidP="001765F9">
            <w:pPr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naturalnych w postaci płynnej oraz azotowych na glebach bez okrywy roślinnej, położonych na stokach o nachyleniu większym niż 10 %,</w:t>
            </w:r>
          </w:p>
          <w:p w:rsidR="00C36AF7" w:rsidRPr="00C36AF7" w:rsidRDefault="00C36AF7" w:rsidP="001765F9">
            <w:pPr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naturalnych w postaci płynnej podczas wegetacji roślin przeznaczonych do bezpośredniego spożycia przez ludzi</w:t>
            </w:r>
          </w:p>
          <w:p w:rsidR="00C36AF7" w:rsidRPr="00C36AF7" w:rsidRDefault="00C36AF7" w:rsidP="001765F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1765F9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art. 20 ust. 1 ustawy z dnia 10 lipca 2007 r. o nawozach i nawożeniu.</w:t>
            </w:r>
          </w:p>
        </w:tc>
        <w:tc>
          <w:tcPr>
            <w:tcW w:w="2126" w:type="dxa"/>
            <w:vMerge w:val="restart"/>
            <w:vAlign w:val="center"/>
          </w:tcPr>
          <w:p w:rsidR="001765F9" w:rsidRDefault="00C36AF7" w:rsidP="001765F9">
            <w:pPr>
              <w:tabs>
                <w:tab w:val="num" w:pos="391"/>
              </w:tabs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Nieprzestrzeganie zakazu stosowania nawozów:</w:t>
            </w:r>
            <w:r w:rsidR="00176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na glebach zalanych wodą, przykrytych śniegiem lub zamarzniętych do głębokości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30 cm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oraz podczas opadów deszczu;</w:t>
            </w:r>
            <w:r w:rsidR="001765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36AF7" w:rsidRPr="00C36AF7" w:rsidRDefault="00C36AF7" w:rsidP="001765F9">
            <w:pPr>
              <w:tabs>
                <w:tab w:val="num" w:pos="391"/>
              </w:tabs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naturalnych w postaci płynnej oraz azotowych na glebach bez okrywy roślinnej, położonych na stokach o nachyleniu większym niż 10%;</w:t>
            </w:r>
          </w:p>
          <w:p w:rsidR="00C36AF7" w:rsidRPr="00C36AF7" w:rsidRDefault="00C36AF7" w:rsidP="00C36AF7">
            <w:pPr>
              <w:numPr>
                <w:ilvl w:val="0"/>
                <w:numId w:val="2"/>
              </w:numPr>
              <w:tabs>
                <w:tab w:val="clear" w:pos="720"/>
                <w:tab w:val="num" w:pos="391"/>
              </w:tabs>
              <w:autoSpaceDE w:val="0"/>
              <w:autoSpaceDN w:val="0"/>
              <w:adjustRightInd w:val="0"/>
              <w:spacing w:after="0" w:line="240" w:lineRule="auto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naturalnych w postaci płynnej podczas wegetacji roślin przeznaczonych do bezpośredniego spożycia przez ludzi.</w:t>
            </w: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8.1. Stwierdzono zastosowanie nawozów na glebach zalanych wodą, przykrytych śniegiem lub zamarzniętych do głębokości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30 cm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oraz podczas opadów deszczu.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1243"/>
          <w:jc w:val="center"/>
        </w:trPr>
        <w:tc>
          <w:tcPr>
            <w:tcW w:w="2127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8. 2. Stwierdzono zastosowanie nawozów naturalnych w postaci płynnej oraz azotowych na glebach bez okrywy roślinnej, położonych na stokach o nachyleniu większym niż 10 %.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1455"/>
          <w:jc w:val="center"/>
        </w:trPr>
        <w:tc>
          <w:tcPr>
            <w:tcW w:w="2127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8. 3. Stwierdzono zastosowanie nawozów naturalnych w postaci płynnej podczas wegetacji roślin przeznaczonych do bezpośredniego spożycia przez ludzi.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  <w:tr w:rsidR="00C36AF7" w:rsidRPr="00C36AF7" w:rsidTr="001765F9">
        <w:trPr>
          <w:trHeight w:val="3003"/>
          <w:jc w:val="center"/>
        </w:trPr>
        <w:tc>
          <w:tcPr>
            <w:tcW w:w="2127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Niestosowanie nawozów naturalnych w odległości mniejszej niż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20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strefy ochronnej źródeł wody, ujęć wody, brzegu zbiorników oraz cieków wodnych, kąpielisk zlokalizowanych na wodach powierzchniowych oraz obszarów morskiego pasa nadbrzeżnego</w:t>
            </w: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- § 3 ust. 4 rozporządzenia Ministra Rolnictwa i Rozwoju Wsi z dnia 16 kwietnia 2008 r. w sprawie szczegółowego sposobu stosowania nawozów oraz prowadzenia szkoleń z zakresu ich stosowania.</w:t>
            </w:r>
          </w:p>
        </w:tc>
        <w:tc>
          <w:tcPr>
            <w:tcW w:w="212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Nieprzestrzeganie zakazu stosowania nawozów naturalnych w odległości mniejszej niż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20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strefy ochronnej źródeł wody, ujęć wody, brzegu zbiorników oraz cieków wodnych, kąpielisk zlokalizowanych na wodach powierzchniowych oraz obszarów morskiego pasa nadbrzeżnego.</w:t>
            </w:r>
          </w:p>
        </w:tc>
        <w:tc>
          <w:tcPr>
            <w:tcW w:w="1985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9. Stwierdzono zastosowanie nawozów naturalnych w odległości mniejszej niż </w:t>
            </w:r>
            <w:smartTag w:uri="urn:schemas-microsoft-com:office:smarttags" w:element="metricconverter">
              <w:smartTagPr>
                <w:attr w:name="ProductID" w:val="20 m"/>
              </w:smartTagPr>
              <w:r w:rsidRPr="00C36AF7">
                <w:rPr>
                  <w:rFonts w:ascii="Times New Roman" w:hAnsi="Times New Roman" w:cs="Times New Roman"/>
                  <w:sz w:val="20"/>
                  <w:szCs w:val="20"/>
                </w:rPr>
                <w:t>20 m</w:t>
              </w:r>
            </w:smartTag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 od strefy ochronnej źródeł wody, ujęć wody, brzegu zbiorników oraz cieków wodnych, kąpielisk zlokalizowanych na wodach powierzchniowych oraz  obszarów morskiego pasa nadbrzeżnego.</w:t>
            </w:r>
          </w:p>
        </w:tc>
        <w:tc>
          <w:tcPr>
            <w:tcW w:w="992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276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  <w:tc>
          <w:tcPr>
            <w:tcW w:w="1133" w:type="dxa"/>
            <w:vAlign w:val="center"/>
          </w:tcPr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  <w:p w:rsidR="00C36AF7" w:rsidRPr="00C36AF7" w:rsidRDefault="00C36AF7" w:rsidP="00C36AF7">
            <w:pPr>
              <w:autoSpaceDE w:val="0"/>
              <w:autoSpaceDN w:val="0"/>
              <w:adjustRightInd w:val="0"/>
              <w:ind w:left="9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AF7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C36AF7">
              <w:rPr>
                <w:rFonts w:ascii="Times New Roman" w:hAnsi="Times New Roman" w:cs="Times New Roman"/>
                <w:sz w:val="20"/>
                <w:szCs w:val="20"/>
              </w:rPr>
              <w:t>pkt</w:t>
            </w:r>
            <w:proofErr w:type="spellEnd"/>
          </w:p>
        </w:tc>
      </w:tr>
    </w:tbl>
    <w:p w:rsidR="00C36AF7" w:rsidRDefault="00C36AF7"/>
    <w:p w:rsidR="00263E03" w:rsidRDefault="00263E03"/>
    <w:p w:rsidR="00263E03" w:rsidRPr="009644B1" w:rsidRDefault="00263E03" w:rsidP="00263E0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44B1">
        <w:rPr>
          <w:rFonts w:ascii="Times New Roman" w:hAnsi="Times New Roman" w:cs="Times New Roman"/>
          <w:b/>
          <w:sz w:val="20"/>
          <w:szCs w:val="20"/>
          <w:vertAlign w:val="superscript"/>
        </w:rPr>
        <w:t>1)</w:t>
      </w:r>
      <w:r w:rsidRPr="009644B1">
        <w:rPr>
          <w:rFonts w:ascii="Times New Roman" w:hAnsi="Times New Roman" w:cs="Times New Roman"/>
          <w:b/>
          <w:sz w:val="20"/>
          <w:szCs w:val="20"/>
        </w:rPr>
        <w:tab/>
        <w:t>Ocena wagi stwierdzonej niezgodności według kryterium zasięgu: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1)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1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ograniczony do gospodarstwa rolnego;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2)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3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ograniczony do gospodarstwa rolnego, jednakże mogący mieć skutki dla obszaru sąsiadującego z gospodarstwem;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3)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5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wykraczający poza gospodarstwo rolne.</w:t>
      </w:r>
    </w:p>
    <w:p w:rsidR="00263E03" w:rsidRPr="009644B1" w:rsidRDefault="00263E03" w:rsidP="00263E0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44B1">
        <w:rPr>
          <w:rFonts w:ascii="Times New Roman" w:hAnsi="Times New Roman" w:cs="Times New Roman"/>
          <w:b/>
          <w:sz w:val="20"/>
          <w:szCs w:val="20"/>
          <w:vertAlign w:val="superscript"/>
        </w:rPr>
        <w:t>2)</w:t>
      </w:r>
      <w:r w:rsidRPr="009644B1">
        <w:rPr>
          <w:rFonts w:ascii="Times New Roman" w:hAnsi="Times New Roman" w:cs="Times New Roman"/>
          <w:b/>
          <w:sz w:val="20"/>
          <w:szCs w:val="20"/>
        </w:rPr>
        <w:tab/>
        <w:t>Ocena wagi stwierdzonej niezgodności według kryterium dotkliwości - szybkości reakcji środowiska na naruszenie: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1)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1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negatywny efekt dla środowiska niewidoczny, lecz potencjalnie możliwy w nieokreślonym czasie;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2)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3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negatywny efekt dla środowiska niewidoczny, lecz bardzo prawdopodobny w kolejnym roku;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3)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5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negatywny efekt dla środowiska widoczny w tym samym roku.</w:t>
      </w:r>
    </w:p>
    <w:p w:rsidR="00263E03" w:rsidRPr="009644B1" w:rsidRDefault="00263E03" w:rsidP="00263E03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644B1">
        <w:rPr>
          <w:rFonts w:ascii="Times New Roman" w:hAnsi="Times New Roman" w:cs="Times New Roman"/>
          <w:b/>
          <w:sz w:val="20"/>
          <w:szCs w:val="20"/>
          <w:vertAlign w:val="superscript"/>
        </w:rPr>
        <w:t>3)</w:t>
      </w:r>
      <w:r w:rsidRPr="009644B1">
        <w:rPr>
          <w:rFonts w:ascii="Times New Roman" w:hAnsi="Times New Roman" w:cs="Times New Roman"/>
          <w:b/>
          <w:sz w:val="20"/>
          <w:szCs w:val="20"/>
        </w:rPr>
        <w:tab/>
        <w:t>Ocena wagi stwierdzonej niezgodności według kryterium trwałości: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1)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1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odwracalna krótkotrwała;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2)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3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odwracalna długotrwała;</w:t>
      </w:r>
    </w:p>
    <w:p w:rsidR="00263E03" w:rsidRPr="00263E03" w:rsidRDefault="00263E03" w:rsidP="00263E03">
      <w:pPr>
        <w:tabs>
          <w:tab w:val="left" w:pos="852"/>
        </w:tabs>
        <w:autoSpaceDE w:val="0"/>
        <w:autoSpaceDN w:val="0"/>
        <w:adjustRightInd w:val="0"/>
        <w:spacing w:after="240"/>
        <w:ind w:left="852" w:hanging="426"/>
        <w:jc w:val="both"/>
        <w:rPr>
          <w:rFonts w:ascii="Times New Roman" w:hAnsi="Times New Roman" w:cs="Times New Roman"/>
          <w:sz w:val="20"/>
          <w:szCs w:val="20"/>
        </w:rPr>
      </w:pPr>
      <w:r w:rsidRPr="00263E03">
        <w:rPr>
          <w:rFonts w:ascii="Times New Roman" w:hAnsi="Times New Roman" w:cs="Times New Roman"/>
          <w:sz w:val="20"/>
          <w:szCs w:val="20"/>
        </w:rPr>
        <w:t>3)</w:t>
      </w:r>
      <w:r w:rsidRPr="00263E03">
        <w:rPr>
          <w:rFonts w:ascii="Times New Roman" w:hAnsi="Times New Roman" w:cs="Times New Roman"/>
          <w:sz w:val="20"/>
          <w:szCs w:val="20"/>
        </w:rPr>
        <w:tab/>
        <w:t xml:space="preserve">5 </w:t>
      </w:r>
      <w:proofErr w:type="spellStart"/>
      <w:r w:rsidRPr="00263E03">
        <w:rPr>
          <w:rFonts w:ascii="Times New Roman" w:hAnsi="Times New Roman" w:cs="Times New Roman"/>
          <w:sz w:val="20"/>
          <w:szCs w:val="20"/>
        </w:rPr>
        <w:t>pkt</w:t>
      </w:r>
      <w:proofErr w:type="spellEnd"/>
      <w:r w:rsidRPr="00263E03">
        <w:rPr>
          <w:rFonts w:ascii="Times New Roman" w:hAnsi="Times New Roman" w:cs="Times New Roman"/>
          <w:sz w:val="20"/>
          <w:szCs w:val="20"/>
        </w:rPr>
        <w:t xml:space="preserve"> - nieodwracalna.</w:t>
      </w:r>
    </w:p>
    <w:p w:rsidR="00263E03" w:rsidRDefault="00263E03"/>
    <w:sectPr w:rsidR="00263E03" w:rsidSect="004A04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D44" w:rsidRDefault="00163D44" w:rsidP="00163D44">
      <w:pPr>
        <w:spacing w:after="0" w:line="240" w:lineRule="auto"/>
      </w:pPr>
      <w:r>
        <w:separator/>
      </w:r>
    </w:p>
  </w:endnote>
  <w:endnote w:type="continuationSeparator" w:id="1">
    <w:p w:rsidR="00163D44" w:rsidRDefault="00163D44" w:rsidP="00163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70422"/>
      <w:docPartObj>
        <w:docPartGallery w:val="Page Numbers (Bottom of Page)"/>
        <w:docPartUnique/>
      </w:docPartObj>
    </w:sdtPr>
    <w:sdtContent>
      <w:p w:rsidR="00163D44" w:rsidRDefault="00163D44">
        <w:pPr>
          <w:pStyle w:val="Stopk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163D44" w:rsidRDefault="00163D4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D44" w:rsidRDefault="00163D44" w:rsidP="00163D44">
      <w:pPr>
        <w:spacing w:after="0" w:line="240" w:lineRule="auto"/>
      </w:pPr>
      <w:r>
        <w:separator/>
      </w:r>
    </w:p>
  </w:footnote>
  <w:footnote w:type="continuationSeparator" w:id="1">
    <w:p w:rsidR="00163D44" w:rsidRDefault="00163D44" w:rsidP="00163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012C2"/>
    <w:multiLevelType w:val="hybridMultilevel"/>
    <w:tmpl w:val="8B3CE5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C42CAB"/>
    <w:multiLevelType w:val="hybridMultilevel"/>
    <w:tmpl w:val="C8C83B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C02"/>
    <w:rsid w:val="00141A9D"/>
    <w:rsid w:val="00163D44"/>
    <w:rsid w:val="001765F9"/>
    <w:rsid w:val="001D3317"/>
    <w:rsid w:val="00263E03"/>
    <w:rsid w:val="0047676F"/>
    <w:rsid w:val="004A0428"/>
    <w:rsid w:val="007035D9"/>
    <w:rsid w:val="007C4C40"/>
    <w:rsid w:val="009644B1"/>
    <w:rsid w:val="00A46C9E"/>
    <w:rsid w:val="00C36AF7"/>
    <w:rsid w:val="00EB4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04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">
    <w:name w:val="bodytext2"/>
    <w:basedOn w:val="Normalny"/>
    <w:rsid w:val="00C3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5D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1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3D44"/>
  </w:style>
  <w:style w:type="paragraph" w:styleId="Stopka">
    <w:name w:val="footer"/>
    <w:basedOn w:val="Normalny"/>
    <w:link w:val="StopkaZnak"/>
    <w:uiPriority w:val="99"/>
    <w:unhideWhenUsed/>
    <w:rsid w:val="00163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3D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046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99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1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266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257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1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9</Pages>
  <Words>2293</Words>
  <Characters>13762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16023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6</cp:revision>
  <cp:lastPrinted>2011-07-21T12:10:00Z</cp:lastPrinted>
  <dcterms:created xsi:type="dcterms:W3CDTF">2011-07-15T11:06:00Z</dcterms:created>
  <dcterms:modified xsi:type="dcterms:W3CDTF">2011-08-10T12:45:00Z</dcterms:modified>
</cp:coreProperties>
</file>